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B9BB5">
      <w:pPr>
        <w:rPr>
          <w:rFonts w:hint="default" w:ascii="Arial" w:hAnsi="Arial" w:eastAsia="宋体" w:cs="Arial"/>
        </w:rPr>
      </w:pPr>
      <w:r>
        <w:rPr>
          <w:rFonts w:hint="default" w:ascii="Arial" w:hAnsi="Arial" w:eastAsia="宋体" w:cs="Arial"/>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904240" cy="9042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04240" cy="904240"/>
                    </a:xfrm>
                    <a:prstGeom prst="rect">
                      <a:avLst/>
                    </a:prstGeom>
                    <a:noFill/>
                    <a:ln>
                      <a:noFill/>
                    </a:ln>
                  </pic:spPr>
                </pic:pic>
              </a:graphicData>
            </a:graphic>
          </wp:anchor>
        </w:drawing>
      </w:r>
      <w:r>
        <w:rPr>
          <w:rFonts w:hint="default" w:ascii="Arial" w:hAnsi="Arial" w:eastAsia="宋体" w:cs="Arial"/>
        </w:rPr>
        <w:t xml:space="preserve">    </w:t>
      </w:r>
      <w:r>
        <w:rPr>
          <w:rFonts w:hint="default" w:ascii="Arial" w:hAnsi="Arial" w:eastAsia="宋体" w:cs="Arial"/>
        </w:rPr>
        <w:br w:type="textWrapping" w:clear="all"/>
      </w:r>
    </w:p>
    <w:p w14:paraId="2EBA7B32">
      <w:pPr>
        <w:rPr>
          <w:rFonts w:hint="default" w:ascii="Arial" w:hAnsi="Arial" w:eastAsia="宋体" w:cs="Arial"/>
        </w:rPr>
      </w:pPr>
    </w:p>
    <w:p w14:paraId="0BDB90F6">
      <w:pPr>
        <w:rPr>
          <w:rFonts w:hint="default" w:ascii="Arial" w:hAnsi="Arial" w:eastAsia="宋体" w:cs="Arial"/>
        </w:rPr>
      </w:pPr>
    </w:p>
    <w:p w14:paraId="4C976675">
      <w:pPr>
        <w:spacing w:line="360" w:lineRule="auto"/>
        <w:jc w:val="center"/>
        <w:rPr>
          <w:rFonts w:hint="default" w:ascii="Arial" w:hAnsi="Arial" w:eastAsia="宋体" w:cs="Arial"/>
          <w:b/>
          <w:spacing w:val="40"/>
          <w:sz w:val="56"/>
          <w:szCs w:val="56"/>
        </w:rPr>
      </w:pPr>
      <w:r>
        <w:rPr>
          <w:rFonts w:hint="default" w:ascii="Arial" w:hAnsi="Arial" w:eastAsia="宋体" w:cs="Arial"/>
          <w:b/>
          <w:spacing w:val="40"/>
          <w:sz w:val="56"/>
          <w:szCs w:val="56"/>
        </w:rPr>
        <w:t>建设项目环境影响报告表</w:t>
      </w:r>
    </w:p>
    <w:p w14:paraId="41321140">
      <w:pPr>
        <w:spacing w:line="360" w:lineRule="auto"/>
        <w:jc w:val="center"/>
        <w:rPr>
          <w:rFonts w:hint="default" w:ascii="Arial" w:hAnsi="Arial" w:eastAsia="宋体" w:cs="Arial"/>
          <w:b/>
          <w:spacing w:val="40"/>
          <w:sz w:val="40"/>
          <w:szCs w:val="40"/>
        </w:rPr>
      </w:pPr>
      <w:r>
        <w:rPr>
          <w:rFonts w:hint="default" w:ascii="Arial" w:hAnsi="Arial" w:eastAsia="宋体" w:cs="Arial"/>
          <w:b/>
          <w:spacing w:val="40"/>
          <w:sz w:val="40"/>
          <w:szCs w:val="40"/>
        </w:rPr>
        <w:t>（污 染 影 响 类）</w:t>
      </w:r>
    </w:p>
    <w:p w14:paraId="29FFA014">
      <w:pPr>
        <w:jc w:val="center"/>
        <w:rPr>
          <w:rFonts w:hint="default" w:ascii="Arial" w:hAnsi="Arial" w:eastAsia="宋体" w:cs="Arial"/>
          <w:b/>
          <w:sz w:val="30"/>
          <w:szCs w:val="30"/>
        </w:rPr>
      </w:pPr>
    </w:p>
    <w:p w14:paraId="63442BAB">
      <w:pPr>
        <w:jc w:val="center"/>
        <w:rPr>
          <w:rFonts w:hint="default" w:ascii="Arial" w:hAnsi="Arial" w:eastAsia="宋体" w:cs="Arial"/>
          <w:b/>
          <w:sz w:val="30"/>
          <w:szCs w:val="30"/>
        </w:rPr>
      </w:pPr>
    </w:p>
    <w:tbl>
      <w:tblPr>
        <w:tblStyle w:val="52"/>
        <w:tblW w:w="8787" w:type="dxa"/>
        <w:jc w:val="center"/>
        <w:tblLayout w:type="fixed"/>
        <w:tblCellMar>
          <w:top w:w="0" w:type="dxa"/>
          <w:left w:w="108" w:type="dxa"/>
          <w:bottom w:w="0" w:type="dxa"/>
          <w:right w:w="108" w:type="dxa"/>
        </w:tblCellMar>
      </w:tblPr>
      <w:tblGrid>
        <w:gridCol w:w="2345"/>
        <w:gridCol w:w="6442"/>
      </w:tblGrid>
      <w:tr w14:paraId="727F730F">
        <w:tblPrEx>
          <w:tblCellMar>
            <w:top w:w="0" w:type="dxa"/>
            <w:left w:w="108" w:type="dxa"/>
            <w:bottom w:w="0" w:type="dxa"/>
            <w:right w:w="108" w:type="dxa"/>
          </w:tblCellMar>
        </w:tblPrEx>
        <w:trPr>
          <w:trHeight w:val="1562" w:hRule="atLeast"/>
          <w:jc w:val="center"/>
        </w:trPr>
        <w:tc>
          <w:tcPr>
            <w:tcW w:w="2345" w:type="dxa"/>
            <w:vAlign w:val="center"/>
          </w:tcPr>
          <w:p w14:paraId="48B5D7BC">
            <w:pPr>
              <w:jc w:val="left"/>
              <w:rPr>
                <w:rFonts w:hint="default" w:ascii="Arial" w:hAnsi="Arial" w:eastAsia="宋体" w:cs="Arial"/>
                <w:b/>
                <w:sz w:val="28"/>
                <w:szCs w:val="24"/>
              </w:rPr>
            </w:pPr>
            <w:r>
              <w:rPr>
                <w:rFonts w:hint="default" w:ascii="Arial" w:hAnsi="Arial" w:eastAsia="宋体" w:cs="Arial"/>
                <w:b/>
                <w:sz w:val="28"/>
                <w:szCs w:val="24"/>
              </w:rPr>
              <w:t>项目名称：</w:t>
            </w:r>
          </w:p>
        </w:tc>
        <w:tc>
          <w:tcPr>
            <w:tcW w:w="6442" w:type="dxa"/>
            <w:tcBorders>
              <w:bottom w:val="single" w:color="auto" w:sz="4" w:space="0"/>
            </w:tcBorders>
            <w:vAlign w:val="center"/>
          </w:tcPr>
          <w:p w14:paraId="615C77B0">
            <w:pPr>
              <w:jc w:val="center"/>
              <w:rPr>
                <w:rFonts w:hint="default" w:ascii="Arial" w:hAnsi="Arial" w:eastAsia="宋体" w:cs="Arial"/>
                <w:b/>
                <w:kern w:val="0"/>
                <w:sz w:val="28"/>
                <w:szCs w:val="24"/>
                <w:lang w:val="en-US" w:eastAsia="zh-CN"/>
              </w:rPr>
            </w:pPr>
            <w:r>
              <w:rPr>
                <w:rFonts w:hint="default" w:ascii="Arial" w:hAnsi="Arial" w:eastAsia="宋体" w:cs="Arial"/>
                <w:b/>
                <w:kern w:val="0"/>
                <w:sz w:val="28"/>
                <w:szCs w:val="24"/>
                <w:lang w:eastAsia="zh-CN"/>
              </w:rPr>
              <w:t>浙江汇轩汽车零部件有限</w:t>
            </w:r>
            <w:r>
              <w:rPr>
                <w:rFonts w:hint="default" w:ascii="Arial" w:hAnsi="Arial" w:eastAsia="宋体" w:cs="Arial"/>
                <w:b/>
                <w:color w:val="000000" w:themeColor="text1"/>
                <w:kern w:val="0"/>
                <w:sz w:val="28"/>
                <w:szCs w:val="24"/>
                <w:lang w:eastAsia="zh-CN"/>
                <w14:textFill>
                  <w14:solidFill>
                    <w14:schemeClr w14:val="tx1"/>
                  </w14:solidFill>
                </w14:textFill>
              </w:rPr>
              <w:t>公司年</w:t>
            </w:r>
            <w:r>
              <w:rPr>
                <w:rFonts w:hint="default" w:ascii="Arial" w:hAnsi="Arial" w:eastAsia="宋体" w:cs="Arial"/>
                <w:b/>
                <w:color w:val="000000" w:themeColor="text1"/>
                <w:kern w:val="0"/>
                <w:sz w:val="28"/>
                <w:szCs w:val="24"/>
                <w:lang w:val="en-US" w:eastAsia="zh-CN"/>
                <w14:textFill>
                  <w14:solidFill>
                    <w14:schemeClr w14:val="tx1"/>
                  </w14:solidFill>
                </w14:textFill>
              </w:rPr>
              <w:t>产30万套新能源转向总成及其零部件技改项目</w:t>
            </w:r>
          </w:p>
        </w:tc>
      </w:tr>
      <w:tr w14:paraId="704BDE9A">
        <w:tblPrEx>
          <w:tblCellMar>
            <w:top w:w="0" w:type="dxa"/>
            <w:left w:w="108" w:type="dxa"/>
            <w:bottom w:w="0" w:type="dxa"/>
            <w:right w:w="108" w:type="dxa"/>
          </w:tblCellMar>
        </w:tblPrEx>
        <w:trPr>
          <w:trHeight w:val="567" w:hRule="atLeast"/>
          <w:jc w:val="center"/>
        </w:trPr>
        <w:tc>
          <w:tcPr>
            <w:tcW w:w="2345" w:type="dxa"/>
            <w:vAlign w:val="center"/>
          </w:tcPr>
          <w:p w14:paraId="19DAA12B">
            <w:pPr>
              <w:jc w:val="left"/>
              <w:rPr>
                <w:rFonts w:hint="default" w:ascii="Arial" w:hAnsi="Arial" w:eastAsia="宋体" w:cs="Arial"/>
                <w:b/>
                <w:sz w:val="28"/>
                <w:szCs w:val="24"/>
              </w:rPr>
            </w:pPr>
            <w:r>
              <w:rPr>
                <w:rFonts w:hint="default" w:ascii="Arial" w:hAnsi="Arial" w:eastAsia="宋体" w:cs="Arial"/>
                <w:b/>
                <w:sz w:val="28"/>
                <w:szCs w:val="24"/>
              </w:rPr>
              <w:t>建设单位</w:t>
            </w:r>
          </w:p>
          <w:p w14:paraId="1070EBC8">
            <w:pPr>
              <w:jc w:val="left"/>
              <w:rPr>
                <w:rFonts w:hint="default" w:ascii="Arial" w:hAnsi="Arial" w:eastAsia="宋体" w:cs="Arial"/>
                <w:b/>
                <w:sz w:val="28"/>
                <w:szCs w:val="24"/>
              </w:rPr>
            </w:pPr>
            <w:r>
              <w:rPr>
                <w:rFonts w:hint="default" w:ascii="Arial" w:hAnsi="Arial" w:eastAsia="宋体" w:cs="Arial"/>
                <w:b/>
                <w:sz w:val="28"/>
                <w:szCs w:val="24"/>
              </w:rPr>
              <w:t>（盖章）：</w:t>
            </w:r>
          </w:p>
        </w:tc>
        <w:tc>
          <w:tcPr>
            <w:tcW w:w="6442" w:type="dxa"/>
            <w:tcBorders>
              <w:top w:val="single" w:color="auto" w:sz="4" w:space="0"/>
              <w:bottom w:val="single" w:color="auto" w:sz="4" w:space="0"/>
            </w:tcBorders>
            <w:vAlign w:val="center"/>
          </w:tcPr>
          <w:p w14:paraId="4DAF4A53">
            <w:pPr>
              <w:jc w:val="center"/>
              <w:rPr>
                <w:rFonts w:hint="default" w:ascii="Arial" w:hAnsi="Arial" w:eastAsia="宋体" w:cs="Arial"/>
                <w:b/>
                <w:kern w:val="0"/>
                <w:sz w:val="28"/>
                <w:szCs w:val="24"/>
                <w:lang w:eastAsia="zh-CN"/>
              </w:rPr>
            </w:pPr>
            <w:r>
              <w:rPr>
                <w:rFonts w:hint="default" w:ascii="Arial" w:hAnsi="Arial" w:eastAsia="宋体" w:cs="Arial"/>
                <w:b/>
                <w:kern w:val="0"/>
                <w:sz w:val="28"/>
                <w:szCs w:val="24"/>
                <w:lang w:eastAsia="zh-CN"/>
              </w:rPr>
              <w:t>浙江汇轩汽车零部件有限公司</w:t>
            </w:r>
          </w:p>
        </w:tc>
      </w:tr>
      <w:tr w14:paraId="2BF9C34E">
        <w:tblPrEx>
          <w:tblCellMar>
            <w:top w:w="0" w:type="dxa"/>
            <w:left w:w="108" w:type="dxa"/>
            <w:bottom w:w="0" w:type="dxa"/>
            <w:right w:w="108" w:type="dxa"/>
          </w:tblCellMar>
        </w:tblPrEx>
        <w:trPr>
          <w:trHeight w:val="567" w:hRule="atLeast"/>
          <w:jc w:val="center"/>
        </w:trPr>
        <w:tc>
          <w:tcPr>
            <w:tcW w:w="2345" w:type="dxa"/>
            <w:vAlign w:val="center"/>
          </w:tcPr>
          <w:p w14:paraId="6E6A78C8">
            <w:pPr>
              <w:jc w:val="left"/>
              <w:rPr>
                <w:rFonts w:hint="default" w:ascii="Arial" w:hAnsi="Arial" w:eastAsia="宋体" w:cs="Arial"/>
                <w:b/>
                <w:sz w:val="28"/>
                <w:szCs w:val="24"/>
              </w:rPr>
            </w:pPr>
            <w:r>
              <w:rPr>
                <w:rFonts w:hint="default" w:ascii="Arial" w:hAnsi="Arial" w:eastAsia="宋体" w:cs="Arial"/>
                <w:b/>
                <w:sz w:val="28"/>
                <w:szCs w:val="24"/>
              </w:rPr>
              <w:t>编制日期：</w:t>
            </w:r>
          </w:p>
        </w:tc>
        <w:tc>
          <w:tcPr>
            <w:tcW w:w="6442" w:type="dxa"/>
            <w:tcBorders>
              <w:top w:val="single" w:color="auto" w:sz="4" w:space="0"/>
              <w:bottom w:val="single" w:color="auto" w:sz="4" w:space="0"/>
            </w:tcBorders>
            <w:vAlign w:val="center"/>
          </w:tcPr>
          <w:p w14:paraId="2C96CD65">
            <w:pPr>
              <w:jc w:val="center"/>
              <w:rPr>
                <w:rFonts w:hint="default" w:ascii="Arial" w:hAnsi="Arial" w:eastAsia="宋体" w:cs="Arial"/>
                <w:b/>
                <w:sz w:val="28"/>
                <w:szCs w:val="24"/>
              </w:rPr>
            </w:pPr>
            <w:r>
              <w:rPr>
                <w:rFonts w:hint="default" w:ascii="Arial" w:hAnsi="Arial" w:eastAsia="宋体" w:cs="Arial"/>
                <w:b/>
                <w:sz w:val="28"/>
                <w:szCs w:val="24"/>
              </w:rPr>
              <w:t>202</w:t>
            </w:r>
            <w:r>
              <w:rPr>
                <w:rFonts w:hint="default" w:ascii="Arial" w:hAnsi="Arial" w:eastAsia="宋体" w:cs="Arial"/>
                <w:b/>
                <w:sz w:val="28"/>
                <w:szCs w:val="24"/>
                <w:lang w:val="en-US" w:eastAsia="zh-CN"/>
              </w:rPr>
              <w:t>5</w:t>
            </w:r>
            <w:r>
              <w:rPr>
                <w:rFonts w:hint="default" w:ascii="Arial" w:hAnsi="Arial" w:eastAsia="宋体" w:cs="Arial"/>
                <w:b/>
                <w:sz w:val="28"/>
                <w:szCs w:val="24"/>
              </w:rPr>
              <w:t>年</w:t>
            </w:r>
            <w:r>
              <w:rPr>
                <w:rFonts w:hint="eastAsia" w:ascii="Arial" w:hAnsi="Arial" w:eastAsia="宋体" w:cs="Arial"/>
                <w:b/>
                <w:sz w:val="28"/>
                <w:szCs w:val="24"/>
                <w:lang w:val="en-US" w:eastAsia="zh-CN"/>
              </w:rPr>
              <w:t>7</w:t>
            </w:r>
            <w:bookmarkStart w:id="13" w:name="_GoBack"/>
            <w:bookmarkEnd w:id="13"/>
            <w:r>
              <w:rPr>
                <w:rFonts w:hint="default" w:ascii="Arial" w:hAnsi="Arial" w:eastAsia="宋体" w:cs="Arial"/>
                <w:b/>
                <w:sz w:val="28"/>
                <w:szCs w:val="24"/>
              </w:rPr>
              <w:t>月</w:t>
            </w:r>
          </w:p>
        </w:tc>
      </w:tr>
    </w:tbl>
    <w:p w14:paraId="166230A5">
      <w:pPr>
        <w:jc w:val="center"/>
        <w:rPr>
          <w:rFonts w:hint="default" w:ascii="Arial" w:hAnsi="Arial" w:eastAsia="宋体" w:cs="Arial"/>
          <w:b/>
          <w:sz w:val="30"/>
          <w:szCs w:val="30"/>
        </w:rPr>
      </w:pPr>
    </w:p>
    <w:p w14:paraId="51D33548">
      <w:pPr>
        <w:rPr>
          <w:rFonts w:hint="default" w:ascii="Arial" w:hAnsi="Arial" w:eastAsia="宋体" w:cs="Arial"/>
        </w:rPr>
      </w:pPr>
    </w:p>
    <w:p w14:paraId="33E39F25">
      <w:pPr>
        <w:rPr>
          <w:rFonts w:hint="default" w:ascii="Arial" w:hAnsi="Arial" w:eastAsia="宋体" w:cs="Arial"/>
        </w:rPr>
      </w:pPr>
    </w:p>
    <w:p w14:paraId="7FECAA50">
      <w:pPr>
        <w:rPr>
          <w:rFonts w:hint="default" w:ascii="Arial" w:hAnsi="Arial" w:eastAsia="宋体" w:cs="Arial"/>
        </w:rPr>
      </w:pPr>
    </w:p>
    <w:p w14:paraId="67B37BF9">
      <w:pPr>
        <w:rPr>
          <w:rFonts w:hint="default" w:ascii="Arial" w:hAnsi="Arial" w:eastAsia="宋体" w:cs="Arial"/>
        </w:rPr>
      </w:pPr>
    </w:p>
    <w:p w14:paraId="724F6C2B">
      <w:pPr>
        <w:rPr>
          <w:rFonts w:hint="default" w:ascii="Arial" w:hAnsi="Arial" w:eastAsia="宋体" w:cs="Arial"/>
        </w:rPr>
      </w:pPr>
    </w:p>
    <w:p w14:paraId="48A27121">
      <w:pPr>
        <w:rPr>
          <w:rFonts w:hint="default" w:ascii="Arial" w:hAnsi="Arial" w:eastAsia="宋体" w:cs="Arial"/>
        </w:rPr>
      </w:pPr>
    </w:p>
    <w:p w14:paraId="07876E37">
      <w:pPr>
        <w:rPr>
          <w:rFonts w:hint="default" w:ascii="Arial" w:hAnsi="Arial" w:eastAsia="宋体" w:cs="Arial"/>
        </w:rPr>
      </w:pPr>
    </w:p>
    <w:p w14:paraId="0F34186D">
      <w:pPr>
        <w:rPr>
          <w:rFonts w:hint="default" w:ascii="Arial" w:hAnsi="Arial" w:eastAsia="宋体" w:cs="Arial"/>
        </w:rPr>
      </w:pPr>
    </w:p>
    <w:p w14:paraId="15FD8B93">
      <w:pPr>
        <w:spacing w:line="360" w:lineRule="auto"/>
        <w:jc w:val="center"/>
        <w:rPr>
          <w:rFonts w:hint="default" w:ascii="Arial" w:hAnsi="Arial" w:eastAsia="宋体" w:cs="Arial"/>
          <w:b/>
          <w:bCs/>
          <w:sz w:val="32"/>
          <w:szCs w:val="32"/>
        </w:rPr>
        <w:sectPr>
          <w:headerReference r:id="rId3" w:type="default"/>
          <w:footerReference r:id="rId5" w:type="default"/>
          <w:headerReference r:id="rId4" w:type="even"/>
          <w:pgSz w:w="11906" w:h="16838"/>
          <w:pgMar w:top="1440" w:right="1287" w:bottom="1440" w:left="1701" w:header="851" w:footer="992" w:gutter="0"/>
          <w:cols w:space="425" w:num="1"/>
          <w:docGrid w:type="linesAndChars" w:linePitch="340" w:charSpace="0"/>
        </w:sectPr>
      </w:pPr>
      <w:r>
        <w:rPr>
          <w:rFonts w:hint="default" w:ascii="Arial" w:hAnsi="Arial" w:eastAsia="宋体" w:cs="Arial"/>
          <w:b/>
          <w:bCs/>
          <w:sz w:val="32"/>
          <w:szCs w:val="32"/>
        </w:rPr>
        <w:t>浙江省工业环保设计研究院有限公司</w:t>
      </w:r>
    </w:p>
    <w:p w14:paraId="38163B2C">
      <w:pPr>
        <w:jc w:val="center"/>
        <w:rPr>
          <w:rFonts w:hint="default" w:ascii="Arial" w:hAnsi="Arial" w:eastAsia="宋体" w:cs="Arial"/>
          <w:b/>
          <w:sz w:val="36"/>
          <w:szCs w:val="36"/>
        </w:rPr>
      </w:pPr>
      <w:r>
        <w:rPr>
          <w:rFonts w:hint="default" w:ascii="Arial" w:hAnsi="Arial" w:eastAsia="宋体" w:cs="Arial"/>
          <w:b/>
          <w:sz w:val="36"/>
          <w:szCs w:val="36"/>
        </w:rPr>
        <w:t>目录</w:t>
      </w:r>
    </w:p>
    <w:p w14:paraId="1EE67624">
      <w:pPr>
        <w:pStyle w:val="36"/>
        <w:tabs>
          <w:tab w:val="left" w:pos="420"/>
          <w:tab w:val="right" w:leader="middleDot" w:pos="8908"/>
        </w:tabs>
        <w:jc w:val="distribute"/>
        <w:rPr>
          <w:rFonts w:hint="default" w:ascii="Arial" w:hAnsi="Arial" w:eastAsia="宋体" w:cs="Arial"/>
          <w:b w:val="0"/>
          <w:bCs w:val="0"/>
          <w:i w:val="0"/>
          <w:iCs w:val="0"/>
          <w:sz w:val="28"/>
        </w:rPr>
      </w:pPr>
      <w:r>
        <w:rPr>
          <w:rFonts w:hint="default" w:ascii="Arial" w:hAnsi="Arial" w:eastAsia="宋体" w:cs="Arial"/>
          <w:b w:val="0"/>
          <w:i w:val="0"/>
          <w:sz w:val="36"/>
          <w:szCs w:val="36"/>
        </w:rPr>
        <w:fldChar w:fldCharType="begin"/>
      </w:r>
      <w:r>
        <w:rPr>
          <w:rFonts w:hint="default" w:ascii="Arial" w:hAnsi="Arial" w:eastAsia="宋体" w:cs="Arial"/>
          <w:b w:val="0"/>
          <w:i w:val="0"/>
          <w:sz w:val="36"/>
          <w:szCs w:val="36"/>
        </w:rPr>
        <w:instrText xml:space="preserve"> TOC \o "1-1" \h \z \u </w:instrText>
      </w:r>
      <w:r>
        <w:rPr>
          <w:rFonts w:hint="default" w:ascii="Arial" w:hAnsi="Arial" w:eastAsia="宋体" w:cs="Arial"/>
          <w:b w:val="0"/>
          <w:i w:val="0"/>
          <w:sz w:val="36"/>
          <w:szCs w:val="36"/>
        </w:rPr>
        <w:fldChar w:fldCharType="separate"/>
      </w:r>
      <w:r>
        <w:rPr>
          <w:rFonts w:hint="default" w:ascii="Arial" w:hAnsi="Arial" w:eastAsia="宋体" w:cs="Arial"/>
        </w:rPr>
        <w:fldChar w:fldCharType="begin"/>
      </w:r>
      <w:r>
        <w:rPr>
          <w:rFonts w:hint="default" w:ascii="Arial" w:hAnsi="Arial" w:eastAsia="宋体" w:cs="Arial"/>
        </w:rPr>
        <w:instrText xml:space="preserve"> HYPERLINK \l "_Toc104732978" </w:instrText>
      </w:r>
      <w:r>
        <w:rPr>
          <w:rFonts w:hint="default" w:ascii="Arial" w:hAnsi="Arial" w:eastAsia="宋体" w:cs="Arial"/>
        </w:rPr>
        <w:fldChar w:fldCharType="separate"/>
      </w:r>
      <w:r>
        <w:rPr>
          <w:rStyle w:val="67"/>
          <w:rFonts w:hint="default" w:ascii="Arial" w:hAnsi="Arial" w:eastAsia="宋体" w:cs="Arial"/>
          <w:i w:val="0"/>
          <w:color w:val="auto"/>
          <w:sz w:val="28"/>
        </w:rPr>
        <w:t>1.</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建设项目基本情况</w:t>
      </w:r>
      <w:r>
        <w:rPr>
          <w:rStyle w:val="67"/>
          <w:rFonts w:hint="default" w:ascii="Arial" w:hAnsi="Arial" w:cs="Arial"/>
          <w:i w:val="0"/>
          <w:color w:val="auto"/>
          <w:sz w:val="28"/>
          <w:lang w:eastAsia="zh-CN"/>
        </w:rPr>
        <w:t>……………………………………………………</w:t>
      </w:r>
      <w:r>
        <w:rPr>
          <w:rFonts w:hint="default" w:ascii="Arial" w:hAnsi="Arial" w:eastAsia="宋体" w:cs="Arial"/>
          <w:i w:val="0"/>
          <w:sz w:val="28"/>
        </w:rPr>
        <w:t>1</w:t>
      </w:r>
      <w:r>
        <w:rPr>
          <w:rFonts w:hint="default" w:ascii="Arial" w:hAnsi="Arial" w:eastAsia="宋体" w:cs="Arial"/>
          <w:i w:val="0"/>
          <w:sz w:val="28"/>
        </w:rPr>
        <w:fldChar w:fldCharType="end"/>
      </w:r>
    </w:p>
    <w:p w14:paraId="27A8815B">
      <w:pPr>
        <w:pStyle w:val="36"/>
        <w:tabs>
          <w:tab w:val="left" w:pos="420"/>
          <w:tab w:val="right" w:leader="middleDot" w:pos="8908"/>
        </w:tabs>
        <w:jc w:val="distribute"/>
        <w:rPr>
          <w:rFonts w:hint="eastAsia" w:ascii="Arial" w:hAnsi="Arial" w:eastAsia="宋体" w:cs="Arial"/>
          <w:b w:val="0"/>
          <w:bCs w:val="0"/>
          <w:i w:val="0"/>
          <w:iCs w:val="0"/>
          <w:sz w:val="28"/>
          <w:lang w:val="en-US" w:eastAsia="zh-CN"/>
        </w:rPr>
      </w:pPr>
      <w:r>
        <w:rPr>
          <w:rFonts w:hint="default" w:ascii="Arial" w:hAnsi="Arial" w:eastAsia="宋体" w:cs="Arial"/>
        </w:rPr>
        <w:fldChar w:fldCharType="begin"/>
      </w:r>
      <w:r>
        <w:rPr>
          <w:rFonts w:hint="default" w:ascii="Arial" w:hAnsi="Arial" w:eastAsia="宋体" w:cs="Arial"/>
        </w:rPr>
        <w:instrText xml:space="preserve"> HYPERLINK \l "_Toc104732979" </w:instrText>
      </w:r>
      <w:r>
        <w:rPr>
          <w:rFonts w:hint="default" w:ascii="Arial" w:hAnsi="Arial" w:eastAsia="宋体" w:cs="Arial"/>
        </w:rPr>
        <w:fldChar w:fldCharType="separate"/>
      </w:r>
      <w:r>
        <w:rPr>
          <w:rStyle w:val="67"/>
          <w:rFonts w:hint="default" w:ascii="Arial" w:hAnsi="Arial" w:eastAsia="宋体" w:cs="Arial"/>
          <w:i w:val="0"/>
          <w:color w:val="auto"/>
          <w:sz w:val="28"/>
        </w:rPr>
        <w:t>2.</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建设项目工程分析</w:t>
      </w:r>
      <w:r>
        <w:rPr>
          <w:rFonts w:hint="default" w:ascii="Arial" w:hAnsi="Arial" w:cs="Arial"/>
          <w:i w:val="0"/>
          <w:sz w:val="28"/>
          <w:lang w:eastAsia="zh-CN"/>
        </w:rPr>
        <w:t>……………………………………………………</w:t>
      </w:r>
      <w:r>
        <w:rPr>
          <w:rFonts w:hint="eastAsia" w:ascii="Arial" w:hAnsi="Arial" w:cs="Arial"/>
          <w:i w:val="0"/>
          <w:sz w:val="28"/>
          <w:lang w:val="en-US" w:eastAsia="zh-CN"/>
        </w:rPr>
        <w:t>3</w:t>
      </w:r>
      <w:r>
        <w:rPr>
          <w:rFonts w:hint="default" w:ascii="Arial" w:hAnsi="Arial" w:eastAsia="宋体" w:cs="Arial"/>
          <w:i w:val="0"/>
          <w:sz w:val="28"/>
        </w:rPr>
        <w:fldChar w:fldCharType="end"/>
      </w:r>
      <w:r>
        <w:rPr>
          <w:rFonts w:hint="eastAsia" w:ascii="Arial" w:hAnsi="Arial" w:cs="Arial"/>
          <w:i w:val="0"/>
          <w:sz w:val="28"/>
          <w:lang w:val="en-US" w:eastAsia="zh-CN"/>
        </w:rPr>
        <w:t>0</w:t>
      </w:r>
    </w:p>
    <w:p w14:paraId="68BC1B92">
      <w:pPr>
        <w:pStyle w:val="36"/>
        <w:tabs>
          <w:tab w:val="left" w:pos="420"/>
          <w:tab w:val="right" w:leader="middleDot" w:pos="8908"/>
        </w:tabs>
        <w:jc w:val="distribute"/>
        <w:rPr>
          <w:rFonts w:hint="default" w:ascii="Arial" w:hAnsi="Arial" w:eastAsia="宋体" w:cs="Arial"/>
          <w:b w:val="0"/>
          <w:bCs w:val="0"/>
          <w:i w:val="0"/>
          <w:iCs w:val="0"/>
          <w:sz w:val="28"/>
        </w:rPr>
      </w:pPr>
      <w:r>
        <w:rPr>
          <w:rFonts w:hint="default" w:ascii="Arial" w:hAnsi="Arial" w:eastAsia="宋体" w:cs="Arial"/>
        </w:rPr>
        <w:fldChar w:fldCharType="begin"/>
      </w:r>
      <w:r>
        <w:rPr>
          <w:rFonts w:hint="default" w:ascii="Arial" w:hAnsi="Arial" w:eastAsia="宋体" w:cs="Arial"/>
        </w:rPr>
        <w:instrText xml:space="preserve"> HYPERLINK \l "_Toc104732980" </w:instrText>
      </w:r>
      <w:r>
        <w:rPr>
          <w:rFonts w:hint="default" w:ascii="Arial" w:hAnsi="Arial" w:eastAsia="宋体" w:cs="Arial"/>
        </w:rPr>
        <w:fldChar w:fldCharType="separate"/>
      </w:r>
      <w:r>
        <w:rPr>
          <w:rStyle w:val="67"/>
          <w:rFonts w:hint="default" w:ascii="Arial" w:hAnsi="Arial" w:eastAsia="宋体" w:cs="Arial"/>
          <w:i w:val="0"/>
          <w:color w:val="auto"/>
          <w:sz w:val="28"/>
        </w:rPr>
        <w:t>3.</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区域环境质量现状、环境保护目标及评价标准</w:t>
      </w:r>
      <w:r>
        <w:rPr>
          <w:rFonts w:hint="default" w:ascii="Arial" w:hAnsi="Arial" w:cs="Arial"/>
          <w:i w:val="0"/>
          <w:sz w:val="28"/>
          <w:lang w:eastAsia="zh-CN"/>
        </w:rPr>
        <w:t>……………………</w:t>
      </w:r>
      <w:r>
        <w:rPr>
          <w:rFonts w:hint="default" w:ascii="Arial" w:hAnsi="Arial" w:eastAsia="宋体" w:cs="Arial"/>
          <w:i w:val="0"/>
          <w:sz w:val="28"/>
        </w:rPr>
        <w:fldChar w:fldCharType="begin"/>
      </w:r>
      <w:r>
        <w:rPr>
          <w:rFonts w:hint="default" w:ascii="Arial" w:hAnsi="Arial" w:eastAsia="宋体" w:cs="Arial"/>
          <w:i w:val="0"/>
          <w:sz w:val="28"/>
        </w:rPr>
        <w:instrText xml:space="preserve"> PAGEREF _Toc104732980 \h </w:instrText>
      </w:r>
      <w:r>
        <w:rPr>
          <w:rFonts w:hint="default" w:ascii="Arial" w:hAnsi="Arial" w:eastAsia="宋体" w:cs="Arial"/>
          <w:i w:val="0"/>
          <w:sz w:val="28"/>
        </w:rPr>
        <w:fldChar w:fldCharType="separate"/>
      </w:r>
      <w:r>
        <w:rPr>
          <w:rFonts w:hint="default" w:ascii="Arial" w:hAnsi="Arial" w:eastAsia="宋体" w:cs="Arial"/>
          <w:i w:val="0"/>
          <w:sz w:val="28"/>
        </w:rPr>
        <w:t>54</w:t>
      </w:r>
      <w:r>
        <w:rPr>
          <w:rFonts w:hint="default" w:ascii="Arial" w:hAnsi="Arial" w:eastAsia="宋体" w:cs="Arial"/>
          <w:i w:val="0"/>
          <w:sz w:val="28"/>
        </w:rPr>
        <w:fldChar w:fldCharType="end"/>
      </w:r>
      <w:r>
        <w:rPr>
          <w:rFonts w:hint="default" w:ascii="Arial" w:hAnsi="Arial" w:eastAsia="宋体" w:cs="Arial"/>
          <w:i w:val="0"/>
          <w:sz w:val="28"/>
        </w:rPr>
        <w:fldChar w:fldCharType="end"/>
      </w:r>
    </w:p>
    <w:p w14:paraId="68104C0F">
      <w:pPr>
        <w:pStyle w:val="36"/>
        <w:tabs>
          <w:tab w:val="left" w:pos="420"/>
          <w:tab w:val="right" w:leader="middleDot" w:pos="8908"/>
        </w:tabs>
        <w:jc w:val="distribute"/>
        <w:rPr>
          <w:rFonts w:hint="default" w:ascii="Arial" w:hAnsi="Arial" w:eastAsia="宋体" w:cs="Arial"/>
          <w:b w:val="0"/>
          <w:bCs w:val="0"/>
          <w:i w:val="0"/>
          <w:iCs w:val="0"/>
          <w:sz w:val="28"/>
        </w:rPr>
      </w:pPr>
      <w:r>
        <w:rPr>
          <w:rFonts w:hint="default" w:ascii="Arial" w:hAnsi="Arial" w:eastAsia="宋体" w:cs="Arial"/>
        </w:rPr>
        <w:fldChar w:fldCharType="begin"/>
      </w:r>
      <w:r>
        <w:rPr>
          <w:rFonts w:hint="default" w:ascii="Arial" w:hAnsi="Arial" w:eastAsia="宋体" w:cs="Arial"/>
        </w:rPr>
        <w:instrText xml:space="preserve"> HYPERLINK \l "_Toc104732981" </w:instrText>
      </w:r>
      <w:r>
        <w:rPr>
          <w:rFonts w:hint="default" w:ascii="Arial" w:hAnsi="Arial" w:eastAsia="宋体" w:cs="Arial"/>
        </w:rPr>
        <w:fldChar w:fldCharType="separate"/>
      </w:r>
      <w:r>
        <w:rPr>
          <w:rStyle w:val="67"/>
          <w:rFonts w:hint="default" w:ascii="Arial" w:hAnsi="Arial" w:eastAsia="宋体" w:cs="Arial"/>
          <w:i w:val="0"/>
          <w:color w:val="auto"/>
          <w:sz w:val="28"/>
        </w:rPr>
        <w:t>4.</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主要环境影响和保护措施</w:t>
      </w:r>
      <w:r>
        <w:rPr>
          <w:rFonts w:hint="default" w:ascii="Arial" w:hAnsi="Arial" w:cs="Arial"/>
          <w:i w:val="0"/>
          <w:sz w:val="28"/>
          <w:lang w:eastAsia="zh-CN"/>
        </w:rPr>
        <w:t>……………………………………………</w:t>
      </w:r>
      <w:r>
        <w:rPr>
          <w:rFonts w:hint="default" w:ascii="Arial" w:hAnsi="Arial" w:eastAsia="宋体" w:cs="Arial"/>
          <w:i w:val="0"/>
          <w:sz w:val="28"/>
        </w:rPr>
        <w:fldChar w:fldCharType="begin"/>
      </w:r>
      <w:r>
        <w:rPr>
          <w:rFonts w:hint="default" w:ascii="Arial" w:hAnsi="Arial" w:eastAsia="宋体" w:cs="Arial"/>
          <w:i w:val="0"/>
          <w:sz w:val="28"/>
        </w:rPr>
        <w:instrText xml:space="preserve"> PAGEREF _Toc104732981 \h </w:instrText>
      </w:r>
      <w:r>
        <w:rPr>
          <w:rFonts w:hint="default" w:ascii="Arial" w:hAnsi="Arial" w:eastAsia="宋体" w:cs="Arial"/>
          <w:i w:val="0"/>
          <w:sz w:val="28"/>
        </w:rPr>
        <w:fldChar w:fldCharType="separate"/>
      </w:r>
      <w:r>
        <w:rPr>
          <w:rFonts w:hint="default" w:ascii="Arial" w:hAnsi="Arial" w:eastAsia="宋体" w:cs="Arial"/>
          <w:i w:val="0"/>
          <w:sz w:val="28"/>
        </w:rPr>
        <w:t>65</w:t>
      </w:r>
      <w:r>
        <w:rPr>
          <w:rFonts w:hint="default" w:ascii="Arial" w:hAnsi="Arial" w:eastAsia="宋体" w:cs="Arial"/>
          <w:i w:val="0"/>
          <w:sz w:val="28"/>
        </w:rPr>
        <w:fldChar w:fldCharType="end"/>
      </w:r>
      <w:r>
        <w:rPr>
          <w:rFonts w:hint="default" w:ascii="Arial" w:hAnsi="Arial" w:eastAsia="宋体" w:cs="Arial"/>
          <w:i w:val="0"/>
          <w:sz w:val="28"/>
        </w:rPr>
        <w:fldChar w:fldCharType="end"/>
      </w:r>
    </w:p>
    <w:p w14:paraId="330C77AB">
      <w:pPr>
        <w:pStyle w:val="36"/>
        <w:tabs>
          <w:tab w:val="left" w:pos="420"/>
          <w:tab w:val="right" w:leader="middleDot" w:pos="8908"/>
        </w:tabs>
        <w:jc w:val="distribute"/>
        <w:rPr>
          <w:rFonts w:hint="eastAsia" w:ascii="Arial" w:hAnsi="Arial" w:eastAsia="宋体" w:cs="Arial"/>
          <w:b w:val="0"/>
          <w:bCs w:val="0"/>
          <w:i w:val="0"/>
          <w:iCs w:val="0"/>
          <w:sz w:val="28"/>
          <w:lang w:val="en-US" w:eastAsia="zh-CN"/>
        </w:rPr>
      </w:pPr>
      <w:r>
        <w:rPr>
          <w:rFonts w:hint="default" w:ascii="Arial" w:hAnsi="Arial" w:eastAsia="宋体" w:cs="Arial"/>
        </w:rPr>
        <w:fldChar w:fldCharType="begin"/>
      </w:r>
      <w:r>
        <w:rPr>
          <w:rFonts w:hint="default" w:ascii="Arial" w:hAnsi="Arial" w:eastAsia="宋体" w:cs="Arial"/>
        </w:rPr>
        <w:instrText xml:space="preserve"> HYPERLINK \l "_Toc104732982" </w:instrText>
      </w:r>
      <w:r>
        <w:rPr>
          <w:rFonts w:hint="default" w:ascii="Arial" w:hAnsi="Arial" w:eastAsia="宋体" w:cs="Arial"/>
        </w:rPr>
        <w:fldChar w:fldCharType="separate"/>
      </w:r>
      <w:r>
        <w:rPr>
          <w:rStyle w:val="67"/>
          <w:rFonts w:hint="default" w:ascii="Arial" w:hAnsi="Arial" w:eastAsia="宋体" w:cs="Arial"/>
          <w:i w:val="0"/>
          <w:color w:val="auto"/>
          <w:sz w:val="28"/>
        </w:rPr>
        <w:t>5.</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环境保护措施监督检查清单</w:t>
      </w:r>
      <w:r>
        <w:rPr>
          <w:rFonts w:hint="default" w:ascii="Arial" w:hAnsi="Arial" w:cs="Arial"/>
          <w:i w:val="0"/>
          <w:sz w:val="28"/>
          <w:lang w:eastAsia="zh-CN"/>
        </w:rPr>
        <w:t>…………………………………………</w:t>
      </w:r>
      <w:r>
        <w:rPr>
          <w:rFonts w:hint="eastAsia" w:ascii="Arial" w:hAnsi="Arial" w:cs="Arial"/>
          <w:i w:val="0"/>
          <w:sz w:val="28"/>
          <w:lang w:val="en-US" w:eastAsia="zh-CN"/>
        </w:rPr>
        <w:t>9</w:t>
      </w:r>
      <w:r>
        <w:rPr>
          <w:rFonts w:hint="default" w:ascii="Arial" w:hAnsi="Arial" w:eastAsia="宋体" w:cs="Arial"/>
          <w:i w:val="0"/>
          <w:sz w:val="28"/>
        </w:rPr>
        <w:fldChar w:fldCharType="end"/>
      </w:r>
      <w:r>
        <w:rPr>
          <w:rFonts w:hint="eastAsia" w:ascii="Arial" w:hAnsi="Arial" w:cs="Arial"/>
          <w:i w:val="0"/>
          <w:sz w:val="28"/>
          <w:lang w:val="en-US" w:eastAsia="zh-CN"/>
        </w:rPr>
        <w:t>7</w:t>
      </w:r>
    </w:p>
    <w:p w14:paraId="0D25099F">
      <w:pPr>
        <w:pStyle w:val="36"/>
        <w:tabs>
          <w:tab w:val="left" w:pos="420"/>
          <w:tab w:val="right" w:leader="middleDot" w:pos="8908"/>
        </w:tabs>
        <w:jc w:val="distribute"/>
        <w:rPr>
          <w:rFonts w:hint="eastAsia" w:ascii="Arial" w:hAnsi="Arial" w:eastAsia="宋体" w:cs="Arial"/>
          <w:b w:val="0"/>
          <w:bCs w:val="0"/>
          <w:i w:val="0"/>
          <w:iCs w:val="0"/>
          <w:sz w:val="28"/>
          <w:lang w:val="en-US" w:eastAsia="zh-CN"/>
        </w:rPr>
      </w:pPr>
      <w:r>
        <w:rPr>
          <w:rFonts w:hint="default" w:ascii="Arial" w:hAnsi="Arial" w:eastAsia="宋体" w:cs="Arial"/>
        </w:rPr>
        <w:fldChar w:fldCharType="begin"/>
      </w:r>
      <w:r>
        <w:rPr>
          <w:rFonts w:hint="default" w:ascii="Arial" w:hAnsi="Arial" w:eastAsia="宋体" w:cs="Arial"/>
        </w:rPr>
        <w:instrText xml:space="preserve"> HYPERLINK \l "_Toc104732983" </w:instrText>
      </w:r>
      <w:r>
        <w:rPr>
          <w:rFonts w:hint="default" w:ascii="Arial" w:hAnsi="Arial" w:eastAsia="宋体" w:cs="Arial"/>
        </w:rPr>
        <w:fldChar w:fldCharType="separate"/>
      </w:r>
      <w:r>
        <w:rPr>
          <w:rStyle w:val="67"/>
          <w:rFonts w:hint="default" w:ascii="Arial" w:hAnsi="Arial" w:eastAsia="宋体" w:cs="Arial"/>
          <w:i w:val="0"/>
          <w:color w:val="auto"/>
          <w:sz w:val="28"/>
        </w:rPr>
        <w:t>6.</w:t>
      </w:r>
      <w:r>
        <w:rPr>
          <w:rFonts w:hint="default" w:ascii="Arial" w:hAnsi="Arial" w:eastAsia="宋体" w:cs="Arial"/>
          <w:b w:val="0"/>
          <w:bCs w:val="0"/>
          <w:i w:val="0"/>
          <w:iCs w:val="0"/>
          <w:sz w:val="28"/>
        </w:rPr>
        <w:tab/>
      </w:r>
      <w:r>
        <w:rPr>
          <w:rStyle w:val="67"/>
          <w:rFonts w:hint="default" w:ascii="Arial" w:hAnsi="Arial" w:eastAsia="宋体" w:cs="Arial"/>
          <w:i w:val="0"/>
          <w:color w:val="auto"/>
          <w:sz w:val="28"/>
        </w:rPr>
        <w:t>结论</w:t>
      </w:r>
      <w:r>
        <w:rPr>
          <w:rFonts w:hint="default" w:ascii="Arial" w:hAnsi="Arial" w:cs="Arial"/>
          <w:i w:val="0"/>
          <w:sz w:val="28"/>
          <w:lang w:eastAsia="zh-CN"/>
        </w:rPr>
        <w:t>……………………………………………………………………</w:t>
      </w:r>
      <w:r>
        <w:rPr>
          <w:rFonts w:hint="eastAsia" w:ascii="Arial" w:hAnsi="Arial" w:cs="Arial"/>
          <w:i w:val="0"/>
          <w:sz w:val="28"/>
          <w:lang w:val="en-US" w:eastAsia="zh-CN"/>
        </w:rPr>
        <w:t>9</w:t>
      </w:r>
      <w:r>
        <w:rPr>
          <w:rFonts w:hint="default" w:ascii="Arial" w:hAnsi="Arial" w:eastAsia="宋体" w:cs="Arial"/>
          <w:i w:val="0"/>
          <w:sz w:val="28"/>
        </w:rPr>
        <w:fldChar w:fldCharType="end"/>
      </w:r>
      <w:r>
        <w:rPr>
          <w:rFonts w:hint="eastAsia" w:ascii="Arial" w:hAnsi="Arial" w:cs="Arial"/>
          <w:i w:val="0"/>
          <w:sz w:val="28"/>
          <w:lang w:val="en-US" w:eastAsia="zh-CN"/>
        </w:rPr>
        <w:t>9</w:t>
      </w:r>
    </w:p>
    <w:p w14:paraId="40E5C0B9">
      <w:pPr>
        <w:widowControl/>
        <w:jc w:val="center"/>
        <w:rPr>
          <w:rFonts w:hint="default" w:ascii="Arial" w:hAnsi="Arial" w:eastAsia="宋体" w:cs="Arial"/>
          <w:b/>
          <w:sz w:val="36"/>
          <w:szCs w:val="36"/>
        </w:rPr>
      </w:pPr>
      <w:r>
        <w:rPr>
          <w:rFonts w:hint="default" w:ascii="Arial" w:hAnsi="Arial" w:eastAsia="宋体" w:cs="Arial"/>
          <w:b/>
          <w:sz w:val="36"/>
          <w:szCs w:val="36"/>
        </w:rPr>
        <w:fldChar w:fldCharType="end"/>
      </w:r>
    </w:p>
    <w:tbl>
      <w:tblPr>
        <w:tblStyle w:val="52"/>
        <w:tblW w:w="8750" w:type="dxa"/>
        <w:tblInd w:w="108" w:type="dxa"/>
        <w:tblLayout w:type="fixed"/>
        <w:tblCellMar>
          <w:top w:w="0" w:type="dxa"/>
          <w:left w:w="108" w:type="dxa"/>
          <w:bottom w:w="0" w:type="dxa"/>
          <w:right w:w="108" w:type="dxa"/>
        </w:tblCellMar>
      </w:tblPr>
      <w:tblGrid>
        <w:gridCol w:w="1134"/>
        <w:gridCol w:w="7616"/>
      </w:tblGrid>
      <w:tr w14:paraId="4E93C61C">
        <w:tblPrEx>
          <w:tblCellMar>
            <w:top w:w="0" w:type="dxa"/>
            <w:left w:w="108" w:type="dxa"/>
            <w:bottom w:w="0" w:type="dxa"/>
            <w:right w:w="108" w:type="dxa"/>
          </w:tblCellMar>
        </w:tblPrEx>
        <w:trPr>
          <w:trHeight w:val="20" w:hRule="atLeast"/>
        </w:trPr>
        <w:tc>
          <w:tcPr>
            <w:tcW w:w="1134" w:type="dxa"/>
            <w:tcBorders>
              <w:tl2br w:val="nil"/>
              <w:tr2bl w:val="nil"/>
            </w:tcBorders>
          </w:tcPr>
          <w:p w14:paraId="132ED1BC">
            <w:pPr>
              <w:rPr>
                <w:rFonts w:hint="default" w:ascii="Arial" w:hAnsi="Arial" w:eastAsia="宋体" w:cs="Arial"/>
                <w:sz w:val="24"/>
                <w:szCs w:val="24"/>
              </w:rPr>
            </w:pPr>
            <w:r>
              <w:rPr>
                <w:rFonts w:hint="default" w:ascii="Arial" w:hAnsi="Arial" w:eastAsia="宋体" w:cs="Arial"/>
                <w:sz w:val="24"/>
                <w:szCs w:val="24"/>
              </w:rPr>
              <w:t>附表</w:t>
            </w:r>
          </w:p>
        </w:tc>
        <w:tc>
          <w:tcPr>
            <w:tcW w:w="7616" w:type="dxa"/>
            <w:tcBorders>
              <w:tl2br w:val="nil"/>
              <w:tr2bl w:val="nil"/>
            </w:tcBorders>
          </w:tcPr>
          <w:p w14:paraId="3CB31E05">
            <w:pPr>
              <w:rPr>
                <w:rFonts w:hint="default" w:ascii="Arial" w:hAnsi="Arial" w:eastAsia="宋体" w:cs="Arial"/>
                <w:b/>
                <w:bCs/>
                <w:sz w:val="24"/>
                <w:szCs w:val="24"/>
              </w:rPr>
            </w:pPr>
          </w:p>
        </w:tc>
      </w:tr>
      <w:tr w14:paraId="594366BA">
        <w:tblPrEx>
          <w:tblCellMar>
            <w:top w:w="0" w:type="dxa"/>
            <w:left w:w="108" w:type="dxa"/>
            <w:bottom w:w="0" w:type="dxa"/>
            <w:right w:w="108" w:type="dxa"/>
          </w:tblCellMar>
        </w:tblPrEx>
        <w:trPr>
          <w:trHeight w:val="20" w:hRule="atLeast"/>
        </w:trPr>
        <w:tc>
          <w:tcPr>
            <w:tcW w:w="1134" w:type="dxa"/>
            <w:tcBorders>
              <w:tl2br w:val="nil"/>
              <w:tr2bl w:val="nil"/>
            </w:tcBorders>
          </w:tcPr>
          <w:p w14:paraId="14BDBB1E">
            <w:pPr>
              <w:rPr>
                <w:rFonts w:hint="default" w:ascii="Arial" w:hAnsi="Arial" w:eastAsia="宋体" w:cs="Arial"/>
                <w:sz w:val="24"/>
                <w:szCs w:val="24"/>
              </w:rPr>
            </w:pPr>
            <w:r>
              <w:rPr>
                <w:rFonts w:hint="default" w:ascii="Arial" w:hAnsi="Arial" w:eastAsia="宋体" w:cs="Arial"/>
                <w:sz w:val="24"/>
                <w:szCs w:val="24"/>
              </w:rPr>
              <w:t>附表1</w:t>
            </w:r>
          </w:p>
        </w:tc>
        <w:tc>
          <w:tcPr>
            <w:tcW w:w="7616" w:type="dxa"/>
            <w:tcBorders>
              <w:tl2br w:val="nil"/>
              <w:tr2bl w:val="nil"/>
            </w:tcBorders>
          </w:tcPr>
          <w:p w14:paraId="5A30D175">
            <w:pPr>
              <w:rPr>
                <w:rFonts w:hint="default" w:ascii="Arial" w:hAnsi="Arial" w:eastAsia="宋体" w:cs="Arial"/>
                <w:bCs/>
                <w:sz w:val="24"/>
                <w:szCs w:val="24"/>
              </w:rPr>
            </w:pPr>
            <w:r>
              <w:rPr>
                <w:rFonts w:hint="default" w:ascii="Arial" w:hAnsi="Arial" w:eastAsia="宋体" w:cs="Arial"/>
                <w:bCs/>
                <w:sz w:val="24"/>
                <w:szCs w:val="24"/>
              </w:rPr>
              <w:t>建设项目污染物排放量汇总表</w:t>
            </w:r>
          </w:p>
        </w:tc>
      </w:tr>
      <w:tr w14:paraId="66E9497F">
        <w:tblPrEx>
          <w:tblCellMar>
            <w:top w:w="0" w:type="dxa"/>
            <w:left w:w="108" w:type="dxa"/>
            <w:bottom w:w="0" w:type="dxa"/>
            <w:right w:w="108" w:type="dxa"/>
          </w:tblCellMar>
        </w:tblPrEx>
        <w:trPr>
          <w:trHeight w:val="20" w:hRule="atLeast"/>
        </w:trPr>
        <w:tc>
          <w:tcPr>
            <w:tcW w:w="1134" w:type="dxa"/>
            <w:tcBorders>
              <w:tl2br w:val="nil"/>
              <w:tr2bl w:val="nil"/>
            </w:tcBorders>
          </w:tcPr>
          <w:p w14:paraId="60E17EB2">
            <w:pPr>
              <w:rPr>
                <w:rFonts w:hint="default" w:ascii="Arial" w:hAnsi="Arial" w:eastAsia="宋体" w:cs="Arial"/>
                <w:b/>
                <w:bCs/>
                <w:sz w:val="24"/>
                <w:szCs w:val="24"/>
              </w:rPr>
            </w:pPr>
            <w:r>
              <w:rPr>
                <w:rFonts w:hint="default" w:ascii="Arial" w:hAnsi="Arial" w:eastAsia="宋体" w:cs="Arial"/>
                <w:sz w:val="24"/>
                <w:szCs w:val="24"/>
              </w:rPr>
              <w:t>附图：</w:t>
            </w:r>
          </w:p>
        </w:tc>
        <w:tc>
          <w:tcPr>
            <w:tcW w:w="7616" w:type="dxa"/>
            <w:tcBorders>
              <w:tl2br w:val="nil"/>
              <w:tr2bl w:val="nil"/>
            </w:tcBorders>
          </w:tcPr>
          <w:p w14:paraId="08A5D47C">
            <w:pPr>
              <w:rPr>
                <w:rFonts w:hint="default" w:ascii="Arial" w:hAnsi="Arial" w:eastAsia="宋体" w:cs="Arial"/>
                <w:b/>
                <w:bCs/>
                <w:sz w:val="24"/>
                <w:szCs w:val="24"/>
              </w:rPr>
            </w:pPr>
          </w:p>
        </w:tc>
      </w:tr>
      <w:tr w14:paraId="5FE2F5FD">
        <w:tblPrEx>
          <w:tblCellMar>
            <w:top w:w="0" w:type="dxa"/>
            <w:left w:w="108" w:type="dxa"/>
            <w:bottom w:w="0" w:type="dxa"/>
            <w:right w:w="108" w:type="dxa"/>
          </w:tblCellMar>
        </w:tblPrEx>
        <w:trPr>
          <w:trHeight w:val="20" w:hRule="atLeast"/>
        </w:trPr>
        <w:tc>
          <w:tcPr>
            <w:tcW w:w="1134" w:type="dxa"/>
            <w:tcBorders>
              <w:tl2br w:val="nil"/>
              <w:tr2bl w:val="nil"/>
            </w:tcBorders>
          </w:tcPr>
          <w:p w14:paraId="2B9DB8B1">
            <w:pPr>
              <w:rPr>
                <w:rFonts w:hint="default" w:ascii="Arial" w:hAnsi="Arial" w:eastAsia="宋体" w:cs="Arial"/>
                <w:sz w:val="24"/>
                <w:szCs w:val="24"/>
              </w:rPr>
            </w:pPr>
            <w:r>
              <w:rPr>
                <w:rFonts w:hint="default" w:ascii="Arial" w:hAnsi="Arial" w:eastAsia="宋体" w:cs="Arial"/>
                <w:sz w:val="24"/>
                <w:szCs w:val="24"/>
              </w:rPr>
              <w:t>附图1</w:t>
            </w:r>
          </w:p>
        </w:tc>
        <w:tc>
          <w:tcPr>
            <w:tcW w:w="7616" w:type="dxa"/>
            <w:tcBorders>
              <w:tl2br w:val="nil"/>
              <w:tr2bl w:val="nil"/>
            </w:tcBorders>
          </w:tcPr>
          <w:p w14:paraId="4A164E3B">
            <w:pPr>
              <w:rPr>
                <w:rFonts w:hint="default" w:ascii="Arial" w:hAnsi="Arial" w:eastAsia="宋体" w:cs="Arial"/>
                <w:sz w:val="24"/>
                <w:szCs w:val="24"/>
              </w:rPr>
            </w:pPr>
            <w:r>
              <w:rPr>
                <w:rFonts w:hint="default" w:ascii="Arial" w:hAnsi="Arial" w:eastAsia="宋体" w:cs="Arial"/>
                <w:sz w:val="24"/>
                <w:szCs w:val="24"/>
              </w:rPr>
              <w:t>建设项目地理位置图</w:t>
            </w:r>
          </w:p>
        </w:tc>
      </w:tr>
      <w:tr w14:paraId="3E9787DD">
        <w:tblPrEx>
          <w:tblCellMar>
            <w:top w:w="0" w:type="dxa"/>
            <w:left w:w="108" w:type="dxa"/>
            <w:bottom w:w="0" w:type="dxa"/>
            <w:right w:w="108" w:type="dxa"/>
          </w:tblCellMar>
        </w:tblPrEx>
        <w:trPr>
          <w:trHeight w:val="20" w:hRule="atLeast"/>
        </w:trPr>
        <w:tc>
          <w:tcPr>
            <w:tcW w:w="1134" w:type="dxa"/>
            <w:tcBorders>
              <w:tl2br w:val="nil"/>
              <w:tr2bl w:val="nil"/>
            </w:tcBorders>
          </w:tcPr>
          <w:p w14:paraId="1C250D9E">
            <w:pPr>
              <w:rPr>
                <w:rFonts w:hint="default" w:ascii="Arial" w:hAnsi="Arial" w:eastAsia="宋体" w:cs="Arial"/>
                <w:sz w:val="24"/>
                <w:szCs w:val="24"/>
              </w:rPr>
            </w:pPr>
            <w:r>
              <w:rPr>
                <w:rFonts w:hint="default" w:ascii="Arial" w:hAnsi="Arial" w:eastAsia="宋体" w:cs="Arial"/>
                <w:sz w:val="24"/>
                <w:szCs w:val="24"/>
              </w:rPr>
              <w:t>附图2</w:t>
            </w:r>
          </w:p>
        </w:tc>
        <w:tc>
          <w:tcPr>
            <w:tcW w:w="7616" w:type="dxa"/>
            <w:tcBorders>
              <w:tl2br w:val="nil"/>
              <w:tr2bl w:val="nil"/>
            </w:tcBorders>
          </w:tcPr>
          <w:p w14:paraId="203EBF76">
            <w:pPr>
              <w:rPr>
                <w:rFonts w:hint="default" w:ascii="Arial" w:hAnsi="Arial" w:eastAsia="宋体" w:cs="Arial"/>
                <w:sz w:val="24"/>
                <w:szCs w:val="24"/>
              </w:rPr>
            </w:pPr>
            <w:r>
              <w:rPr>
                <w:rFonts w:hint="default" w:ascii="Arial" w:hAnsi="Arial" w:eastAsia="宋体" w:cs="Arial"/>
                <w:sz w:val="24"/>
                <w:szCs w:val="24"/>
              </w:rPr>
              <w:t>建设项目周边环境概况及敏感目标分布图</w:t>
            </w:r>
          </w:p>
        </w:tc>
      </w:tr>
      <w:tr w14:paraId="1A4C56E7">
        <w:tblPrEx>
          <w:tblCellMar>
            <w:top w:w="0" w:type="dxa"/>
            <w:left w:w="108" w:type="dxa"/>
            <w:bottom w:w="0" w:type="dxa"/>
            <w:right w:w="108" w:type="dxa"/>
          </w:tblCellMar>
        </w:tblPrEx>
        <w:trPr>
          <w:trHeight w:val="20" w:hRule="atLeast"/>
        </w:trPr>
        <w:tc>
          <w:tcPr>
            <w:tcW w:w="1134" w:type="dxa"/>
            <w:tcBorders>
              <w:tl2br w:val="nil"/>
              <w:tr2bl w:val="nil"/>
            </w:tcBorders>
          </w:tcPr>
          <w:p w14:paraId="518294E5">
            <w:pPr>
              <w:rPr>
                <w:rFonts w:hint="default" w:ascii="Arial" w:hAnsi="Arial" w:eastAsia="宋体" w:cs="Arial"/>
                <w:sz w:val="24"/>
                <w:szCs w:val="24"/>
              </w:rPr>
            </w:pPr>
            <w:r>
              <w:rPr>
                <w:rFonts w:hint="default" w:ascii="Arial" w:hAnsi="Arial" w:eastAsia="宋体" w:cs="Arial"/>
                <w:sz w:val="24"/>
                <w:szCs w:val="24"/>
              </w:rPr>
              <w:t>附图3</w:t>
            </w:r>
          </w:p>
          <w:p w14:paraId="30A6177F">
            <w:pPr>
              <w:rPr>
                <w:rFonts w:hint="default" w:ascii="Arial" w:hAnsi="Arial" w:eastAsia="宋体" w:cs="Arial"/>
                <w:sz w:val="24"/>
                <w:szCs w:val="24"/>
              </w:rPr>
            </w:pPr>
            <w:r>
              <w:rPr>
                <w:rFonts w:hint="default" w:ascii="Arial" w:hAnsi="Arial" w:eastAsia="宋体" w:cs="Arial"/>
                <w:sz w:val="24"/>
                <w:szCs w:val="24"/>
              </w:rPr>
              <w:t>附图4</w:t>
            </w:r>
          </w:p>
        </w:tc>
        <w:tc>
          <w:tcPr>
            <w:tcW w:w="7616" w:type="dxa"/>
            <w:tcBorders>
              <w:tl2br w:val="nil"/>
              <w:tr2bl w:val="nil"/>
            </w:tcBorders>
          </w:tcPr>
          <w:p w14:paraId="51FB8FBB">
            <w:pPr>
              <w:rPr>
                <w:rFonts w:hint="default" w:ascii="Arial" w:hAnsi="Arial" w:eastAsia="宋体" w:cs="Arial"/>
                <w:sz w:val="24"/>
                <w:szCs w:val="24"/>
              </w:rPr>
            </w:pPr>
            <w:r>
              <w:rPr>
                <w:rFonts w:hint="default" w:ascii="Arial" w:hAnsi="Arial" w:eastAsia="宋体" w:cs="Arial"/>
                <w:sz w:val="24"/>
                <w:szCs w:val="24"/>
              </w:rPr>
              <w:t>建设项目厂区平面布置图</w:t>
            </w:r>
          </w:p>
          <w:p w14:paraId="3B979E2A">
            <w:pPr>
              <w:rPr>
                <w:rFonts w:hint="default" w:ascii="Arial" w:hAnsi="Arial" w:eastAsia="宋体" w:cs="Arial"/>
                <w:sz w:val="24"/>
                <w:szCs w:val="24"/>
                <w:lang w:val="en-US" w:eastAsia="zh-CN"/>
              </w:rPr>
            </w:pPr>
            <w:r>
              <w:rPr>
                <w:rFonts w:hint="eastAsia" w:ascii="Arial" w:hAnsi="Arial" w:eastAsia="宋体" w:cs="Arial"/>
                <w:sz w:val="24"/>
                <w:szCs w:val="24"/>
                <w:lang w:val="en-US" w:eastAsia="zh-CN"/>
              </w:rPr>
              <w:t>水环境功能区划图</w:t>
            </w:r>
          </w:p>
        </w:tc>
      </w:tr>
      <w:tr w14:paraId="31492BF2">
        <w:tblPrEx>
          <w:tblCellMar>
            <w:top w:w="0" w:type="dxa"/>
            <w:left w:w="108" w:type="dxa"/>
            <w:bottom w:w="0" w:type="dxa"/>
            <w:right w:w="108" w:type="dxa"/>
          </w:tblCellMar>
        </w:tblPrEx>
        <w:trPr>
          <w:trHeight w:val="20" w:hRule="atLeast"/>
        </w:trPr>
        <w:tc>
          <w:tcPr>
            <w:tcW w:w="1134" w:type="dxa"/>
            <w:tcBorders>
              <w:tl2br w:val="nil"/>
              <w:tr2bl w:val="nil"/>
            </w:tcBorders>
          </w:tcPr>
          <w:p w14:paraId="6B1198BE">
            <w:pPr>
              <w:rPr>
                <w:rFonts w:hint="default" w:ascii="Arial" w:hAnsi="Arial" w:eastAsia="宋体" w:cs="Arial"/>
                <w:sz w:val="24"/>
                <w:szCs w:val="24"/>
              </w:rPr>
            </w:pPr>
            <w:r>
              <w:rPr>
                <w:rFonts w:hint="default" w:ascii="Arial" w:hAnsi="Arial" w:eastAsia="宋体" w:cs="Arial"/>
                <w:sz w:val="24"/>
                <w:szCs w:val="24"/>
              </w:rPr>
              <w:t>附图5</w:t>
            </w:r>
          </w:p>
        </w:tc>
        <w:tc>
          <w:tcPr>
            <w:tcW w:w="7616" w:type="dxa"/>
            <w:tcBorders>
              <w:tl2br w:val="nil"/>
              <w:tr2bl w:val="nil"/>
            </w:tcBorders>
          </w:tcPr>
          <w:p w14:paraId="6E09EC20">
            <w:pPr>
              <w:rPr>
                <w:rFonts w:hint="default" w:ascii="Arial" w:hAnsi="Arial" w:eastAsia="宋体" w:cs="Arial"/>
                <w:sz w:val="24"/>
                <w:szCs w:val="24"/>
              </w:rPr>
            </w:pPr>
            <w:r>
              <w:rPr>
                <w:rFonts w:hint="default" w:ascii="Arial" w:hAnsi="Arial" w:eastAsia="宋体" w:cs="Arial"/>
                <w:sz w:val="24"/>
                <w:szCs w:val="24"/>
              </w:rPr>
              <w:t>环境空气质量功能区划图</w:t>
            </w:r>
          </w:p>
        </w:tc>
      </w:tr>
      <w:tr w14:paraId="76BF8B14">
        <w:tblPrEx>
          <w:tblCellMar>
            <w:top w:w="0" w:type="dxa"/>
            <w:left w:w="108" w:type="dxa"/>
            <w:bottom w:w="0" w:type="dxa"/>
            <w:right w:w="108" w:type="dxa"/>
          </w:tblCellMar>
        </w:tblPrEx>
        <w:trPr>
          <w:trHeight w:val="80" w:hRule="atLeast"/>
        </w:trPr>
        <w:tc>
          <w:tcPr>
            <w:tcW w:w="1134" w:type="dxa"/>
            <w:tcBorders>
              <w:tl2br w:val="nil"/>
              <w:tr2bl w:val="nil"/>
            </w:tcBorders>
          </w:tcPr>
          <w:p w14:paraId="3D60915F">
            <w:pPr>
              <w:rPr>
                <w:rFonts w:hint="default" w:ascii="Arial" w:hAnsi="Arial" w:eastAsia="宋体" w:cs="Arial"/>
                <w:sz w:val="24"/>
                <w:szCs w:val="24"/>
              </w:rPr>
            </w:pPr>
            <w:r>
              <w:rPr>
                <w:rFonts w:hint="default" w:ascii="Arial" w:hAnsi="Arial" w:eastAsia="宋体" w:cs="Arial"/>
                <w:sz w:val="24"/>
                <w:szCs w:val="24"/>
              </w:rPr>
              <w:t>附图6</w:t>
            </w:r>
          </w:p>
        </w:tc>
        <w:tc>
          <w:tcPr>
            <w:tcW w:w="7616" w:type="dxa"/>
            <w:tcBorders>
              <w:tl2br w:val="nil"/>
              <w:tr2bl w:val="nil"/>
            </w:tcBorders>
          </w:tcPr>
          <w:p w14:paraId="11BDB2DF">
            <w:pPr>
              <w:rPr>
                <w:rFonts w:hint="default" w:ascii="Arial" w:hAnsi="Arial" w:eastAsia="宋体" w:cs="Arial"/>
                <w:sz w:val="24"/>
                <w:szCs w:val="24"/>
              </w:rPr>
            </w:pPr>
            <w:r>
              <w:rPr>
                <w:rFonts w:hint="default" w:ascii="Arial" w:hAnsi="Arial" w:eastAsia="宋体" w:cs="Arial"/>
                <w:sz w:val="24"/>
                <w:szCs w:val="24"/>
              </w:rPr>
              <w:t>平湖市环境管控单元分类图</w:t>
            </w:r>
          </w:p>
        </w:tc>
      </w:tr>
      <w:tr w14:paraId="0882B994">
        <w:tblPrEx>
          <w:tblCellMar>
            <w:top w:w="0" w:type="dxa"/>
            <w:left w:w="108" w:type="dxa"/>
            <w:bottom w:w="0" w:type="dxa"/>
            <w:right w:w="108" w:type="dxa"/>
          </w:tblCellMar>
        </w:tblPrEx>
        <w:trPr>
          <w:trHeight w:val="80" w:hRule="atLeast"/>
        </w:trPr>
        <w:tc>
          <w:tcPr>
            <w:tcW w:w="1134" w:type="dxa"/>
            <w:tcBorders>
              <w:tl2br w:val="nil"/>
              <w:tr2bl w:val="nil"/>
            </w:tcBorders>
          </w:tcPr>
          <w:p w14:paraId="349E9CC3">
            <w:pPr>
              <w:rPr>
                <w:rFonts w:hint="default" w:ascii="Arial" w:hAnsi="Arial" w:eastAsia="宋体" w:cs="Arial"/>
                <w:sz w:val="24"/>
                <w:szCs w:val="24"/>
              </w:rPr>
            </w:pPr>
            <w:r>
              <w:rPr>
                <w:rFonts w:hint="default" w:ascii="Arial" w:hAnsi="Arial" w:eastAsia="宋体" w:cs="Arial"/>
                <w:sz w:val="24"/>
                <w:szCs w:val="24"/>
              </w:rPr>
              <w:t>附图7</w:t>
            </w:r>
          </w:p>
        </w:tc>
        <w:tc>
          <w:tcPr>
            <w:tcW w:w="7616" w:type="dxa"/>
            <w:tcBorders>
              <w:tl2br w:val="nil"/>
              <w:tr2bl w:val="nil"/>
            </w:tcBorders>
          </w:tcPr>
          <w:p w14:paraId="4A81978B">
            <w:pPr>
              <w:rPr>
                <w:rFonts w:hint="default" w:ascii="Arial" w:hAnsi="Arial" w:eastAsia="宋体" w:cs="Arial"/>
                <w:sz w:val="24"/>
                <w:szCs w:val="24"/>
              </w:rPr>
            </w:pPr>
            <w:r>
              <w:rPr>
                <w:rFonts w:hint="default" w:ascii="Arial" w:hAnsi="Arial" w:eastAsia="宋体" w:cs="Arial"/>
                <w:sz w:val="24"/>
                <w:szCs w:val="24"/>
              </w:rPr>
              <w:t>平湖市生态红线图</w:t>
            </w:r>
          </w:p>
        </w:tc>
      </w:tr>
      <w:tr w14:paraId="2402273A">
        <w:tblPrEx>
          <w:tblCellMar>
            <w:top w:w="0" w:type="dxa"/>
            <w:left w:w="108" w:type="dxa"/>
            <w:bottom w:w="0" w:type="dxa"/>
            <w:right w:w="108" w:type="dxa"/>
          </w:tblCellMar>
        </w:tblPrEx>
        <w:trPr>
          <w:trHeight w:val="80" w:hRule="atLeast"/>
        </w:trPr>
        <w:tc>
          <w:tcPr>
            <w:tcW w:w="1134" w:type="dxa"/>
            <w:tcBorders>
              <w:tl2br w:val="nil"/>
              <w:tr2bl w:val="nil"/>
            </w:tcBorders>
          </w:tcPr>
          <w:p w14:paraId="3482B327">
            <w:pPr>
              <w:rPr>
                <w:rFonts w:hint="default" w:ascii="Arial" w:hAnsi="Arial" w:eastAsia="宋体" w:cs="Arial"/>
                <w:sz w:val="24"/>
                <w:szCs w:val="24"/>
              </w:rPr>
            </w:pPr>
            <w:r>
              <w:rPr>
                <w:rFonts w:hint="default" w:ascii="Arial" w:hAnsi="Arial" w:eastAsia="宋体" w:cs="Arial"/>
                <w:sz w:val="24"/>
                <w:szCs w:val="24"/>
              </w:rPr>
              <w:t>附图8</w:t>
            </w:r>
          </w:p>
        </w:tc>
        <w:tc>
          <w:tcPr>
            <w:tcW w:w="7616" w:type="dxa"/>
            <w:tcBorders>
              <w:tl2br w:val="nil"/>
              <w:tr2bl w:val="nil"/>
            </w:tcBorders>
          </w:tcPr>
          <w:p w14:paraId="7E4F5FD3">
            <w:pPr>
              <w:rPr>
                <w:rFonts w:hint="default" w:ascii="Arial" w:hAnsi="Arial" w:eastAsia="宋体" w:cs="Arial"/>
                <w:sz w:val="24"/>
                <w:szCs w:val="24"/>
              </w:rPr>
            </w:pPr>
            <w:r>
              <w:rPr>
                <w:rFonts w:hint="default" w:ascii="Arial" w:hAnsi="Arial" w:eastAsia="宋体" w:cs="Arial"/>
                <w:sz w:val="24"/>
                <w:szCs w:val="24"/>
              </w:rPr>
              <w:t>三区三线成果图</w:t>
            </w:r>
          </w:p>
        </w:tc>
      </w:tr>
      <w:tr w14:paraId="19A7DF12">
        <w:tblPrEx>
          <w:tblCellMar>
            <w:top w:w="0" w:type="dxa"/>
            <w:left w:w="108" w:type="dxa"/>
            <w:bottom w:w="0" w:type="dxa"/>
            <w:right w:w="108" w:type="dxa"/>
          </w:tblCellMar>
        </w:tblPrEx>
        <w:trPr>
          <w:trHeight w:val="80" w:hRule="atLeast"/>
        </w:trPr>
        <w:tc>
          <w:tcPr>
            <w:tcW w:w="1134" w:type="dxa"/>
            <w:tcBorders>
              <w:tl2br w:val="nil"/>
              <w:tr2bl w:val="nil"/>
            </w:tcBorders>
          </w:tcPr>
          <w:p w14:paraId="6CB1323A">
            <w:pPr>
              <w:rPr>
                <w:rFonts w:hint="default" w:ascii="Arial" w:hAnsi="Arial" w:eastAsia="宋体" w:cs="Arial"/>
                <w:sz w:val="24"/>
                <w:szCs w:val="24"/>
              </w:rPr>
            </w:pPr>
            <w:r>
              <w:rPr>
                <w:rFonts w:hint="default" w:ascii="Arial" w:hAnsi="Arial" w:eastAsia="宋体" w:cs="Arial"/>
                <w:sz w:val="24"/>
                <w:szCs w:val="24"/>
              </w:rPr>
              <w:t>附图9</w:t>
            </w:r>
          </w:p>
        </w:tc>
        <w:tc>
          <w:tcPr>
            <w:tcW w:w="7616" w:type="dxa"/>
            <w:tcBorders>
              <w:tl2br w:val="nil"/>
              <w:tr2bl w:val="nil"/>
            </w:tcBorders>
          </w:tcPr>
          <w:p w14:paraId="6682F9CF">
            <w:pPr>
              <w:rPr>
                <w:rFonts w:hint="default" w:ascii="Arial" w:hAnsi="Arial" w:eastAsia="宋体" w:cs="Arial"/>
                <w:sz w:val="24"/>
                <w:szCs w:val="24"/>
              </w:rPr>
            </w:pPr>
            <w:r>
              <w:rPr>
                <w:rFonts w:hint="default" w:ascii="Arial" w:hAnsi="Arial" w:eastAsia="宋体" w:cs="Arial"/>
                <w:sz w:val="24"/>
                <w:szCs w:val="24"/>
              </w:rPr>
              <w:t>平湖市</w:t>
            </w:r>
            <w:r>
              <w:rPr>
                <w:rFonts w:hint="default" w:ascii="Arial" w:hAnsi="Arial" w:eastAsia="宋体" w:cs="Arial"/>
                <w:sz w:val="24"/>
                <w:szCs w:val="24"/>
                <w:lang w:val="en-US" w:eastAsia="zh-CN"/>
              </w:rPr>
              <w:t>国土空间总体规划</w:t>
            </w:r>
            <w:r>
              <w:rPr>
                <w:rFonts w:hint="default" w:ascii="Arial" w:hAnsi="Arial" w:eastAsia="宋体" w:cs="Arial"/>
                <w:sz w:val="24"/>
                <w:szCs w:val="24"/>
              </w:rPr>
              <w:t>图</w:t>
            </w:r>
          </w:p>
        </w:tc>
      </w:tr>
      <w:tr w14:paraId="1BDAF435">
        <w:tblPrEx>
          <w:tblCellMar>
            <w:top w:w="0" w:type="dxa"/>
            <w:left w:w="108" w:type="dxa"/>
            <w:bottom w:w="0" w:type="dxa"/>
            <w:right w:w="108" w:type="dxa"/>
          </w:tblCellMar>
        </w:tblPrEx>
        <w:trPr>
          <w:trHeight w:val="20" w:hRule="atLeast"/>
        </w:trPr>
        <w:tc>
          <w:tcPr>
            <w:tcW w:w="1134" w:type="dxa"/>
            <w:tcBorders>
              <w:tl2br w:val="nil"/>
              <w:tr2bl w:val="nil"/>
            </w:tcBorders>
          </w:tcPr>
          <w:p w14:paraId="37D9C833">
            <w:pPr>
              <w:rPr>
                <w:rFonts w:hint="default" w:ascii="Arial" w:hAnsi="Arial" w:eastAsia="宋体" w:cs="Arial"/>
                <w:sz w:val="24"/>
                <w:szCs w:val="24"/>
              </w:rPr>
            </w:pPr>
            <w:r>
              <w:rPr>
                <w:rFonts w:hint="default" w:ascii="Arial" w:hAnsi="Arial" w:eastAsia="宋体" w:cs="Arial"/>
                <w:sz w:val="24"/>
                <w:szCs w:val="24"/>
              </w:rPr>
              <w:t>附件：</w:t>
            </w:r>
          </w:p>
        </w:tc>
        <w:tc>
          <w:tcPr>
            <w:tcW w:w="7616" w:type="dxa"/>
            <w:tcBorders>
              <w:tl2br w:val="nil"/>
              <w:tr2bl w:val="nil"/>
            </w:tcBorders>
          </w:tcPr>
          <w:p w14:paraId="1111D889">
            <w:pPr>
              <w:rPr>
                <w:rFonts w:hint="default" w:ascii="Arial" w:hAnsi="Arial" w:eastAsia="宋体" w:cs="Arial"/>
                <w:sz w:val="24"/>
                <w:szCs w:val="24"/>
              </w:rPr>
            </w:pPr>
          </w:p>
        </w:tc>
      </w:tr>
      <w:tr w14:paraId="3F5A0C46">
        <w:tblPrEx>
          <w:tblCellMar>
            <w:top w:w="0" w:type="dxa"/>
            <w:left w:w="108" w:type="dxa"/>
            <w:bottom w:w="0" w:type="dxa"/>
            <w:right w:w="108" w:type="dxa"/>
          </w:tblCellMar>
        </w:tblPrEx>
        <w:trPr>
          <w:trHeight w:val="20" w:hRule="atLeast"/>
        </w:trPr>
        <w:tc>
          <w:tcPr>
            <w:tcW w:w="1134" w:type="dxa"/>
            <w:tcBorders>
              <w:tl2br w:val="nil"/>
              <w:tr2bl w:val="nil"/>
            </w:tcBorders>
          </w:tcPr>
          <w:p w14:paraId="1AA40CD9">
            <w:pPr>
              <w:rPr>
                <w:rFonts w:hint="default" w:ascii="Arial" w:hAnsi="Arial" w:eastAsia="宋体" w:cs="Arial"/>
                <w:sz w:val="24"/>
                <w:szCs w:val="24"/>
              </w:rPr>
            </w:pPr>
            <w:r>
              <w:rPr>
                <w:rFonts w:hint="default" w:ascii="Arial" w:hAnsi="Arial" w:eastAsia="宋体" w:cs="Arial"/>
                <w:sz w:val="24"/>
                <w:szCs w:val="24"/>
              </w:rPr>
              <w:t>附件1</w:t>
            </w:r>
          </w:p>
        </w:tc>
        <w:tc>
          <w:tcPr>
            <w:tcW w:w="7616" w:type="dxa"/>
            <w:tcBorders>
              <w:tl2br w:val="nil"/>
              <w:tr2bl w:val="nil"/>
            </w:tcBorders>
          </w:tcPr>
          <w:p w14:paraId="61800B9B">
            <w:pPr>
              <w:rPr>
                <w:rFonts w:hint="default" w:ascii="Arial" w:hAnsi="Arial" w:eastAsia="宋体" w:cs="Arial"/>
                <w:sz w:val="24"/>
                <w:szCs w:val="24"/>
              </w:rPr>
            </w:pPr>
            <w:r>
              <w:rPr>
                <w:rFonts w:hint="default" w:ascii="Arial" w:hAnsi="Arial" w:eastAsia="宋体" w:cs="Arial"/>
                <w:sz w:val="24"/>
                <w:szCs w:val="24"/>
              </w:rPr>
              <w:t>备案通知书</w:t>
            </w:r>
          </w:p>
        </w:tc>
      </w:tr>
      <w:tr w14:paraId="712CC72F">
        <w:tblPrEx>
          <w:tblCellMar>
            <w:top w:w="0" w:type="dxa"/>
            <w:left w:w="108" w:type="dxa"/>
            <w:bottom w:w="0" w:type="dxa"/>
            <w:right w:w="108" w:type="dxa"/>
          </w:tblCellMar>
        </w:tblPrEx>
        <w:trPr>
          <w:trHeight w:val="20" w:hRule="atLeast"/>
        </w:trPr>
        <w:tc>
          <w:tcPr>
            <w:tcW w:w="1134" w:type="dxa"/>
            <w:tcBorders>
              <w:tl2br w:val="nil"/>
              <w:tr2bl w:val="nil"/>
            </w:tcBorders>
          </w:tcPr>
          <w:p w14:paraId="53F7575C">
            <w:pPr>
              <w:rPr>
                <w:rFonts w:hint="default" w:ascii="Arial" w:hAnsi="Arial" w:eastAsia="宋体" w:cs="Arial"/>
                <w:sz w:val="24"/>
                <w:szCs w:val="24"/>
              </w:rPr>
            </w:pPr>
            <w:r>
              <w:rPr>
                <w:rFonts w:hint="default" w:ascii="Arial" w:hAnsi="Arial" w:eastAsia="宋体" w:cs="Arial"/>
                <w:sz w:val="24"/>
                <w:szCs w:val="24"/>
              </w:rPr>
              <w:t>附件2</w:t>
            </w:r>
          </w:p>
        </w:tc>
        <w:tc>
          <w:tcPr>
            <w:tcW w:w="7616" w:type="dxa"/>
            <w:tcBorders>
              <w:tl2br w:val="nil"/>
              <w:tr2bl w:val="nil"/>
            </w:tcBorders>
          </w:tcPr>
          <w:p w14:paraId="11FADF49">
            <w:pPr>
              <w:rPr>
                <w:rFonts w:hint="default" w:ascii="Arial" w:hAnsi="Arial" w:eastAsia="宋体" w:cs="Arial"/>
                <w:sz w:val="24"/>
                <w:szCs w:val="24"/>
              </w:rPr>
            </w:pPr>
            <w:r>
              <w:rPr>
                <w:rFonts w:hint="default" w:ascii="Arial" w:hAnsi="Arial" w:eastAsia="宋体" w:cs="Arial"/>
                <w:sz w:val="24"/>
                <w:szCs w:val="24"/>
              </w:rPr>
              <w:t>不动产权证</w:t>
            </w:r>
          </w:p>
        </w:tc>
      </w:tr>
      <w:tr w14:paraId="5AF9C59B">
        <w:tblPrEx>
          <w:tblCellMar>
            <w:top w:w="0" w:type="dxa"/>
            <w:left w:w="108" w:type="dxa"/>
            <w:bottom w:w="0" w:type="dxa"/>
            <w:right w:w="108" w:type="dxa"/>
          </w:tblCellMar>
        </w:tblPrEx>
        <w:trPr>
          <w:trHeight w:val="20" w:hRule="atLeast"/>
        </w:trPr>
        <w:tc>
          <w:tcPr>
            <w:tcW w:w="1134" w:type="dxa"/>
            <w:tcBorders>
              <w:tl2br w:val="nil"/>
              <w:tr2bl w:val="nil"/>
            </w:tcBorders>
          </w:tcPr>
          <w:p w14:paraId="21DB7375">
            <w:pPr>
              <w:rPr>
                <w:rFonts w:hint="default" w:ascii="Arial" w:hAnsi="Arial" w:eastAsia="宋体" w:cs="Arial"/>
                <w:sz w:val="24"/>
                <w:szCs w:val="24"/>
              </w:rPr>
            </w:pPr>
            <w:r>
              <w:rPr>
                <w:rFonts w:hint="default" w:ascii="Arial" w:hAnsi="Arial" w:eastAsia="宋体" w:cs="Arial"/>
                <w:sz w:val="24"/>
                <w:szCs w:val="24"/>
              </w:rPr>
              <w:t>附件3</w:t>
            </w:r>
          </w:p>
        </w:tc>
        <w:tc>
          <w:tcPr>
            <w:tcW w:w="7616" w:type="dxa"/>
            <w:tcBorders>
              <w:tl2br w:val="nil"/>
              <w:tr2bl w:val="nil"/>
            </w:tcBorders>
            <w:shd w:val="clear" w:color="auto" w:fill="auto"/>
            <w:vAlign w:val="top"/>
          </w:tcPr>
          <w:p w14:paraId="652CCF72">
            <w:pPr>
              <w:rPr>
                <w:rFonts w:hint="default" w:ascii="Arial" w:hAnsi="Arial" w:eastAsia="宋体" w:cs="Arial"/>
                <w:kern w:val="2"/>
                <w:sz w:val="24"/>
                <w:szCs w:val="24"/>
                <w:lang w:val="en-US" w:eastAsia="zh-CN" w:bidi="ar-SA"/>
              </w:rPr>
            </w:pPr>
            <w:r>
              <w:rPr>
                <w:rFonts w:hint="eastAsia" w:ascii="Arial" w:hAnsi="Arial" w:eastAsia="宋体" w:cs="Arial"/>
                <w:kern w:val="2"/>
                <w:sz w:val="24"/>
                <w:szCs w:val="24"/>
                <w:lang w:val="en-US" w:eastAsia="zh-CN" w:bidi="ar-SA"/>
              </w:rPr>
              <w:t>废水排放方案专家意见</w:t>
            </w:r>
          </w:p>
        </w:tc>
      </w:tr>
      <w:tr w14:paraId="17D2BCE8">
        <w:tblPrEx>
          <w:tblCellMar>
            <w:top w:w="0" w:type="dxa"/>
            <w:left w:w="108" w:type="dxa"/>
            <w:bottom w:w="0" w:type="dxa"/>
            <w:right w:w="108" w:type="dxa"/>
          </w:tblCellMar>
        </w:tblPrEx>
        <w:trPr>
          <w:trHeight w:val="20" w:hRule="atLeast"/>
        </w:trPr>
        <w:tc>
          <w:tcPr>
            <w:tcW w:w="1134" w:type="dxa"/>
            <w:tcBorders>
              <w:tl2br w:val="nil"/>
              <w:tr2bl w:val="nil"/>
            </w:tcBorders>
          </w:tcPr>
          <w:p w14:paraId="44E8CB4C">
            <w:pPr>
              <w:rPr>
                <w:rFonts w:hint="default" w:ascii="Arial" w:hAnsi="Arial" w:eastAsia="宋体" w:cs="Arial"/>
                <w:sz w:val="24"/>
                <w:szCs w:val="24"/>
              </w:rPr>
            </w:pPr>
            <w:r>
              <w:rPr>
                <w:rFonts w:hint="default" w:ascii="Arial" w:hAnsi="Arial" w:eastAsia="宋体" w:cs="Arial"/>
                <w:sz w:val="24"/>
                <w:szCs w:val="24"/>
              </w:rPr>
              <w:t>附件4</w:t>
            </w:r>
          </w:p>
        </w:tc>
        <w:tc>
          <w:tcPr>
            <w:tcW w:w="7616" w:type="dxa"/>
            <w:tcBorders>
              <w:tl2br w:val="nil"/>
              <w:tr2bl w:val="nil"/>
            </w:tcBorders>
            <w:shd w:val="clear" w:color="auto" w:fill="auto"/>
            <w:vAlign w:val="top"/>
          </w:tcPr>
          <w:p w14:paraId="4B2C7246">
            <w:pPr>
              <w:rPr>
                <w:rFonts w:hint="default" w:ascii="Arial" w:hAnsi="Arial" w:eastAsia="宋体" w:cs="Arial"/>
                <w:kern w:val="2"/>
                <w:sz w:val="24"/>
                <w:szCs w:val="24"/>
                <w:lang w:val="en-US" w:eastAsia="zh-CN" w:bidi="ar-SA"/>
              </w:rPr>
            </w:pPr>
            <w:r>
              <w:rPr>
                <w:rFonts w:hint="default" w:ascii="Arial" w:hAnsi="Arial" w:eastAsia="宋体" w:cs="Arial"/>
                <w:sz w:val="24"/>
                <w:szCs w:val="24"/>
              </w:rPr>
              <w:t>主要化学品MSDS</w:t>
            </w:r>
          </w:p>
        </w:tc>
      </w:tr>
      <w:tr w14:paraId="6DD0C11F">
        <w:tblPrEx>
          <w:tblCellMar>
            <w:top w:w="0" w:type="dxa"/>
            <w:left w:w="108" w:type="dxa"/>
            <w:bottom w:w="0" w:type="dxa"/>
            <w:right w:w="108" w:type="dxa"/>
          </w:tblCellMar>
        </w:tblPrEx>
        <w:trPr>
          <w:trHeight w:val="20" w:hRule="atLeast"/>
        </w:trPr>
        <w:tc>
          <w:tcPr>
            <w:tcW w:w="1134" w:type="dxa"/>
            <w:tcBorders>
              <w:tl2br w:val="nil"/>
              <w:tr2bl w:val="nil"/>
            </w:tcBorders>
          </w:tcPr>
          <w:p w14:paraId="604217AB">
            <w:pPr>
              <w:rPr>
                <w:rFonts w:hint="eastAsia" w:ascii="Arial" w:hAnsi="Arial" w:eastAsia="宋体" w:cs="Arial"/>
                <w:sz w:val="24"/>
                <w:szCs w:val="24"/>
                <w:lang w:val="en-US" w:eastAsia="zh-CN"/>
              </w:rPr>
            </w:pPr>
            <w:r>
              <w:rPr>
                <w:rFonts w:hint="default" w:ascii="Arial" w:hAnsi="Arial" w:eastAsia="宋体" w:cs="Arial"/>
                <w:sz w:val="24"/>
                <w:szCs w:val="24"/>
              </w:rPr>
              <w:t>附件</w:t>
            </w:r>
            <w:r>
              <w:rPr>
                <w:rFonts w:hint="eastAsia" w:ascii="Arial" w:hAnsi="Arial" w:eastAsia="宋体" w:cs="Arial"/>
                <w:sz w:val="24"/>
                <w:szCs w:val="24"/>
                <w:lang w:val="en-US" w:eastAsia="zh-CN"/>
              </w:rPr>
              <w:t>5</w:t>
            </w:r>
          </w:p>
        </w:tc>
        <w:tc>
          <w:tcPr>
            <w:tcW w:w="7616" w:type="dxa"/>
            <w:tcBorders>
              <w:tl2br w:val="nil"/>
              <w:tr2bl w:val="nil"/>
            </w:tcBorders>
            <w:shd w:val="clear" w:color="auto" w:fill="auto"/>
            <w:vAlign w:val="top"/>
          </w:tcPr>
          <w:p w14:paraId="06201FF2">
            <w:pPr>
              <w:rPr>
                <w:rFonts w:hint="eastAsia" w:ascii="Arial" w:hAnsi="Arial" w:eastAsia="宋体" w:cs="Arial"/>
                <w:kern w:val="2"/>
                <w:sz w:val="24"/>
                <w:szCs w:val="24"/>
                <w:lang w:val="en-US" w:eastAsia="zh-CN" w:bidi="ar-SA"/>
              </w:rPr>
            </w:pPr>
            <w:r>
              <w:rPr>
                <w:rFonts w:hint="eastAsia" w:ascii="Arial" w:hAnsi="Arial" w:eastAsia="宋体" w:cs="Arial"/>
                <w:sz w:val="24"/>
                <w:szCs w:val="24"/>
                <w:lang w:val="en-US" w:eastAsia="zh-CN"/>
              </w:rPr>
              <w:t>现状监测报告</w:t>
            </w:r>
          </w:p>
        </w:tc>
      </w:tr>
      <w:tr w14:paraId="6AEA1139">
        <w:tblPrEx>
          <w:tblCellMar>
            <w:top w:w="0" w:type="dxa"/>
            <w:left w:w="108" w:type="dxa"/>
            <w:bottom w:w="0" w:type="dxa"/>
            <w:right w:w="108" w:type="dxa"/>
          </w:tblCellMar>
        </w:tblPrEx>
        <w:trPr>
          <w:trHeight w:val="20" w:hRule="atLeast"/>
        </w:trPr>
        <w:tc>
          <w:tcPr>
            <w:tcW w:w="1134" w:type="dxa"/>
            <w:tcBorders>
              <w:tl2br w:val="nil"/>
              <w:tr2bl w:val="nil"/>
            </w:tcBorders>
          </w:tcPr>
          <w:p w14:paraId="4946089E">
            <w:pPr>
              <w:rPr>
                <w:rFonts w:hint="default" w:ascii="Arial" w:hAnsi="Arial" w:eastAsia="宋体" w:cs="Arial"/>
                <w:sz w:val="24"/>
                <w:szCs w:val="24"/>
                <w:lang w:val="en-US" w:eastAsia="zh-CN"/>
              </w:rPr>
            </w:pPr>
            <w:r>
              <w:rPr>
                <w:rFonts w:hint="eastAsia" w:ascii="Arial" w:hAnsi="Arial" w:eastAsia="宋体" w:cs="Arial"/>
                <w:sz w:val="24"/>
                <w:szCs w:val="24"/>
                <w:lang w:val="en-US" w:eastAsia="zh-CN"/>
              </w:rPr>
              <w:t>附件6</w:t>
            </w:r>
          </w:p>
        </w:tc>
        <w:tc>
          <w:tcPr>
            <w:tcW w:w="7616" w:type="dxa"/>
            <w:tcBorders>
              <w:tl2br w:val="nil"/>
              <w:tr2bl w:val="nil"/>
            </w:tcBorders>
            <w:shd w:val="clear" w:color="auto" w:fill="auto"/>
            <w:vAlign w:val="top"/>
          </w:tcPr>
          <w:p w14:paraId="75D098BF">
            <w:pPr>
              <w:rPr>
                <w:rFonts w:hint="default" w:ascii="Arial" w:hAnsi="Arial" w:eastAsia="宋体" w:cs="Arial"/>
                <w:sz w:val="24"/>
                <w:szCs w:val="24"/>
                <w:lang w:val="en-US" w:eastAsia="zh-CN"/>
              </w:rPr>
            </w:pPr>
            <w:r>
              <w:rPr>
                <w:rFonts w:hint="eastAsia" w:ascii="Arial" w:hAnsi="Arial" w:eastAsia="宋体" w:cs="Arial"/>
                <w:sz w:val="24"/>
                <w:szCs w:val="24"/>
                <w:lang w:val="en-US" w:eastAsia="zh-CN"/>
              </w:rPr>
              <w:t>危废处置合同</w:t>
            </w:r>
          </w:p>
        </w:tc>
      </w:tr>
    </w:tbl>
    <w:p w14:paraId="6E5EDEEC">
      <w:pPr>
        <w:spacing w:line="360" w:lineRule="auto"/>
        <w:rPr>
          <w:rFonts w:hint="default" w:ascii="Arial" w:hAnsi="Arial" w:eastAsia="宋体" w:cs="Arial"/>
          <w:b/>
          <w:bCs/>
          <w:sz w:val="32"/>
          <w:szCs w:val="32"/>
        </w:rPr>
        <w:sectPr>
          <w:pgSz w:w="11906" w:h="16838"/>
          <w:pgMar w:top="1440" w:right="1287" w:bottom="1440" w:left="1701" w:header="851" w:footer="992" w:gutter="0"/>
          <w:cols w:space="425" w:num="1"/>
          <w:docGrid w:type="linesAndChars" w:linePitch="340" w:charSpace="0"/>
        </w:sectPr>
      </w:pPr>
    </w:p>
    <w:tbl>
      <w:tblPr>
        <w:tblStyle w:val="52"/>
        <w:tblW w:w="5000"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85" w:type="dxa"/>
          <w:left w:w="85" w:type="dxa"/>
          <w:bottom w:w="85" w:type="dxa"/>
          <w:right w:w="85" w:type="dxa"/>
        </w:tblCellMar>
      </w:tblPr>
      <w:tblGrid>
        <w:gridCol w:w="2315"/>
        <w:gridCol w:w="1821"/>
        <w:gridCol w:w="2184"/>
        <w:gridCol w:w="2768"/>
      </w:tblGrid>
      <w:tr w14:paraId="3D16ABA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vAlign w:val="center"/>
          </w:tcPr>
          <w:p w14:paraId="2FA8750A">
            <w:pPr>
              <w:jc w:val="center"/>
              <w:rPr>
                <w:rFonts w:hint="default" w:ascii="Arial" w:hAnsi="Arial" w:eastAsia="宋体" w:cs="Arial"/>
                <w:b/>
                <w:sz w:val="24"/>
                <w:szCs w:val="24"/>
              </w:rPr>
            </w:pPr>
            <w:r>
              <w:rPr>
                <w:rFonts w:hint="default" w:ascii="Arial" w:hAnsi="Arial" w:eastAsia="宋体" w:cs="Arial"/>
                <w:sz w:val="24"/>
                <w:szCs w:val="24"/>
              </w:rPr>
              <w:t>建设项目名称</w:t>
            </w:r>
          </w:p>
        </w:tc>
        <w:tc>
          <w:tcPr>
            <w:tcW w:w="6773" w:type="dxa"/>
            <w:gridSpan w:val="3"/>
            <w:vAlign w:val="center"/>
          </w:tcPr>
          <w:p w14:paraId="50BEE129">
            <w:pPr>
              <w:jc w:val="center"/>
              <w:rPr>
                <w:rFonts w:hint="default" w:ascii="Arial" w:hAnsi="Arial" w:eastAsia="宋体" w:cs="Arial"/>
                <w:sz w:val="24"/>
                <w:lang w:val="en-GB" w:eastAsia="zh-CN"/>
              </w:rPr>
            </w:pPr>
            <w:r>
              <w:rPr>
                <w:rFonts w:hint="default" w:ascii="Arial" w:hAnsi="Arial" w:eastAsia="宋体" w:cs="Arial"/>
                <w:sz w:val="24"/>
                <w:szCs w:val="24"/>
                <w:lang w:eastAsia="zh-CN"/>
              </w:rPr>
              <w:t>浙江汇轩汽车零部件有限公司年</w:t>
            </w:r>
            <w:r>
              <w:rPr>
                <w:rFonts w:hint="default" w:ascii="Arial" w:hAnsi="Arial" w:eastAsia="宋体" w:cs="Arial"/>
                <w:sz w:val="24"/>
                <w:szCs w:val="24"/>
                <w:lang w:val="en-US" w:eastAsia="zh-CN"/>
              </w:rPr>
              <w:t>年产30</w:t>
            </w:r>
            <w:r>
              <w:rPr>
                <w:rFonts w:hint="default" w:ascii="Arial" w:hAnsi="Arial" w:eastAsia="宋体" w:cs="Arial"/>
                <w:sz w:val="24"/>
                <w:szCs w:val="24"/>
                <w:lang w:eastAsia="zh-CN"/>
              </w:rPr>
              <w:t>万套</w:t>
            </w:r>
            <w:r>
              <w:rPr>
                <w:rFonts w:hint="default" w:ascii="Arial" w:hAnsi="Arial" w:eastAsia="宋体" w:cs="Arial"/>
                <w:sz w:val="24"/>
                <w:szCs w:val="24"/>
                <w:lang w:val="en-US" w:eastAsia="zh-CN"/>
              </w:rPr>
              <w:t>新能源转向总成及其零部件</w:t>
            </w:r>
            <w:r>
              <w:rPr>
                <w:rFonts w:hint="default" w:ascii="Arial" w:hAnsi="Arial" w:eastAsia="宋体" w:cs="Arial"/>
                <w:sz w:val="24"/>
                <w:szCs w:val="24"/>
                <w:lang w:eastAsia="zh-CN"/>
              </w:rPr>
              <w:t>技改项目</w:t>
            </w:r>
          </w:p>
        </w:tc>
      </w:tr>
      <w:tr w14:paraId="03E3DFF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vAlign w:val="center"/>
          </w:tcPr>
          <w:p w14:paraId="008DCE1B">
            <w:pPr>
              <w:jc w:val="center"/>
              <w:rPr>
                <w:rFonts w:hint="default" w:ascii="Arial" w:hAnsi="Arial" w:eastAsia="宋体" w:cs="Arial"/>
                <w:sz w:val="24"/>
                <w:lang w:val="en-GB"/>
              </w:rPr>
            </w:pPr>
            <w:r>
              <w:rPr>
                <w:rFonts w:hint="default" w:ascii="Arial" w:hAnsi="Arial" w:eastAsia="宋体" w:cs="Arial"/>
                <w:sz w:val="24"/>
                <w:lang w:val="en-GB"/>
              </w:rPr>
              <w:t>项目代码</w:t>
            </w:r>
          </w:p>
        </w:tc>
        <w:tc>
          <w:tcPr>
            <w:tcW w:w="6773" w:type="dxa"/>
            <w:gridSpan w:val="3"/>
            <w:vAlign w:val="center"/>
          </w:tcPr>
          <w:p w14:paraId="4F73BE9E">
            <w:pPr>
              <w:jc w:val="center"/>
              <w:rPr>
                <w:rFonts w:hint="default" w:ascii="Arial" w:hAnsi="Arial" w:eastAsia="宋体" w:cs="Arial"/>
                <w:sz w:val="24"/>
                <w:lang w:val="en-GB"/>
              </w:rPr>
            </w:pPr>
            <w:r>
              <w:rPr>
                <w:rFonts w:hint="default" w:ascii="Arial" w:hAnsi="Arial" w:eastAsia="宋体" w:cs="Arial"/>
                <w:sz w:val="24"/>
                <w:lang w:val="en-GB"/>
              </w:rPr>
              <w:t>2505-330482-04-01-984969</w:t>
            </w:r>
          </w:p>
        </w:tc>
      </w:tr>
      <w:tr w14:paraId="48E58AA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vAlign w:val="center"/>
          </w:tcPr>
          <w:p w14:paraId="0FD77D8B">
            <w:pPr>
              <w:jc w:val="center"/>
              <w:rPr>
                <w:rFonts w:hint="default" w:ascii="Arial" w:hAnsi="Arial" w:eastAsia="宋体" w:cs="Arial"/>
                <w:sz w:val="24"/>
                <w:lang w:val="en-GB"/>
              </w:rPr>
            </w:pPr>
            <w:r>
              <w:rPr>
                <w:rFonts w:hint="default" w:ascii="Arial" w:hAnsi="Arial" w:eastAsia="宋体" w:cs="Arial"/>
                <w:sz w:val="24"/>
                <w:lang w:val="en-GB"/>
              </w:rPr>
              <w:t>建设单位联系人</w:t>
            </w:r>
          </w:p>
        </w:tc>
        <w:tc>
          <w:tcPr>
            <w:tcW w:w="1821" w:type="dxa"/>
            <w:vAlign w:val="center"/>
          </w:tcPr>
          <w:p w14:paraId="7236CF85">
            <w:pPr>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李盈</w:t>
            </w:r>
          </w:p>
        </w:tc>
        <w:tc>
          <w:tcPr>
            <w:tcW w:w="2184" w:type="dxa"/>
            <w:vAlign w:val="center"/>
          </w:tcPr>
          <w:p w14:paraId="42A17B71">
            <w:pPr>
              <w:jc w:val="center"/>
              <w:rPr>
                <w:rFonts w:hint="default" w:ascii="Arial" w:hAnsi="Arial" w:eastAsia="宋体" w:cs="Arial"/>
                <w:sz w:val="24"/>
                <w:szCs w:val="24"/>
              </w:rPr>
            </w:pPr>
            <w:r>
              <w:rPr>
                <w:rFonts w:hint="default" w:ascii="Arial" w:hAnsi="Arial" w:eastAsia="宋体" w:cs="Arial"/>
                <w:sz w:val="24"/>
                <w:szCs w:val="24"/>
              </w:rPr>
              <w:t>联系方式</w:t>
            </w:r>
          </w:p>
        </w:tc>
        <w:tc>
          <w:tcPr>
            <w:tcW w:w="2768" w:type="dxa"/>
            <w:vAlign w:val="center"/>
          </w:tcPr>
          <w:p w14:paraId="314031AB">
            <w:pPr>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18335109704</w:t>
            </w:r>
          </w:p>
        </w:tc>
      </w:tr>
      <w:tr w14:paraId="05EE774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vAlign w:val="center"/>
          </w:tcPr>
          <w:p w14:paraId="5C79D40E">
            <w:pPr>
              <w:jc w:val="center"/>
              <w:rPr>
                <w:rFonts w:hint="default" w:ascii="Arial" w:hAnsi="Arial" w:eastAsia="宋体" w:cs="Arial"/>
                <w:sz w:val="24"/>
                <w:lang w:val="en-GB"/>
              </w:rPr>
            </w:pPr>
            <w:r>
              <w:rPr>
                <w:rFonts w:hint="default" w:ascii="Arial" w:hAnsi="Arial" w:eastAsia="宋体" w:cs="Arial"/>
                <w:sz w:val="24"/>
                <w:lang w:val="en-GB"/>
              </w:rPr>
              <w:t>建设地点</w:t>
            </w:r>
          </w:p>
        </w:tc>
        <w:tc>
          <w:tcPr>
            <w:tcW w:w="6773" w:type="dxa"/>
            <w:gridSpan w:val="3"/>
            <w:vAlign w:val="center"/>
          </w:tcPr>
          <w:p w14:paraId="0B50001D">
            <w:pPr>
              <w:jc w:val="center"/>
              <w:rPr>
                <w:rFonts w:hint="default" w:ascii="Arial" w:hAnsi="Arial" w:eastAsia="宋体" w:cs="Arial"/>
                <w:sz w:val="24"/>
                <w:szCs w:val="24"/>
                <w:lang w:val="en-US" w:eastAsia="zh-CN"/>
              </w:rPr>
            </w:pPr>
            <w:bookmarkStart w:id="0" w:name="_Hlk145302116"/>
            <w:r>
              <w:rPr>
                <w:rFonts w:hint="default" w:ascii="Arial" w:hAnsi="Arial" w:eastAsia="宋体" w:cs="Arial"/>
                <w:sz w:val="24"/>
                <w:szCs w:val="24"/>
              </w:rPr>
              <w:t>浙江省嘉兴市平湖市</w:t>
            </w:r>
            <w:r>
              <w:rPr>
                <w:rFonts w:hint="default" w:ascii="Arial" w:hAnsi="Arial" w:eastAsia="宋体" w:cs="Arial"/>
                <w:sz w:val="24"/>
                <w:szCs w:val="24"/>
                <w:lang w:val="en-US" w:eastAsia="zh-CN"/>
              </w:rPr>
              <w:t>钟埭街道</w:t>
            </w:r>
            <w:r>
              <w:rPr>
                <w:rFonts w:hint="default" w:ascii="Arial" w:hAnsi="Arial" w:eastAsia="宋体" w:cs="Arial"/>
                <w:sz w:val="24"/>
                <w:szCs w:val="24"/>
              </w:rPr>
              <w:t>五洲路</w:t>
            </w:r>
            <w:bookmarkEnd w:id="0"/>
            <w:r>
              <w:rPr>
                <w:rFonts w:hint="default" w:ascii="Arial" w:hAnsi="Arial" w:eastAsia="宋体" w:cs="Arial"/>
                <w:sz w:val="24"/>
                <w:szCs w:val="24"/>
                <w:lang w:val="en-US" w:eastAsia="zh-CN"/>
              </w:rPr>
              <w:t>1268号</w:t>
            </w:r>
          </w:p>
        </w:tc>
      </w:tr>
      <w:tr w14:paraId="261C283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vAlign w:val="center"/>
          </w:tcPr>
          <w:p w14:paraId="7BBC35E4">
            <w:pPr>
              <w:jc w:val="center"/>
              <w:rPr>
                <w:rFonts w:hint="default" w:ascii="Arial" w:hAnsi="Arial" w:eastAsia="宋体" w:cs="Arial"/>
                <w:sz w:val="24"/>
                <w:lang w:val="en-GB"/>
              </w:rPr>
            </w:pPr>
            <w:r>
              <w:rPr>
                <w:rFonts w:hint="default" w:ascii="Arial" w:hAnsi="Arial" w:eastAsia="宋体" w:cs="Arial"/>
                <w:sz w:val="24"/>
                <w:lang w:val="en-GB"/>
              </w:rPr>
              <w:t>地理坐标</w:t>
            </w:r>
          </w:p>
        </w:tc>
        <w:tc>
          <w:tcPr>
            <w:tcW w:w="6773" w:type="dxa"/>
            <w:gridSpan w:val="3"/>
            <w:vAlign w:val="center"/>
          </w:tcPr>
          <w:p w14:paraId="7F95D7EA">
            <w:pPr>
              <w:jc w:val="center"/>
              <w:rPr>
                <w:rFonts w:hint="default" w:ascii="Arial" w:hAnsi="Arial" w:eastAsia="宋体" w:cs="Arial"/>
                <w:sz w:val="24"/>
                <w:szCs w:val="24"/>
              </w:rPr>
            </w:pPr>
            <w:r>
              <w:rPr>
                <w:rFonts w:hint="default" w:ascii="Arial" w:hAnsi="Arial" w:eastAsia="宋体" w:cs="Arial"/>
                <w:sz w:val="24"/>
                <w:szCs w:val="24"/>
              </w:rPr>
              <w:t>30°4</w:t>
            </w:r>
            <w:r>
              <w:rPr>
                <w:rFonts w:hint="default" w:ascii="Arial" w:hAnsi="Arial" w:eastAsia="宋体" w:cs="Arial"/>
                <w:sz w:val="24"/>
                <w:szCs w:val="24"/>
                <w:lang w:val="en-US" w:eastAsia="zh-CN"/>
              </w:rPr>
              <w:t>4</w:t>
            </w:r>
            <w:r>
              <w:rPr>
                <w:rFonts w:hint="default" w:ascii="Arial" w:hAnsi="Arial" w:eastAsia="宋体" w:cs="Arial"/>
                <w:sz w:val="24"/>
                <w:szCs w:val="24"/>
              </w:rPr>
              <w:t xml:space="preserve">' </w:t>
            </w:r>
            <w:r>
              <w:rPr>
                <w:rFonts w:hint="default" w:ascii="Arial" w:hAnsi="Arial" w:eastAsia="宋体" w:cs="Arial"/>
                <w:sz w:val="24"/>
                <w:szCs w:val="24"/>
                <w:lang w:val="en-US" w:eastAsia="zh-CN"/>
              </w:rPr>
              <w:t>46.598</w:t>
            </w:r>
            <w:r>
              <w:rPr>
                <w:rFonts w:hint="default" w:ascii="Arial" w:hAnsi="Arial" w:eastAsia="宋体" w:cs="Arial"/>
                <w:sz w:val="24"/>
                <w:szCs w:val="24"/>
              </w:rPr>
              <w:t xml:space="preserve">"N，120°58' </w:t>
            </w:r>
            <w:r>
              <w:rPr>
                <w:rFonts w:hint="default" w:ascii="Arial" w:hAnsi="Arial" w:eastAsia="宋体" w:cs="Arial"/>
                <w:sz w:val="24"/>
                <w:szCs w:val="24"/>
                <w:lang w:val="en-US" w:eastAsia="zh-CN"/>
              </w:rPr>
              <w:t>34.217</w:t>
            </w:r>
            <w:r>
              <w:rPr>
                <w:rFonts w:hint="default" w:ascii="Arial" w:hAnsi="Arial" w:eastAsia="宋体" w:cs="Arial"/>
                <w:sz w:val="24"/>
                <w:szCs w:val="24"/>
              </w:rPr>
              <w:t>"E</w:t>
            </w:r>
          </w:p>
        </w:tc>
      </w:tr>
      <w:tr w14:paraId="36CF06F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vAlign w:val="center"/>
          </w:tcPr>
          <w:p w14:paraId="6AEDBD67">
            <w:pPr>
              <w:jc w:val="center"/>
              <w:rPr>
                <w:rFonts w:hint="default" w:ascii="Arial" w:hAnsi="Arial" w:eastAsia="宋体" w:cs="Arial"/>
                <w:sz w:val="24"/>
                <w:lang w:val="en-GB"/>
              </w:rPr>
            </w:pPr>
            <w:r>
              <w:rPr>
                <w:rFonts w:hint="default" w:ascii="Arial" w:hAnsi="Arial" w:eastAsia="宋体" w:cs="Arial"/>
                <w:sz w:val="24"/>
                <w:lang w:val="en-GB"/>
              </w:rPr>
              <w:t>国民经济</w:t>
            </w:r>
            <w:r>
              <w:rPr>
                <w:rFonts w:hint="default" w:ascii="Arial" w:hAnsi="Arial" w:eastAsia="宋体" w:cs="Arial"/>
                <w:sz w:val="24"/>
                <w:lang w:val="en-GB"/>
              </w:rPr>
              <w:br w:type="textWrapping"/>
            </w:r>
            <w:r>
              <w:rPr>
                <w:rFonts w:hint="default" w:ascii="Arial" w:hAnsi="Arial" w:eastAsia="宋体" w:cs="Arial"/>
                <w:sz w:val="24"/>
                <w:lang w:val="en-GB"/>
              </w:rPr>
              <w:t>行业类别</w:t>
            </w:r>
          </w:p>
        </w:tc>
        <w:tc>
          <w:tcPr>
            <w:tcW w:w="1821" w:type="dxa"/>
            <w:vAlign w:val="center"/>
          </w:tcPr>
          <w:p w14:paraId="0E699156">
            <w:pPr>
              <w:jc w:val="center"/>
              <w:rPr>
                <w:rFonts w:hint="default" w:ascii="Arial" w:hAnsi="Arial" w:eastAsia="宋体" w:cs="Arial"/>
                <w:sz w:val="24"/>
                <w:szCs w:val="24"/>
                <w:lang w:val="en-US"/>
              </w:rPr>
            </w:pPr>
            <w:r>
              <w:rPr>
                <w:rFonts w:hint="default" w:ascii="Arial" w:hAnsi="Arial" w:eastAsia="宋体" w:cs="Arial"/>
                <w:sz w:val="24"/>
                <w:szCs w:val="24"/>
              </w:rPr>
              <w:t>C</w:t>
            </w:r>
            <w:r>
              <w:rPr>
                <w:rFonts w:hint="default" w:ascii="Arial" w:hAnsi="Arial" w:eastAsia="宋体" w:cs="Arial"/>
                <w:sz w:val="24"/>
                <w:szCs w:val="24"/>
                <w:lang w:val="en-US" w:eastAsia="zh-CN"/>
              </w:rPr>
              <w:t>3670汽车零部件及配件制造</w:t>
            </w:r>
          </w:p>
        </w:tc>
        <w:tc>
          <w:tcPr>
            <w:tcW w:w="2184" w:type="dxa"/>
            <w:vAlign w:val="center"/>
          </w:tcPr>
          <w:p w14:paraId="5EA6A180">
            <w:pPr>
              <w:jc w:val="center"/>
              <w:rPr>
                <w:rFonts w:hint="default" w:ascii="Arial" w:hAnsi="Arial" w:eastAsia="宋体" w:cs="Arial"/>
                <w:sz w:val="24"/>
                <w:lang w:val="en-GB"/>
              </w:rPr>
            </w:pPr>
            <w:r>
              <w:rPr>
                <w:rFonts w:hint="default" w:ascii="Arial" w:hAnsi="Arial" w:eastAsia="宋体" w:cs="Arial"/>
                <w:sz w:val="24"/>
                <w:lang w:val="en-GB"/>
              </w:rPr>
              <w:t>建设项目</w:t>
            </w:r>
          </w:p>
          <w:p w14:paraId="70EE326E">
            <w:pPr>
              <w:jc w:val="center"/>
              <w:rPr>
                <w:rFonts w:hint="default" w:ascii="Arial" w:hAnsi="Arial" w:eastAsia="宋体" w:cs="Arial"/>
                <w:sz w:val="24"/>
                <w:lang w:val="en-GB"/>
              </w:rPr>
            </w:pPr>
            <w:r>
              <w:rPr>
                <w:rFonts w:hint="default" w:ascii="Arial" w:hAnsi="Arial" w:eastAsia="宋体" w:cs="Arial"/>
                <w:sz w:val="24"/>
                <w:lang w:val="en-GB"/>
              </w:rPr>
              <w:t>行业类别</w:t>
            </w:r>
          </w:p>
        </w:tc>
        <w:tc>
          <w:tcPr>
            <w:tcW w:w="2768" w:type="dxa"/>
            <w:vAlign w:val="center"/>
          </w:tcPr>
          <w:p w14:paraId="58D84548">
            <w:pPr>
              <w:jc w:val="center"/>
              <w:rPr>
                <w:rFonts w:hint="default" w:ascii="Arial" w:hAnsi="Arial" w:eastAsia="宋体" w:cs="Arial"/>
                <w:sz w:val="24"/>
                <w:szCs w:val="24"/>
                <w:lang w:val="en-US"/>
              </w:rPr>
            </w:pPr>
            <w:r>
              <w:rPr>
                <w:rFonts w:hint="default" w:ascii="Arial" w:hAnsi="Arial" w:eastAsia="宋体" w:cs="Arial"/>
                <w:sz w:val="24"/>
                <w:szCs w:val="24"/>
                <w:lang w:val="en-US" w:eastAsia="zh-CN"/>
              </w:rPr>
              <w:t>汽车</w:t>
            </w:r>
            <w:r>
              <w:rPr>
                <w:rFonts w:hint="default" w:ascii="Arial" w:hAnsi="Arial" w:eastAsia="宋体" w:cs="Arial"/>
                <w:sz w:val="24"/>
                <w:szCs w:val="24"/>
              </w:rPr>
              <w:t>制造业</w:t>
            </w:r>
            <w:r>
              <w:rPr>
                <w:rFonts w:hint="default" w:ascii="Arial" w:hAnsi="Arial" w:eastAsia="宋体" w:cs="Arial"/>
                <w:sz w:val="24"/>
                <w:szCs w:val="24"/>
                <w:lang w:val="en-US" w:eastAsia="zh-CN"/>
              </w:rPr>
              <w:t>-汽车零部件及配件制造</w:t>
            </w:r>
            <w:r>
              <w:rPr>
                <w:rFonts w:hint="default" w:ascii="Arial" w:hAnsi="Arial" w:eastAsia="宋体" w:cs="Arial"/>
                <w:sz w:val="24"/>
                <w:szCs w:val="24"/>
              </w:rPr>
              <w:t xml:space="preserve"> </w:t>
            </w:r>
            <w:r>
              <w:rPr>
                <w:rFonts w:hint="default" w:ascii="Arial" w:hAnsi="Arial" w:eastAsia="宋体" w:cs="Arial"/>
                <w:sz w:val="24"/>
                <w:szCs w:val="24"/>
                <w:lang w:val="en-US" w:eastAsia="zh-CN"/>
              </w:rPr>
              <w:t>367</w:t>
            </w:r>
          </w:p>
        </w:tc>
      </w:tr>
      <w:tr w14:paraId="25FCDBA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vAlign w:val="center"/>
          </w:tcPr>
          <w:p w14:paraId="2BCF79DC">
            <w:pPr>
              <w:jc w:val="center"/>
              <w:rPr>
                <w:rFonts w:hint="default" w:ascii="Arial" w:hAnsi="Arial" w:eastAsia="宋体" w:cs="Arial"/>
                <w:sz w:val="24"/>
                <w:lang w:val="en-GB"/>
              </w:rPr>
            </w:pPr>
            <w:r>
              <w:rPr>
                <w:rFonts w:hint="default" w:ascii="Arial" w:hAnsi="Arial" w:eastAsia="宋体" w:cs="Arial"/>
                <w:sz w:val="24"/>
                <w:lang w:val="en-GB"/>
              </w:rPr>
              <w:t>建设性质</w:t>
            </w:r>
          </w:p>
        </w:tc>
        <w:tc>
          <w:tcPr>
            <w:tcW w:w="1821" w:type="dxa"/>
            <w:vAlign w:val="center"/>
          </w:tcPr>
          <w:p w14:paraId="629A1495">
            <w:pPr>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新建</w:t>
            </w:r>
          </w:p>
          <w:p w14:paraId="0B54F836">
            <w:pPr>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改建</w:t>
            </w:r>
          </w:p>
          <w:p w14:paraId="00B7FD69">
            <w:pPr>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扩建</w:t>
            </w:r>
          </w:p>
          <w:p w14:paraId="1CB9D3EA">
            <w:pPr>
              <w:rPr>
                <w:rFonts w:hint="default" w:ascii="Arial" w:hAnsi="Arial" w:eastAsia="宋体" w:cs="Arial"/>
                <w:sz w:val="24"/>
                <w:szCs w:val="24"/>
              </w:rPr>
            </w:pPr>
            <w:r>
              <w:rPr>
                <w:rFonts w:hint="default" w:ascii="Arial" w:hAnsi="Arial" w:eastAsia="宋体" w:cs="Arial"/>
                <w:szCs w:val="21"/>
                <w:lang w:eastAsia="zh-CN"/>
              </w:rPr>
              <w:t>□</w:t>
            </w:r>
            <w:r>
              <w:rPr>
                <w:rFonts w:hint="default" w:ascii="Arial" w:hAnsi="Arial" w:eastAsia="宋体" w:cs="Arial"/>
                <w:szCs w:val="21"/>
              </w:rPr>
              <w:t>技术改造</w:t>
            </w:r>
          </w:p>
        </w:tc>
        <w:tc>
          <w:tcPr>
            <w:tcW w:w="2184" w:type="dxa"/>
            <w:vAlign w:val="center"/>
          </w:tcPr>
          <w:p w14:paraId="2B85F340">
            <w:pPr>
              <w:jc w:val="center"/>
              <w:rPr>
                <w:rFonts w:hint="default" w:ascii="Arial" w:hAnsi="Arial" w:eastAsia="宋体" w:cs="Arial"/>
                <w:sz w:val="24"/>
                <w:lang w:val="en-GB"/>
              </w:rPr>
            </w:pPr>
            <w:r>
              <w:rPr>
                <w:rFonts w:hint="default" w:ascii="Arial" w:hAnsi="Arial" w:eastAsia="宋体" w:cs="Arial"/>
                <w:sz w:val="24"/>
                <w:lang w:val="en-GB"/>
              </w:rPr>
              <w:t>建设项目</w:t>
            </w:r>
            <w:r>
              <w:rPr>
                <w:rFonts w:hint="default" w:ascii="Arial" w:hAnsi="Arial" w:eastAsia="宋体" w:cs="Arial"/>
                <w:sz w:val="24"/>
                <w:lang w:val="en-GB"/>
              </w:rPr>
              <w:br w:type="textWrapping"/>
            </w:r>
            <w:r>
              <w:rPr>
                <w:rFonts w:hint="default" w:ascii="Arial" w:hAnsi="Arial" w:eastAsia="宋体" w:cs="Arial"/>
                <w:sz w:val="24"/>
                <w:lang w:val="en-GB"/>
              </w:rPr>
              <w:t>申报情形</w:t>
            </w:r>
          </w:p>
        </w:tc>
        <w:tc>
          <w:tcPr>
            <w:tcW w:w="2768" w:type="dxa"/>
            <w:vAlign w:val="center"/>
          </w:tcPr>
          <w:p w14:paraId="3F0CFE99">
            <w:pPr>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首次申报项目</w:t>
            </w:r>
          </w:p>
          <w:p w14:paraId="2E6A27B1">
            <w:pPr>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不予批准后再次申报项目</w:t>
            </w:r>
          </w:p>
          <w:p w14:paraId="582B180C">
            <w:pPr>
              <w:rPr>
                <w:rFonts w:hint="default" w:ascii="Arial" w:hAnsi="Arial" w:eastAsia="宋体" w:cs="Arial"/>
                <w:szCs w:val="21"/>
              </w:rPr>
            </w:pPr>
            <w:r>
              <w:rPr>
                <w:rFonts w:hint="default" w:ascii="Arial" w:hAnsi="Arial" w:eastAsia="宋体" w:cs="Arial"/>
                <w:szCs w:val="21"/>
                <w:lang w:eastAsia="zh-CN"/>
              </w:rPr>
              <w:t>□</w:t>
            </w:r>
            <w:r>
              <w:rPr>
                <w:rFonts w:hint="default" w:ascii="Arial" w:hAnsi="Arial" w:eastAsia="宋体" w:cs="Arial"/>
                <w:szCs w:val="21"/>
              </w:rPr>
              <w:t>超五年重新审核项目</w:t>
            </w:r>
          </w:p>
          <w:p w14:paraId="088587F8">
            <w:pPr>
              <w:rPr>
                <w:rFonts w:hint="default" w:ascii="Arial" w:hAnsi="Arial" w:eastAsia="宋体" w:cs="Arial"/>
                <w:sz w:val="24"/>
                <w:szCs w:val="24"/>
              </w:rPr>
            </w:pPr>
            <w:r>
              <w:rPr>
                <w:rFonts w:hint="default" w:ascii="Arial" w:hAnsi="Arial" w:eastAsia="宋体" w:cs="Arial"/>
                <w:szCs w:val="21"/>
                <w:lang w:eastAsia="zh-CN"/>
              </w:rPr>
              <w:t>□</w:t>
            </w:r>
            <w:r>
              <w:rPr>
                <w:rFonts w:hint="default" w:ascii="Arial" w:hAnsi="Arial" w:eastAsia="宋体" w:cs="Arial"/>
                <w:szCs w:val="21"/>
              </w:rPr>
              <w:t>重大变动重新报批项目</w:t>
            </w:r>
          </w:p>
        </w:tc>
      </w:tr>
      <w:tr w14:paraId="52705F59">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vAlign w:val="center"/>
          </w:tcPr>
          <w:p w14:paraId="467EDE2F">
            <w:pPr>
              <w:jc w:val="center"/>
              <w:rPr>
                <w:rFonts w:hint="default" w:ascii="Arial" w:hAnsi="Arial" w:eastAsia="宋体" w:cs="Arial"/>
                <w:sz w:val="24"/>
                <w:lang w:val="en-GB"/>
              </w:rPr>
            </w:pPr>
            <w:r>
              <w:rPr>
                <w:rFonts w:hint="default" w:ascii="Arial" w:hAnsi="Arial" w:eastAsia="宋体" w:cs="Arial"/>
                <w:sz w:val="24"/>
                <w:lang w:val="en-GB"/>
              </w:rPr>
              <w:t>项目审批（核准/备案）部门</w:t>
            </w:r>
          </w:p>
        </w:tc>
        <w:tc>
          <w:tcPr>
            <w:tcW w:w="1821" w:type="dxa"/>
            <w:vAlign w:val="center"/>
          </w:tcPr>
          <w:p w14:paraId="4C238AAD">
            <w:pPr>
              <w:jc w:val="center"/>
              <w:rPr>
                <w:rFonts w:hint="default" w:ascii="Arial" w:hAnsi="Arial" w:eastAsia="宋体" w:cs="Arial"/>
                <w:sz w:val="24"/>
                <w:szCs w:val="24"/>
                <w:lang w:val="en-US" w:eastAsia="zh-CN"/>
              </w:rPr>
            </w:pPr>
            <w:r>
              <w:rPr>
                <w:rFonts w:hint="default" w:ascii="Arial" w:hAnsi="Arial" w:eastAsia="宋体" w:cs="Arial"/>
                <w:sz w:val="24"/>
                <w:szCs w:val="24"/>
              </w:rPr>
              <w:t>平湖市</w:t>
            </w:r>
            <w:r>
              <w:rPr>
                <w:rFonts w:hint="default" w:ascii="Arial" w:hAnsi="Arial" w:eastAsia="宋体" w:cs="Arial"/>
                <w:sz w:val="24"/>
                <w:szCs w:val="24"/>
                <w:lang w:val="en-US" w:eastAsia="zh-CN"/>
              </w:rPr>
              <w:t>发展和改革局</w:t>
            </w:r>
          </w:p>
        </w:tc>
        <w:tc>
          <w:tcPr>
            <w:tcW w:w="2184" w:type="dxa"/>
            <w:vAlign w:val="center"/>
          </w:tcPr>
          <w:p w14:paraId="311E67B3">
            <w:pPr>
              <w:jc w:val="center"/>
              <w:rPr>
                <w:rFonts w:hint="default" w:ascii="Arial" w:hAnsi="Arial" w:eastAsia="宋体" w:cs="Arial"/>
                <w:sz w:val="24"/>
                <w:lang w:val="en-GB"/>
              </w:rPr>
            </w:pPr>
            <w:r>
              <w:rPr>
                <w:rFonts w:hint="default" w:ascii="Arial" w:hAnsi="Arial" w:eastAsia="宋体" w:cs="Arial"/>
                <w:sz w:val="24"/>
                <w:lang w:val="en-GB"/>
              </w:rPr>
              <w:t>项目审批（核准/备案）文号</w:t>
            </w:r>
          </w:p>
        </w:tc>
        <w:tc>
          <w:tcPr>
            <w:tcW w:w="2768" w:type="dxa"/>
            <w:vAlign w:val="center"/>
          </w:tcPr>
          <w:p w14:paraId="5F049BC3">
            <w:pPr>
              <w:jc w:val="center"/>
              <w:rPr>
                <w:rFonts w:hint="default" w:ascii="Arial" w:hAnsi="Arial" w:eastAsia="宋体" w:cs="Arial"/>
                <w:sz w:val="24"/>
                <w:szCs w:val="24"/>
              </w:rPr>
            </w:pPr>
            <w:r>
              <w:rPr>
                <w:rFonts w:hint="default" w:ascii="Arial" w:hAnsi="Arial" w:eastAsia="宋体" w:cs="Arial"/>
                <w:sz w:val="24"/>
                <w:lang w:val="en-GB"/>
              </w:rPr>
              <w:t>2505-330482-04-01-984969</w:t>
            </w:r>
          </w:p>
        </w:tc>
      </w:tr>
      <w:tr w14:paraId="67C2C60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tcBorders>
              <w:bottom w:val="single" w:color="auto" w:sz="4" w:space="0"/>
            </w:tcBorders>
            <w:vAlign w:val="center"/>
          </w:tcPr>
          <w:p w14:paraId="33904CA4">
            <w:pPr>
              <w:jc w:val="center"/>
              <w:rPr>
                <w:rFonts w:hint="default" w:ascii="Arial" w:hAnsi="Arial" w:eastAsia="宋体" w:cs="Arial"/>
                <w:sz w:val="24"/>
                <w:lang w:val="en-GB"/>
              </w:rPr>
            </w:pPr>
            <w:r>
              <w:rPr>
                <w:rFonts w:hint="default" w:ascii="Arial" w:hAnsi="Arial" w:eastAsia="宋体" w:cs="Arial"/>
                <w:sz w:val="24"/>
                <w:lang w:val="en-GB"/>
              </w:rPr>
              <w:t>总投资</w:t>
            </w:r>
          </w:p>
          <w:p w14:paraId="32E28359">
            <w:pPr>
              <w:jc w:val="center"/>
              <w:rPr>
                <w:rFonts w:hint="default" w:ascii="Arial" w:hAnsi="Arial" w:eastAsia="宋体" w:cs="Arial"/>
                <w:sz w:val="24"/>
                <w:lang w:val="en-GB"/>
              </w:rPr>
            </w:pPr>
            <w:r>
              <w:rPr>
                <w:rFonts w:hint="default" w:ascii="Arial" w:hAnsi="Arial" w:eastAsia="宋体" w:cs="Arial"/>
                <w:sz w:val="24"/>
                <w:lang w:val="en-GB"/>
              </w:rPr>
              <w:t>（万元）</w:t>
            </w:r>
          </w:p>
        </w:tc>
        <w:tc>
          <w:tcPr>
            <w:tcW w:w="1821" w:type="dxa"/>
            <w:tcBorders>
              <w:bottom w:val="single" w:color="auto" w:sz="4" w:space="0"/>
            </w:tcBorders>
            <w:vAlign w:val="center"/>
          </w:tcPr>
          <w:p w14:paraId="086BAE1A">
            <w:pPr>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206.3</w:t>
            </w:r>
          </w:p>
        </w:tc>
        <w:tc>
          <w:tcPr>
            <w:tcW w:w="2184" w:type="dxa"/>
            <w:tcBorders>
              <w:bottom w:val="single" w:color="auto" w:sz="4" w:space="0"/>
            </w:tcBorders>
            <w:vAlign w:val="center"/>
          </w:tcPr>
          <w:p w14:paraId="058AB7DC">
            <w:pPr>
              <w:jc w:val="center"/>
              <w:rPr>
                <w:rFonts w:hint="default" w:ascii="Arial" w:hAnsi="Arial" w:eastAsia="宋体" w:cs="Arial"/>
                <w:sz w:val="24"/>
                <w:szCs w:val="24"/>
              </w:rPr>
            </w:pPr>
            <w:r>
              <w:rPr>
                <w:rFonts w:hint="default" w:ascii="Arial" w:hAnsi="Arial" w:eastAsia="宋体" w:cs="Arial"/>
                <w:sz w:val="24"/>
                <w:szCs w:val="24"/>
              </w:rPr>
              <w:t>环保投资</w:t>
            </w:r>
          </w:p>
          <w:p w14:paraId="23B50CF6">
            <w:pPr>
              <w:jc w:val="center"/>
              <w:rPr>
                <w:rFonts w:hint="default" w:ascii="Arial" w:hAnsi="Arial" w:eastAsia="宋体" w:cs="Arial"/>
                <w:sz w:val="24"/>
                <w:szCs w:val="24"/>
              </w:rPr>
            </w:pPr>
            <w:r>
              <w:rPr>
                <w:rFonts w:hint="default" w:ascii="Arial" w:hAnsi="Arial" w:eastAsia="宋体" w:cs="Arial"/>
                <w:sz w:val="24"/>
                <w:szCs w:val="24"/>
              </w:rPr>
              <w:t>（万元）</w:t>
            </w:r>
          </w:p>
        </w:tc>
        <w:tc>
          <w:tcPr>
            <w:tcW w:w="2768" w:type="dxa"/>
            <w:tcBorders>
              <w:bottom w:val="single" w:color="auto" w:sz="4" w:space="0"/>
            </w:tcBorders>
            <w:vAlign w:val="center"/>
          </w:tcPr>
          <w:p w14:paraId="78F34160">
            <w:pPr>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50</w:t>
            </w:r>
          </w:p>
        </w:tc>
      </w:tr>
      <w:tr w14:paraId="6E89104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tcBorders>
              <w:bottom w:val="single" w:color="auto" w:sz="4" w:space="0"/>
            </w:tcBorders>
            <w:vAlign w:val="center"/>
          </w:tcPr>
          <w:p w14:paraId="41492493">
            <w:pPr>
              <w:jc w:val="center"/>
              <w:rPr>
                <w:rFonts w:hint="default" w:ascii="Arial" w:hAnsi="Arial" w:eastAsia="宋体" w:cs="Arial"/>
                <w:sz w:val="24"/>
                <w:lang w:val="en-GB"/>
              </w:rPr>
            </w:pPr>
            <w:r>
              <w:rPr>
                <w:rFonts w:hint="default" w:ascii="Arial" w:hAnsi="Arial" w:eastAsia="宋体" w:cs="Arial"/>
                <w:sz w:val="24"/>
                <w:lang w:val="en-GB"/>
              </w:rPr>
              <w:t>环保投资占比（%）</w:t>
            </w:r>
          </w:p>
        </w:tc>
        <w:tc>
          <w:tcPr>
            <w:tcW w:w="1821" w:type="dxa"/>
            <w:tcBorders>
              <w:bottom w:val="single" w:color="auto" w:sz="4" w:space="0"/>
            </w:tcBorders>
            <w:vAlign w:val="center"/>
          </w:tcPr>
          <w:p w14:paraId="7FE85136">
            <w:pPr>
              <w:jc w:val="center"/>
              <w:rPr>
                <w:rFonts w:hint="default" w:ascii="Arial" w:hAnsi="Arial" w:eastAsia="宋体" w:cs="Arial"/>
                <w:sz w:val="24"/>
                <w:szCs w:val="24"/>
                <w:lang w:val="en-US" w:eastAsia="zh-CN"/>
              </w:rPr>
            </w:pPr>
            <w:r>
              <w:rPr>
                <w:rFonts w:hint="default" w:ascii="Arial" w:hAnsi="Arial" w:eastAsia="宋体" w:cs="Arial"/>
                <w:sz w:val="24"/>
                <w:szCs w:val="24"/>
                <w:lang w:val="en-US" w:eastAsia="zh-CN"/>
              </w:rPr>
              <w:t>24.2</w:t>
            </w:r>
          </w:p>
        </w:tc>
        <w:tc>
          <w:tcPr>
            <w:tcW w:w="2184" w:type="dxa"/>
            <w:tcBorders>
              <w:bottom w:val="single" w:color="auto" w:sz="4" w:space="0"/>
            </w:tcBorders>
            <w:vAlign w:val="center"/>
          </w:tcPr>
          <w:p w14:paraId="441632E8">
            <w:pPr>
              <w:jc w:val="center"/>
              <w:rPr>
                <w:rFonts w:hint="default" w:ascii="Arial" w:hAnsi="Arial" w:eastAsia="宋体" w:cs="Arial"/>
                <w:sz w:val="24"/>
                <w:szCs w:val="24"/>
              </w:rPr>
            </w:pPr>
            <w:r>
              <w:rPr>
                <w:rFonts w:hint="default" w:ascii="Arial" w:hAnsi="Arial" w:eastAsia="宋体" w:cs="Arial"/>
                <w:sz w:val="24"/>
                <w:szCs w:val="24"/>
              </w:rPr>
              <w:t>施工工期</w:t>
            </w:r>
          </w:p>
        </w:tc>
        <w:tc>
          <w:tcPr>
            <w:tcW w:w="2768" w:type="dxa"/>
            <w:tcBorders>
              <w:bottom w:val="single" w:color="auto" w:sz="4" w:space="0"/>
            </w:tcBorders>
            <w:vAlign w:val="center"/>
          </w:tcPr>
          <w:p w14:paraId="1C42B579">
            <w:pPr>
              <w:jc w:val="center"/>
              <w:rPr>
                <w:rFonts w:hint="default" w:ascii="Arial" w:hAnsi="Arial" w:eastAsia="宋体" w:cs="Arial"/>
                <w:sz w:val="24"/>
                <w:szCs w:val="24"/>
              </w:rPr>
            </w:pPr>
            <w:r>
              <w:rPr>
                <w:rFonts w:hint="default" w:ascii="Arial" w:hAnsi="Arial" w:eastAsia="宋体" w:cs="Arial"/>
                <w:sz w:val="24"/>
                <w:szCs w:val="24"/>
                <w:lang w:val="en-US" w:eastAsia="zh-CN"/>
              </w:rPr>
              <w:t>3</w:t>
            </w:r>
            <w:r>
              <w:rPr>
                <w:rFonts w:hint="default" w:ascii="Arial" w:hAnsi="Arial" w:eastAsia="宋体" w:cs="Arial"/>
                <w:sz w:val="24"/>
                <w:szCs w:val="24"/>
              </w:rPr>
              <w:t>个月</w:t>
            </w:r>
          </w:p>
        </w:tc>
      </w:tr>
      <w:tr w14:paraId="5FEE9A5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tcBorders>
              <w:top w:val="single" w:color="auto" w:sz="4" w:space="0"/>
              <w:bottom w:val="single" w:color="auto" w:sz="4" w:space="0"/>
            </w:tcBorders>
            <w:vAlign w:val="center"/>
          </w:tcPr>
          <w:p w14:paraId="03309914">
            <w:pPr>
              <w:jc w:val="center"/>
              <w:rPr>
                <w:rFonts w:hint="default" w:ascii="Arial" w:hAnsi="Arial" w:eastAsia="宋体" w:cs="Arial"/>
                <w:sz w:val="24"/>
                <w:lang w:val="en-GB"/>
              </w:rPr>
            </w:pPr>
            <w:r>
              <w:rPr>
                <w:rFonts w:hint="default" w:ascii="Arial" w:hAnsi="Arial" w:eastAsia="宋体" w:cs="Arial"/>
                <w:sz w:val="24"/>
                <w:lang w:val="en-GB"/>
              </w:rPr>
              <w:t>是否开工建设</w:t>
            </w:r>
          </w:p>
        </w:tc>
        <w:tc>
          <w:tcPr>
            <w:tcW w:w="1821" w:type="dxa"/>
            <w:tcBorders>
              <w:top w:val="single" w:color="auto" w:sz="4" w:space="0"/>
              <w:bottom w:val="single" w:color="auto" w:sz="4" w:space="0"/>
            </w:tcBorders>
            <w:vAlign w:val="center"/>
          </w:tcPr>
          <w:p w14:paraId="119AC43B">
            <w:pPr>
              <w:jc w:val="left"/>
              <w:rPr>
                <w:rFonts w:hint="default" w:ascii="Arial" w:hAnsi="Arial" w:eastAsia="宋体" w:cs="Arial"/>
                <w:szCs w:val="21"/>
              </w:rPr>
            </w:pPr>
            <w:r>
              <w:rPr>
                <w:rFonts w:hint="default" w:ascii="Arial" w:hAnsi="Arial" w:eastAsia="宋体" w:cs="Arial"/>
                <w:szCs w:val="21"/>
              </w:rPr>
              <w:t>■否</w:t>
            </w:r>
          </w:p>
          <w:p w14:paraId="79079D8C">
            <w:pPr>
              <w:jc w:val="left"/>
              <w:rPr>
                <w:rFonts w:hint="default" w:ascii="Arial" w:hAnsi="Arial" w:eastAsia="宋体" w:cs="Arial"/>
                <w:sz w:val="24"/>
                <w:szCs w:val="24"/>
              </w:rPr>
            </w:pPr>
            <w:r>
              <w:rPr>
                <w:rFonts w:hint="default" w:ascii="Arial" w:hAnsi="Arial" w:eastAsia="宋体" w:cs="Arial"/>
                <w:szCs w:val="21"/>
              </w:rPr>
              <w:t>□是：</w:t>
            </w:r>
          </w:p>
        </w:tc>
        <w:tc>
          <w:tcPr>
            <w:tcW w:w="2184" w:type="dxa"/>
            <w:tcBorders>
              <w:top w:val="single" w:color="auto" w:sz="4" w:space="0"/>
              <w:bottom w:val="single" w:color="auto" w:sz="4" w:space="0"/>
            </w:tcBorders>
            <w:vAlign w:val="center"/>
          </w:tcPr>
          <w:p w14:paraId="1B5A35D8">
            <w:pPr>
              <w:jc w:val="center"/>
              <w:rPr>
                <w:rFonts w:hint="default" w:ascii="Arial" w:hAnsi="Arial" w:eastAsia="宋体" w:cs="Arial"/>
                <w:sz w:val="24"/>
                <w:szCs w:val="24"/>
              </w:rPr>
            </w:pPr>
            <w:r>
              <w:rPr>
                <w:rFonts w:hint="default" w:ascii="Arial" w:hAnsi="Arial" w:eastAsia="宋体" w:cs="Arial"/>
                <w:sz w:val="24"/>
                <w:szCs w:val="24"/>
              </w:rPr>
              <w:t>建筑面积（㎡）</w:t>
            </w:r>
          </w:p>
        </w:tc>
        <w:tc>
          <w:tcPr>
            <w:tcW w:w="2768" w:type="dxa"/>
            <w:tcBorders>
              <w:top w:val="single" w:color="auto" w:sz="4" w:space="0"/>
              <w:bottom w:val="single" w:color="auto" w:sz="4" w:space="0"/>
            </w:tcBorders>
            <w:vAlign w:val="center"/>
          </w:tcPr>
          <w:p w14:paraId="34E1CBBA">
            <w:pPr>
              <w:jc w:val="center"/>
              <w:rPr>
                <w:rFonts w:hint="default" w:ascii="Arial" w:hAnsi="Arial" w:eastAsia="宋体" w:cs="Arial"/>
                <w:sz w:val="24"/>
                <w:szCs w:val="24"/>
                <w:lang w:val="en-US"/>
              </w:rPr>
            </w:pPr>
            <w:r>
              <w:rPr>
                <w:rFonts w:hint="default" w:ascii="Arial" w:hAnsi="Arial" w:eastAsia="宋体" w:cs="Arial"/>
                <w:sz w:val="24"/>
                <w:szCs w:val="24"/>
                <w:lang w:val="en-US" w:eastAsia="zh-CN"/>
              </w:rPr>
              <w:t>21897.07</w:t>
            </w:r>
          </w:p>
        </w:tc>
      </w:tr>
      <w:tr w14:paraId="7B707E8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tcBorders>
              <w:top w:val="single" w:color="auto" w:sz="4" w:space="0"/>
              <w:bottom w:val="single" w:color="auto" w:sz="4" w:space="0"/>
            </w:tcBorders>
            <w:vAlign w:val="center"/>
          </w:tcPr>
          <w:p w14:paraId="086BF6B2">
            <w:pPr>
              <w:jc w:val="center"/>
              <w:rPr>
                <w:rFonts w:hint="default" w:ascii="Arial" w:hAnsi="Arial" w:eastAsia="宋体" w:cs="Arial"/>
                <w:sz w:val="24"/>
                <w:lang w:val="en-GB"/>
              </w:rPr>
            </w:pPr>
            <w:r>
              <w:rPr>
                <w:rFonts w:hint="default" w:ascii="Arial" w:hAnsi="Arial" w:eastAsia="宋体" w:cs="Arial"/>
                <w:sz w:val="24"/>
                <w:lang w:val="en-GB"/>
              </w:rPr>
              <w:t>专项评价设置情况</w:t>
            </w:r>
          </w:p>
        </w:tc>
        <w:tc>
          <w:tcPr>
            <w:tcW w:w="6773" w:type="dxa"/>
            <w:gridSpan w:val="3"/>
            <w:tcBorders>
              <w:top w:val="single" w:color="auto" w:sz="4" w:space="0"/>
              <w:bottom w:val="single" w:color="auto" w:sz="4" w:space="0"/>
            </w:tcBorders>
            <w:vAlign w:val="center"/>
          </w:tcPr>
          <w:tbl>
            <w:tblPr>
              <w:tblStyle w:val="5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3298"/>
              <w:gridCol w:w="1959"/>
              <w:gridCol w:w="668"/>
            </w:tblGrid>
            <w:tr w14:paraId="4A7E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416EE952">
                  <w:pPr>
                    <w:adjustRightInd w:val="0"/>
                    <w:snapToGrid w:val="0"/>
                    <w:rPr>
                      <w:rFonts w:hint="default" w:ascii="Arial" w:hAnsi="Arial" w:eastAsia="宋体" w:cs="Arial"/>
                      <w:kern w:val="0"/>
                      <w:szCs w:val="21"/>
                    </w:rPr>
                  </w:pPr>
                  <w:r>
                    <w:rPr>
                      <w:rFonts w:hint="default" w:ascii="Arial" w:hAnsi="Arial" w:eastAsia="宋体" w:cs="Arial"/>
                      <w:kern w:val="0"/>
                      <w:szCs w:val="21"/>
                    </w:rPr>
                    <w:t>专项评价类别</w:t>
                  </w:r>
                </w:p>
              </w:tc>
              <w:tc>
                <w:tcPr>
                  <w:tcW w:w="0" w:type="auto"/>
                  <w:shd w:val="clear" w:color="auto" w:fill="auto"/>
                  <w:vAlign w:val="center"/>
                </w:tcPr>
                <w:p w14:paraId="14CE1E3C">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设置原则</w:t>
                  </w:r>
                </w:p>
              </w:tc>
              <w:tc>
                <w:tcPr>
                  <w:tcW w:w="0" w:type="auto"/>
                  <w:shd w:val="clear" w:color="auto" w:fill="auto"/>
                  <w:vAlign w:val="center"/>
                </w:tcPr>
                <w:p w14:paraId="5251E0C3">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对照分析</w:t>
                  </w:r>
                </w:p>
              </w:tc>
              <w:tc>
                <w:tcPr>
                  <w:tcW w:w="0" w:type="auto"/>
                  <w:shd w:val="clear" w:color="auto" w:fill="auto"/>
                  <w:vAlign w:val="center"/>
                </w:tcPr>
                <w:p w14:paraId="63199FCD">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设置专项评价</w:t>
                  </w:r>
                </w:p>
              </w:tc>
            </w:tr>
            <w:tr w14:paraId="10CC2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3A4D49EB">
                  <w:pPr>
                    <w:adjustRightInd w:val="0"/>
                    <w:snapToGrid w:val="0"/>
                    <w:rPr>
                      <w:rFonts w:hint="default" w:ascii="Arial" w:hAnsi="Arial" w:eastAsia="宋体" w:cs="Arial"/>
                      <w:kern w:val="0"/>
                      <w:szCs w:val="21"/>
                    </w:rPr>
                  </w:pPr>
                  <w:r>
                    <w:rPr>
                      <w:rFonts w:hint="default" w:ascii="Arial" w:hAnsi="Arial" w:eastAsia="宋体" w:cs="Arial"/>
                      <w:kern w:val="0"/>
                      <w:szCs w:val="21"/>
                    </w:rPr>
                    <w:t>大气</w:t>
                  </w:r>
                </w:p>
              </w:tc>
              <w:tc>
                <w:tcPr>
                  <w:tcW w:w="0" w:type="auto"/>
                  <w:shd w:val="clear" w:color="auto" w:fill="auto"/>
                  <w:vAlign w:val="center"/>
                </w:tcPr>
                <w:p w14:paraId="030442ED">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排放废气含有毒有害污染物</w:t>
                  </w:r>
                  <w:r>
                    <w:rPr>
                      <w:rFonts w:hint="default" w:ascii="Arial" w:hAnsi="Arial" w:eastAsia="宋体" w:cs="Arial"/>
                      <w:kern w:val="0"/>
                      <w:szCs w:val="21"/>
                      <w:vertAlign w:val="superscript"/>
                    </w:rPr>
                    <w:t>1</w:t>
                  </w:r>
                  <w:r>
                    <w:rPr>
                      <w:rFonts w:hint="default" w:ascii="Arial" w:hAnsi="Arial" w:eastAsia="宋体" w:cs="Arial"/>
                      <w:kern w:val="0"/>
                      <w:szCs w:val="21"/>
                    </w:rPr>
                    <w:t>、二噁英、苯并[a]芘、氰化物、氯气且厂界外500米范围内有环境空气保护目标</w:t>
                  </w:r>
                  <w:r>
                    <w:rPr>
                      <w:rFonts w:hint="default" w:ascii="Arial" w:hAnsi="Arial" w:eastAsia="宋体" w:cs="Arial"/>
                      <w:kern w:val="0"/>
                      <w:szCs w:val="21"/>
                      <w:vertAlign w:val="superscript"/>
                    </w:rPr>
                    <w:t>2</w:t>
                  </w:r>
                  <w:r>
                    <w:rPr>
                      <w:rFonts w:hint="default" w:ascii="Arial" w:hAnsi="Arial" w:eastAsia="宋体" w:cs="Arial"/>
                      <w:kern w:val="0"/>
                      <w:szCs w:val="21"/>
                    </w:rPr>
                    <w:t>的建设项目</w:t>
                  </w:r>
                </w:p>
              </w:tc>
              <w:tc>
                <w:tcPr>
                  <w:tcW w:w="0" w:type="auto"/>
                  <w:shd w:val="clear" w:color="auto" w:fill="auto"/>
                  <w:vAlign w:val="center"/>
                </w:tcPr>
                <w:p w14:paraId="3A3996E7">
                  <w:pPr>
                    <w:adjustRightInd w:val="0"/>
                    <w:snapToGrid w:val="0"/>
                    <w:jc w:val="center"/>
                    <w:rPr>
                      <w:rFonts w:hint="eastAsia" w:ascii="Arial" w:hAnsi="Arial" w:eastAsia="宋体" w:cs="Arial"/>
                      <w:kern w:val="0"/>
                      <w:szCs w:val="21"/>
                      <w:lang w:eastAsia="zh-CN"/>
                    </w:rPr>
                  </w:pPr>
                  <w:r>
                    <w:rPr>
                      <w:rFonts w:hint="default" w:ascii="Arial" w:hAnsi="Arial" w:eastAsia="宋体" w:cs="Arial"/>
                      <w:kern w:val="0"/>
                      <w:szCs w:val="21"/>
                    </w:rPr>
                    <w:t>不涉及有毒有害污染物</w:t>
                  </w:r>
                  <w:r>
                    <w:rPr>
                      <w:rFonts w:hint="eastAsia" w:ascii="Arial" w:hAnsi="Arial" w:eastAsia="宋体" w:cs="Arial"/>
                      <w:kern w:val="0"/>
                      <w:szCs w:val="21"/>
                      <w:lang w:eastAsia="zh-CN"/>
                    </w:rPr>
                    <w:t>。</w:t>
                  </w:r>
                </w:p>
              </w:tc>
              <w:tc>
                <w:tcPr>
                  <w:tcW w:w="0" w:type="auto"/>
                  <w:shd w:val="clear" w:color="auto" w:fill="auto"/>
                  <w:vAlign w:val="center"/>
                </w:tcPr>
                <w:p w14:paraId="7613DF6F">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否</w:t>
                  </w:r>
                </w:p>
              </w:tc>
            </w:tr>
            <w:tr w14:paraId="75E4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30B5CDA6">
                  <w:pPr>
                    <w:adjustRightInd w:val="0"/>
                    <w:snapToGrid w:val="0"/>
                    <w:rPr>
                      <w:rFonts w:hint="default" w:ascii="Arial" w:hAnsi="Arial" w:eastAsia="宋体" w:cs="Arial"/>
                      <w:kern w:val="0"/>
                      <w:szCs w:val="21"/>
                    </w:rPr>
                  </w:pPr>
                  <w:r>
                    <w:rPr>
                      <w:rFonts w:hint="default" w:ascii="Arial" w:hAnsi="Arial" w:eastAsia="宋体" w:cs="Arial"/>
                      <w:kern w:val="0"/>
                      <w:szCs w:val="21"/>
                    </w:rPr>
                    <w:t>地表水</w:t>
                  </w:r>
                </w:p>
              </w:tc>
              <w:tc>
                <w:tcPr>
                  <w:tcW w:w="0" w:type="auto"/>
                  <w:shd w:val="clear" w:color="auto" w:fill="auto"/>
                  <w:vAlign w:val="center"/>
                </w:tcPr>
                <w:p w14:paraId="294C78D2">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新增工业废水直排建设项目（槽罐车外送污水处理厂的除外）；新增废水直排的污水集中处理厂</w:t>
                  </w:r>
                </w:p>
              </w:tc>
              <w:tc>
                <w:tcPr>
                  <w:tcW w:w="0" w:type="auto"/>
                  <w:shd w:val="clear" w:color="auto" w:fill="auto"/>
                  <w:vAlign w:val="center"/>
                </w:tcPr>
                <w:p w14:paraId="5BF6E3FD">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本项目废水纳管排放。</w:t>
                  </w:r>
                </w:p>
              </w:tc>
              <w:tc>
                <w:tcPr>
                  <w:tcW w:w="0" w:type="auto"/>
                  <w:shd w:val="clear" w:color="auto" w:fill="auto"/>
                  <w:vAlign w:val="center"/>
                </w:tcPr>
                <w:p w14:paraId="1FC63D68">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否</w:t>
                  </w:r>
                </w:p>
              </w:tc>
            </w:tr>
            <w:tr w14:paraId="0CAE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26CED958">
                  <w:pPr>
                    <w:adjustRightInd w:val="0"/>
                    <w:snapToGrid w:val="0"/>
                    <w:rPr>
                      <w:rFonts w:hint="default" w:ascii="Arial" w:hAnsi="Arial" w:eastAsia="宋体" w:cs="Arial"/>
                      <w:kern w:val="0"/>
                      <w:szCs w:val="21"/>
                    </w:rPr>
                  </w:pPr>
                  <w:r>
                    <w:rPr>
                      <w:rFonts w:hint="default" w:ascii="Arial" w:hAnsi="Arial" w:eastAsia="宋体" w:cs="Arial"/>
                      <w:kern w:val="0"/>
                      <w:szCs w:val="21"/>
                    </w:rPr>
                    <w:t>环境风险</w:t>
                  </w:r>
                </w:p>
              </w:tc>
              <w:tc>
                <w:tcPr>
                  <w:tcW w:w="0" w:type="auto"/>
                  <w:shd w:val="clear" w:color="auto" w:fill="auto"/>
                  <w:vAlign w:val="center"/>
                </w:tcPr>
                <w:p w14:paraId="6F4DE8D2">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有毒有害和易燃易爆危险物质存储量超过临界量</w:t>
                  </w:r>
                  <w:r>
                    <w:rPr>
                      <w:rFonts w:hint="default" w:ascii="Arial" w:hAnsi="Arial" w:eastAsia="宋体" w:cs="Arial"/>
                      <w:kern w:val="0"/>
                      <w:szCs w:val="21"/>
                      <w:vertAlign w:val="superscript"/>
                    </w:rPr>
                    <w:t>3</w:t>
                  </w:r>
                  <w:r>
                    <w:rPr>
                      <w:rFonts w:hint="default" w:ascii="Arial" w:hAnsi="Arial" w:eastAsia="宋体" w:cs="Arial"/>
                      <w:kern w:val="0"/>
                      <w:szCs w:val="21"/>
                    </w:rPr>
                    <w:t>的建设项目</w:t>
                  </w:r>
                </w:p>
              </w:tc>
              <w:tc>
                <w:tcPr>
                  <w:tcW w:w="0" w:type="auto"/>
                  <w:shd w:val="clear" w:color="auto" w:fill="auto"/>
                  <w:vAlign w:val="center"/>
                </w:tcPr>
                <w:p w14:paraId="2A09DE82">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本项目有毒有害和易燃易爆危险物质存储量未超过临界量，Q＜1。</w:t>
                  </w:r>
                </w:p>
              </w:tc>
              <w:tc>
                <w:tcPr>
                  <w:tcW w:w="0" w:type="auto"/>
                  <w:shd w:val="clear" w:color="auto" w:fill="auto"/>
                  <w:vAlign w:val="center"/>
                </w:tcPr>
                <w:p w14:paraId="05D91744">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否</w:t>
                  </w:r>
                </w:p>
              </w:tc>
            </w:tr>
            <w:tr w14:paraId="7954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421DB05A">
                  <w:pPr>
                    <w:adjustRightInd w:val="0"/>
                    <w:snapToGrid w:val="0"/>
                    <w:rPr>
                      <w:rFonts w:hint="default" w:ascii="Arial" w:hAnsi="Arial" w:eastAsia="宋体" w:cs="Arial"/>
                      <w:kern w:val="0"/>
                      <w:szCs w:val="21"/>
                    </w:rPr>
                  </w:pPr>
                  <w:r>
                    <w:rPr>
                      <w:rFonts w:hint="default" w:ascii="Arial" w:hAnsi="Arial" w:eastAsia="宋体" w:cs="Arial"/>
                      <w:kern w:val="0"/>
                      <w:szCs w:val="21"/>
                    </w:rPr>
                    <w:t>生态</w:t>
                  </w:r>
                </w:p>
              </w:tc>
              <w:tc>
                <w:tcPr>
                  <w:tcW w:w="0" w:type="auto"/>
                  <w:shd w:val="clear" w:color="auto" w:fill="auto"/>
                  <w:vAlign w:val="center"/>
                </w:tcPr>
                <w:p w14:paraId="08F66B11">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取水口下游500米范围内有重要水生生物的自然产卵场、索饵场、越冬场和洄游通道的新增河道取水的污染类建设项目</w:t>
                  </w:r>
                </w:p>
              </w:tc>
              <w:tc>
                <w:tcPr>
                  <w:tcW w:w="0" w:type="auto"/>
                  <w:shd w:val="clear" w:color="auto" w:fill="auto"/>
                  <w:vAlign w:val="center"/>
                </w:tcPr>
                <w:p w14:paraId="2C3FE53C">
                  <w:pPr>
                    <w:adjustRightInd w:val="0"/>
                    <w:snapToGrid w:val="0"/>
                    <w:jc w:val="center"/>
                    <w:rPr>
                      <w:rFonts w:hint="eastAsia" w:ascii="Arial" w:hAnsi="Arial" w:eastAsia="宋体" w:cs="Arial"/>
                      <w:kern w:val="0"/>
                      <w:szCs w:val="21"/>
                      <w:lang w:eastAsia="zh-CN"/>
                    </w:rPr>
                  </w:pPr>
                  <w:r>
                    <w:rPr>
                      <w:rFonts w:hint="default" w:ascii="Arial" w:hAnsi="Arial" w:eastAsia="宋体" w:cs="Arial"/>
                      <w:kern w:val="0"/>
                      <w:szCs w:val="21"/>
                    </w:rPr>
                    <w:t>本项目全部用水均由平湖市自来水厂提供，不设置取水口</w:t>
                  </w:r>
                  <w:r>
                    <w:rPr>
                      <w:rFonts w:hint="eastAsia" w:ascii="Arial" w:hAnsi="Arial" w:eastAsia="宋体" w:cs="Arial"/>
                      <w:kern w:val="0"/>
                      <w:szCs w:val="21"/>
                      <w:lang w:eastAsia="zh-CN"/>
                    </w:rPr>
                    <w:t>。</w:t>
                  </w:r>
                </w:p>
              </w:tc>
              <w:tc>
                <w:tcPr>
                  <w:tcW w:w="0" w:type="auto"/>
                  <w:shd w:val="clear" w:color="auto" w:fill="auto"/>
                  <w:vAlign w:val="center"/>
                </w:tcPr>
                <w:p w14:paraId="2D459A73">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否</w:t>
                  </w:r>
                </w:p>
              </w:tc>
            </w:tr>
            <w:tr w14:paraId="30CE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7A2234B7">
                  <w:pPr>
                    <w:adjustRightInd w:val="0"/>
                    <w:snapToGrid w:val="0"/>
                    <w:rPr>
                      <w:rFonts w:hint="default" w:ascii="Arial" w:hAnsi="Arial" w:eastAsia="宋体" w:cs="Arial"/>
                      <w:kern w:val="0"/>
                      <w:szCs w:val="21"/>
                    </w:rPr>
                  </w:pPr>
                  <w:r>
                    <w:rPr>
                      <w:rFonts w:hint="default" w:ascii="Arial" w:hAnsi="Arial" w:eastAsia="宋体" w:cs="Arial"/>
                      <w:kern w:val="0"/>
                      <w:szCs w:val="21"/>
                    </w:rPr>
                    <w:t>海洋</w:t>
                  </w:r>
                </w:p>
              </w:tc>
              <w:tc>
                <w:tcPr>
                  <w:tcW w:w="0" w:type="auto"/>
                  <w:shd w:val="clear" w:color="auto" w:fill="auto"/>
                  <w:vAlign w:val="center"/>
                </w:tcPr>
                <w:p w14:paraId="0E332C98">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直接向海排放污染物的海洋工程建设项目</w:t>
                  </w:r>
                </w:p>
              </w:tc>
              <w:tc>
                <w:tcPr>
                  <w:tcW w:w="0" w:type="auto"/>
                  <w:shd w:val="clear" w:color="auto" w:fill="auto"/>
                  <w:tcMar>
                    <w:top w:w="0" w:type="dxa"/>
                    <w:left w:w="0" w:type="dxa"/>
                    <w:bottom w:w="0" w:type="dxa"/>
                    <w:right w:w="0" w:type="dxa"/>
                  </w:tcMar>
                  <w:vAlign w:val="center"/>
                </w:tcPr>
                <w:p w14:paraId="26773EF5">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本项目不涉及直接向海洋排放污染物。</w:t>
                  </w:r>
                </w:p>
              </w:tc>
              <w:tc>
                <w:tcPr>
                  <w:tcW w:w="0" w:type="auto"/>
                  <w:shd w:val="clear" w:color="auto" w:fill="auto"/>
                  <w:vAlign w:val="center"/>
                </w:tcPr>
                <w:p w14:paraId="2BF0DB83">
                  <w:pPr>
                    <w:adjustRightInd w:val="0"/>
                    <w:snapToGrid w:val="0"/>
                    <w:jc w:val="center"/>
                    <w:rPr>
                      <w:rFonts w:hint="default" w:ascii="Arial" w:hAnsi="Arial" w:eastAsia="宋体" w:cs="Arial"/>
                      <w:kern w:val="0"/>
                      <w:szCs w:val="21"/>
                    </w:rPr>
                  </w:pPr>
                  <w:r>
                    <w:rPr>
                      <w:rFonts w:hint="default" w:ascii="Arial" w:hAnsi="Arial" w:eastAsia="宋体" w:cs="Arial"/>
                      <w:kern w:val="0"/>
                      <w:szCs w:val="21"/>
                    </w:rPr>
                    <w:t>否</w:t>
                  </w:r>
                </w:p>
              </w:tc>
            </w:tr>
            <w:tr w14:paraId="4C4E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4"/>
                  <w:shd w:val="clear" w:color="auto" w:fill="auto"/>
                  <w:vAlign w:val="center"/>
                </w:tcPr>
                <w:p w14:paraId="7C4B2274">
                  <w:pPr>
                    <w:adjustRightInd w:val="0"/>
                    <w:snapToGrid w:val="0"/>
                    <w:jc w:val="left"/>
                    <w:rPr>
                      <w:rFonts w:hint="default" w:ascii="Arial" w:hAnsi="Arial" w:eastAsia="宋体" w:cs="Arial"/>
                      <w:kern w:val="0"/>
                      <w:szCs w:val="21"/>
                    </w:rPr>
                  </w:pPr>
                  <w:r>
                    <w:rPr>
                      <w:rFonts w:hint="default" w:ascii="Arial" w:hAnsi="Arial" w:eastAsia="宋体" w:cs="Arial"/>
                      <w:kern w:val="0"/>
                      <w:szCs w:val="21"/>
                    </w:rPr>
                    <w:t>注：1.废气中有毒有害污染物指纳入《有毒有害大气污染物名录》的污染物（不包括无排放标准的污染物）。</w:t>
                  </w:r>
                </w:p>
                <w:p w14:paraId="6F0A7B48">
                  <w:pPr>
                    <w:adjustRightInd w:val="0"/>
                    <w:snapToGrid w:val="0"/>
                    <w:jc w:val="left"/>
                    <w:rPr>
                      <w:rFonts w:hint="default" w:ascii="Arial" w:hAnsi="Arial" w:eastAsia="宋体" w:cs="Arial"/>
                      <w:kern w:val="0"/>
                      <w:szCs w:val="21"/>
                    </w:rPr>
                  </w:pPr>
                  <w:r>
                    <w:rPr>
                      <w:rFonts w:hint="default" w:ascii="Arial" w:hAnsi="Arial" w:eastAsia="宋体" w:cs="Arial"/>
                      <w:kern w:val="0"/>
                      <w:szCs w:val="21"/>
                    </w:rPr>
                    <w:t>2.环境空气保护目标指自然保护区、风景名胜区、居住区、文化区和农村地区中人群较集中的区域。</w:t>
                  </w:r>
                </w:p>
                <w:p w14:paraId="3D50B4E1">
                  <w:pPr>
                    <w:adjustRightInd w:val="0"/>
                    <w:snapToGrid w:val="0"/>
                    <w:jc w:val="left"/>
                    <w:rPr>
                      <w:rFonts w:hint="default" w:ascii="Arial" w:hAnsi="Arial" w:eastAsia="宋体" w:cs="Arial"/>
                      <w:kern w:val="0"/>
                      <w:szCs w:val="21"/>
                    </w:rPr>
                  </w:pPr>
                  <w:r>
                    <w:rPr>
                      <w:rFonts w:hint="default" w:ascii="Arial" w:hAnsi="Arial" w:eastAsia="宋体" w:cs="Arial"/>
                      <w:kern w:val="0"/>
                      <w:szCs w:val="21"/>
                    </w:rPr>
                    <w:t>3.临界量及其计算方法可参考《建设项目环境风险评价技术导则》（HJ 169）附录B、附录C。</w:t>
                  </w:r>
                </w:p>
              </w:tc>
            </w:tr>
          </w:tbl>
          <w:p w14:paraId="45252D80">
            <w:pPr>
              <w:rPr>
                <w:rFonts w:hint="default" w:ascii="Arial" w:hAnsi="Arial" w:eastAsia="宋体" w:cs="Arial"/>
                <w:sz w:val="24"/>
                <w:szCs w:val="24"/>
              </w:rPr>
            </w:pPr>
          </w:p>
        </w:tc>
      </w:tr>
      <w:tr w14:paraId="622EBFF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7" w:hRule="atLeast"/>
        </w:trPr>
        <w:tc>
          <w:tcPr>
            <w:tcW w:w="2315" w:type="dxa"/>
            <w:tcBorders>
              <w:top w:val="single" w:color="auto" w:sz="4" w:space="0"/>
              <w:bottom w:val="single" w:color="auto" w:sz="4" w:space="0"/>
            </w:tcBorders>
            <w:vAlign w:val="center"/>
          </w:tcPr>
          <w:p w14:paraId="0353C0AF">
            <w:pPr>
              <w:jc w:val="center"/>
              <w:rPr>
                <w:rFonts w:hint="default" w:ascii="Arial" w:hAnsi="Arial" w:eastAsia="宋体" w:cs="Arial"/>
                <w:sz w:val="24"/>
                <w:szCs w:val="24"/>
              </w:rPr>
            </w:pPr>
            <w:r>
              <w:rPr>
                <w:rFonts w:hint="default" w:ascii="Arial" w:hAnsi="Arial" w:eastAsia="宋体" w:cs="Arial"/>
                <w:sz w:val="24"/>
                <w:szCs w:val="24"/>
              </w:rPr>
              <w:t>规划情况</w:t>
            </w:r>
          </w:p>
        </w:tc>
        <w:tc>
          <w:tcPr>
            <w:tcW w:w="6773" w:type="dxa"/>
            <w:gridSpan w:val="3"/>
            <w:tcBorders>
              <w:top w:val="single" w:color="auto" w:sz="4" w:space="0"/>
              <w:bottom w:val="single" w:color="auto" w:sz="4" w:space="0"/>
            </w:tcBorders>
            <w:vAlign w:val="center"/>
          </w:tcPr>
          <w:p w14:paraId="764104DB">
            <w:pPr>
              <w:autoSpaceDE w:val="0"/>
              <w:autoSpaceDN w:val="0"/>
              <w:jc w:val="left"/>
              <w:rPr>
                <w:rFonts w:hint="default" w:ascii="Arial" w:hAnsi="Arial" w:eastAsia="宋体" w:cs="Arial"/>
                <w:sz w:val="24"/>
                <w:szCs w:val="24"/>
              </w:rPr>
            </w:pPr>
            <w:r>
              <w:rPr>
                <w:rFonts w:hint="default" w:ascii="Arial" w:hAnsi="Arial" w:eastAsia="宋体" w:cs="Arial"/>
                <w:sz w:val="24"/>
                <w:szCs w:val="24"/>
              </w:rPr>
              <w:t>规划名称：《平湖经济开发区（钟埭街道）总体规划》</w:t>
            </w:r>
          </w:p>
          <w:p w14:paraId="353854BB">
            <w:pPr>
              <w:rPr>
                <w:rFonts w:hint="default" w:ascii="Arial" w:hAnsi="Arial" w:eastAsia="宋体" w:cs="Arial"/>
                <w:sz w:val="24"/>
                <w:szCs w:val="24"/>
              </w:rPr>
            </w:pPr>
            <w:r>
              <w:rPr>
                <w:rFonts w:hint="default" w:ascii="Arial" w:hAnsi="Arial" w:eastAsia="宋体" w:cs="Arial"/>
                <w:sz w:val="24"/>
                <w:szCs w:val="24"/>
              </w:rPr>
              <w:t>审批机关：平湖市城市规划委员会</w:t>
            </w:r>
          </w:p>
          <w:p w14:paraId="70F1EE1E">
            <w:pPr>
              <w:rPr>
                <w:rFonts w:hint="default" w:ascii="Arial" w:hAnsi="Arial" w:eastAsia="宋体" w:cs="Arial"/>
                <w:sz w:val="24"/>
                <w:szCs w:val="24"/>
              </w:rPr>
            </w:pPr>
            <w:r>
              <w:rPr>
                <w:rFonts w:hint="default" w:ascii="Arial" w:hAnsi="Arial" w:eastAsia="宋体" w:cs="Arial"/>
                <w:sz w:val="24"/>
                <w:szCs w:val="24"/>
              </w:rPr>
              <w:t>审批文件名称及文号：平规委[2003]2号</w:t>
            </w:r>
          </w:p>
        </w:tc>
      </w:tr>
      <w:tr w14:paraId="14C8352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3936" w:hRule="atLeast"/>
        </w:trPr>
        <w:tc>
          <w:tcPr>
            <w:tcW w:w="2315" w:type="dxa"/>
            <w:tcBorders>
              <w:top w:val="single" w:color="auto" w:sz="4" w:space="0"/>
              <w:bottom w:val="single" w:color="auto" w:sz="4" w:space="0"/>
            </w:tcBorders>
            <w:vAlign w:val="center"/>
          </w:tcPr>
          <w:p w14:paraId="14DC5A2C">
            <w:pPr>
              <w:jc w:val="center"/>
              <w:rPr>
                <w:rFonts w:hint="default" w:ascii="Arial" w:hAnsi="Arial" w:eastAsia="宋体" w:cs="Arial"/>
                <w:sz w:val="24"/>
                <w:szCs w:val="24"/>
              </w:rPr>
            </w:pPr>
            <w:r>
              <w:rPr>
                <w:rFonts w:hint="default" w:ascii="Arial" w:hAnsi="Arial" w:eastAsia="宋体" w:cs="Arial"/>
                <w:sz w:val="24"/>
                <w:szCs w:val="24"/>
              </w:rPr>
              <w:t>规划环境影响</w:t>
            </w:r>
          </w:p>
          <w:p w14:paraId="7F949278">
            <w:pPr>
              <w:jc w:val="center"/>
              <w:rPr>
                <w:rFonts w:hint="default" w:ascii="Arial" w:hAnsi="Arial" w:eastAsia="宋体" w:cs="Arial"/>
                <w:sz w:val="24"/>
                <w:szCs w:val="24"/>
              </w:rPr>
            </w:pPr>
            <w:r>
              <w:rPr>
                <w:rFonts w:hint="default" w:ascii="Arial" w:hAnsi="Arial" w:eastAsia="宋体" w:cs="Arial"/>
                <w:sz w:val="24"/>
                <w:szCs w:val="24"/>
              </w:rPr>
              <w:t>评价情况</w:t>
            </w:r>
          </w:p>
        </w:tc>
        <w:tc>
          <w:tcPr>
            <w:tcW w:w="6773" w:type="dxa"/>
            <w:gridSpan w:val="3"/>
            <w:tcBorders>
              <w:top w:val="single" w:color="auto" w:sz="4" w:space="0"/>
              <w:bottom w:val="single" w:color="auto" w:sz="4" w:space="0"/>
            </w:tcBorders>
            <w:vAlign w:val="center"/>
          </w:tcPr>
          <w:p w14:paraId="77BF2A3C">
            <w:pPr>
              <w:jc w:val="left"/>
              <w:rPr>
                <w:rFonts w:hint="default" w:ascii="Arial" w:hAnsi="Arial" w:eastAsia="宋体" w:cs="Arial"/>
                <w:sz w:val="24"/>
                <w:szCs w:val="24"/>
              </w:rPr>
            </w:pPr>
            <w:r>
              <w:rPr>
                <w:rFonts w:hint="default" w:ascii="Arial" w:hAnsi="Arial" w:eastAsia="宋体" w:cs="Arial"/>
                <w:sz w:val="24"/>
                <w:szCs w:val="24"/>
              </w:rPr>
              <w:t>规划环境影响评价文件名称：《平湖经济开发区（钟埭街道）总体规划环境影响跟踪评价报告书》</w:t>
            </w:r>
          </w:p>
          <w:p w14:paraId="06E95923">
            <w:pPr>
              <w:jc w:val="left"/>
              <w:rPr>
                <w:rFonts w:hint="default" w:ascii="Arial" w:hAnsi="Arial" w:eastAsia="宋体" w:cs="Arial"/>
                <w:sz w:val="24"/>
                <w:szCs w:val="24"/>
              </w:rPr>
            </w:pPr>
            <w:r>
              <w:rPr>
                <w:rFonts w:hint="default" w:ascii="Arial" w:hAnsi="Arial" w:eastAsia="宋体" w:cs="Arial"/>
                <w:sz w:val="24"/>
                <w:szCs w:val="24"/>
              </w:rPr>
              <w:t>召集审查机关：浙江省生态环境厅</w:t>
            </w:r>
          </w:p>
          <w:p w14:paraId="0E09C9D5">
            <w:pPr>
              <w:rPr>
                <w:rFonts w:hint="default" w:ascii="Arial" w:hAnsi="Arial" w:eastAsia="宋体" w:cs="Arial"/>
                <w:sz w:val="24"/>
                <w:szCs w:val="24"/>
              </w:rPr>
            </w:pPr>
            <w:r>
              <w:rPr>
                <w:rFonts w:hint="default" w:ascii="Arial" w:hAnsi="Arial" w:eastAsia="宋体" w:cs="Arial"/>
                <w:sz w:val="24"/>
                <w:szCs w:val="24"/>
              </w:rPr>
              <w:t>审查文件名称及文号：浙环函[2017]426号</w:t>
            </w:r>
          </w:p>
        </w:tc>
      </w:tr>
    </w:tbl>
    <w:p w14:paraId="62C76869">
      <w:pPr>
        <w:spacing w:line="360" w:lineRule="auto"/>
        <w:ind w:firstLine="482"/>
        <w:rPr>
          <w:rFonts w:hint="default" w:ascii="Arial" w:hAnsi="Arial" w:eastAsia="宋体" w:cs="Arial"/>
          <w:b/>
          <w:bCs/>
          <w:color w:val="FFFFFF" w:themeColor="background1"/>
          <w:sz w:val="10"/>
          <w:szCs w:val="10"/>
          <w14:textFill>
            <w14:solidFill>
              <w14:schemeClr w14:val="bg1"/>
            </w14:solidFill>
          </w14:textFill>
        </w:rPr>
        <w:sectPr>
          <w:headerReference r:id="rId6" w:type="default"/>
          <w:footerReference r:id="rId7" w:type="default"/>
          <w:pgSz w:w="11906" w:h="16838"/>
          <w:pgMar w:top="1440" w:right="1287" w:bottom="1440" w:left="1701"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bookmarkStart w:id="1" w:name="_Toc104732978"/>
      <w:r>
        <w:rPr>
          <w:rFonts w:hint="default" w:ascii="Arial" w:hAnsi="Arial" w:eastAsia="宋体" w:cs="Arial"/>
          <w:b/>
          <w:bCs/>
          <w:color w:val="FFFFFF" w:themeColor="background1"/>
          <w:sz w:val="10"/>
          <w:szCs w:val="10"/>
          <w14:textFill>
            <w14:solidFill>
              <w14:schemeClr w14:val="bg1"/>
            </w14:solidFill>
          </w14:textFill>
        </w:rPr>
        <w:t>建设项目基</w:t>
      </w:r>
    </w:p>
    <w:p w14:paraId="7F98A14B">
      <w:pPr>
        <w:spacing w:line="360" w:lineRule="auto"/>
        <w:ind w:firstLine="482"/>
        <w:rPr>
          <w:rFonts w:hint="default" w:ascii="Arial" w:hAnsi="Arial" w:eastAsia="宋体" w:cs="Arial"/>
          <w:b/>
          <w:bCs/>
          <w:sz w:val="24"/>
          <w:szCs w:val="24"/>
        </w:rPr>
      </w:pPr>
      <w:r>
        <w:rPr>
          <w:rFonts w:hint="default" w:ascii="Arial" w:hAnsi="Arial" w:eastAsia="宋体" w:cs="Arial"/>
          <w:b/>
          <w:bCs/>
          <w:color w:val="FFFFFF" w:themeColor="background1"/>
          <w:sz w:val="10"/>
          <w:szCs w:val="10"/>
          <w14:textFill>
            <w14:solidFill>
              <w14:schemeClr w14:val="bg1"/>
            </w14:solidFill>
          </w14:textFill>
        </w:rPr>
        <w:t>本情况</w:t>
      </w:r>
      <w:bookmarkEnd w:id="1"/>
      <w:r>
        <w:rPr>
          <w:rFonts w:hint="default" w:ascii="Arial" w:hAnsi="Arial" w:eastAsia="宋体" w:cs="Arial"/>
          <w:b/>
          <w:bCs/>
          <w:sz w:val="24"/>
          <w:szCs w:val="24"/>
        </w:rPr>
        <w:t>1、《平湖经济开发区（钟埭街道）总体规划》规划符合性分析</w:t>
      </w:r>
    </w:p>
    <w:p w14:paraId="262F3402">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1总体布局</w:t>
      </w:r>
    </w:p>
    <w:p w14:paraId="7310144D">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规划为“一心三轴六组团五区”的结构形式：</w:t>
      </w:r>
    </w:p>
    <w:p w14:paraId="089BAA6E">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①一心：即开发区行政中心。是规划区的核心，设于新华北路与独黎路交叉口西南地块，重点设置开发区（钟埭街道）行政管理设施，并设置科研、技术培训机构设施和公建服务设施。</w:t>
      </w:r>
    </w:p>
    <w:p w14:paraId="2BEE83B8">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②三轴：即沿平湖大道、新华北路、独黎路三条道路轴向发展轴。平湖大道、新华北路是两条南北向的发展轴，独黎路是东西向的发展轴。</w:t>
      </w:r>
    </w:p>
    <w:p w14:paraId="166F74B8">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③六组团：即综合工业组团、光机电产业组团、传统产业组团、三个产业发展组团共六个工业产业组团。</w:t>
      </w:r>
    </w:p>
    <w:p w14:paraId="45E2A597">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④五区：即城西、红建、花园、福臻、钟埭五个居住社区。</w:t>
      </w:r>
    </w:p>
    <w:p w14:paraId="3A2B1558">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2工业用地布局</w:t>
      </w:r>
    </w:p>
    <w:p w14:paraId="57424091">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1）综合工业组团：位于宏建路以南，是已建成的工业区，主要以光机电为主，包括服装、箱包、汽车配件、塑料、工艺制品等各类工业产业。规划进一步完善组团基础设施和服务设施，同时优化用地功能结构，整治对环境构成污染的企业。</w:t>
      </w:r>
    </w:p>
    <w:p w14:paraId="1B3DBB5F">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（2）光机电产业组团</w:t>
      </w:r>
    </w:p>
    <w:p w14:paraId="7577168C">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位于宏建路以北，平湖大道两侧地段。是以光机电为主的产业组团。组团除重点发展光机电产业外，同时发展纺织产业，积极扶持新兴产业的发展。</w:t>
      </w:r>
    </w:p>
    <w:p w14:paraId="423FEE1A">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另外结合新开挖的北市河，在平湖大道和北市河交叉处规划一处大型综合仓储区。</w:t>
      </w:r>
    </w:p>
    <w:p w14:paraId="263B16F7">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（3）传统产业组团</w:t>
      </w:r>
    </w:p>
    <w:p w14:paraId="4FBC7D3D">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位于兴工路两侧、钟埭集镇南部。现状为原钟埭工业区，具备一定的发展基础。组团在现有基础上机械发展，以服装箱包为重点产业，带动其他加工制造业的一类工业发展。</w:t>
      </w:r>
    </w:p>
    <w:p w14:paraId="3817461F">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（4）产业发展组团</w:t>
      </w:r>
    </w:p>
    <w:p w14:paraId="040102CB">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分为东、西、南三个组团，分别位于独黎路以北、新华北路东部，新华北路东侧、平兴公路以南，以及嘉善塘以西到平钟公路以南地段。现状以农业生产用地为主。组团作为开发区的弹性发展空间，结合开发区产业发展走向，根据发展需要，逐步建立新型的产业区。在上海塘和乍林公路之间作为远景预留用地，控制村庄建设规模。</w:t>
      </w:r>
    </w:p>
    <w:p w14:paraId="1AF73B53">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强化工业配套服务设施，在每个工业组团设置一至二个综合服务点，主要包括餐厅、小超市、加油站、停车场、公厕、垃圾站等。为工业组团职工生活提供方便服务。</w:t>
      </w:r>
    </w:p>
    <w:p w14:paraId="57346FB3">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另外，利用上海塘的水运优势，在独黎路北侧、上海塘沿线预留一仓储区。</w:t>
      </w:r>
    </w:p>
    <w:p w14:paraId="6DC00CD1">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w:t>
      </w:r>
      <w:r>
        <w:rPr>
          <w:rFonts w:hint="eastAsia" w:ascii="Arial" w:hAnsi="Arial" w:cs="Arial"/>
          <w:lang w:val="en-US" w:eastAsia="zh-CN"/>
        </w:rPr>
        <w:t>5</w:t>
      </w:r>
      <w:r>
        <w:rPr>
          <w:rFonts w:hint="default" w:ascii="Arial" w:hAnsi="Arial" w:eastAsia="宋体" w:cs="Arial"/>
        </w:rPr>
        <w:t>）规划符合性分析</w:t>
      </w:r>
    </w:p>
    <w:p w14:paraId="708E4EB1">
      <w:pPr>
        <w:pStyle w:val="93"/>
        <w:adjustRightInd w:val="0"/>
        <w:snapToGrid w:val="0"/>
        <w:spacing w:before="102" w:line="360" w:lineRule="auto"/>
        <w:ind w:firstLine="480"/>
        <w:jc w:val="left"/>
        <w:rPr>
          <w:rFonts w:hint="default" w:ascii="Arial" w:hAnsi="Arial" w:eastAsia="宋体" w:cs="Arial"/>
        </w:rPr>
      </w:pPr>
      <w:r>
        <w:rPr>
          <w:rFonts w:hint="default" w:ascii="Arial" w:hAnsi="Arial" w:eastAsia="宋体" w:cs="Arial"/>
        </w:rPr>
        <w:t>根据《平湖经济开发区（钟埭街道）总体规划）》，本项目主要生产</w:t>
      </w:r>
      <w:r>
        <w:rPr>
          <w:rFonts w:hint="default" w:ascii="Arial" w:hAnsi="Arial" w:eastAsia="宋体" w:cs="Arial"/>
          <w:lang w:val="en-US" w:eastAsia="zh-CN"/>
        </w:rPr>
        <w:t>汽车零部件</w:t>
      </w:r>
      <w:r>
        <w:rPr>
          <w:rFonts w:hint="default" w:ascii="Arial" w:hAnsi="Arial" w:eastAsia="宋体" w:cs="Arial"/>
        </w:rPr>
        <w:t>，企业处于平湖经济技术开发区地块内，属于综合工业组团，项目用地为工业用地。因此，本项目建设符合“三线一单”要求，各污染物经处理均能达标排放，对周边环境影响可控，是平湖市快速经济发展的需求。综上，项目建设符合平湖经济开发区总体规划等相关规划要求。</w:t>
      </w:r>
    </w:p>
    <w:p w14:paraId="0FCD6E00">
      <w:pPr>
        <w:spacing w:line="360" w:lineRule="auto"/>
        <w:ind w:firstLine="482"/>
        <w:rPr>
          <w:rFonts w:hint="default" w:ascii="Arial" w:hAnsi="Arial" w:eastAsia="宋体" w:cs="Arial"/>
          <w:b/>
          <w:bCs/>
          <w:sz w:val="24"/>
          <w:szCs w:val="24"/>
        </w:rPr>
      </w:pPr>
      <w:r>
        <w:rPr>
          <w:rFonts w:hint="default" w:ascii="Arial" w:hAnsi="Arial" w:eastAsia="宋体" w:cs="Arial"/>
          <w:b/>
          <w:bCs/>
          <w:sz w:val="24"/>
          <w:szCs w:val="24"/>
        </w:rPr>
        <w:t>2、规划环境影响评价符合性分析</w:t>
      </w:r>
    </w:p>
    <w:p w14:paraId="2A3D3AD6">
      <w:pPr>
        <w:pStyle w:val="92"/>
        <w:spacing w:line="360" w:lineRule="auto"/>
        <w:ind w:firstLine="480"/>
        <w:rPr>
          <w:rFonts w:hint="default" w:ascii="Arial" w:hAnsi="Arial" w:eastAsia="宋体" w:cs="Arial"/>
        </w:rPr>
        <w:sectPr>
          <w:headerReference r:id="rId8"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rPr>
        <w:t>《平湖经济开发区（钟埭街道）总体规划环境影响跟踪环境影响跟踪评价报告书》于2017年8月由浙江省工业环保设计研究院有限公司编制完成，并于2017年11月16日通过浙江省环保厅审查，审查文号为：浙环函[2017]426号。规划环评主要内容包括平湖经济开发区区域生态空间清单、问题整改清单、总量管控限值清单、环境标准清单、规划优化调整建议清单、环境准入负面清单，具体见表1-1~1-6。</w:t>
      </w:r>
    </w:p>
    <w:p w14:paraId="0C07B6A0">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平湖经济开发区重点保护的生态空间清单（仅罗列涉及区块）</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2"/>
        <w:gridCol w:w="1786"/>
        <w:gridCol w:w="729"/>
        <w:gridCol w:w="1456"/>
        <w:gridCol w:w="5103"/>
        <w:gridCol w:w="3130"/>
      </w:tblGrid>
      <w:tr w14:paraId="0CE8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461D0769">
            <w:pPr>
              <w:spacing w:line="220" w:lineRule="exact"/>
              <w:jc w:val="center"/>
              <w:rPr>
                <w:rFonts w:hint="default" w:ascii="Arial" w:hAnsi="Arial" w:eastAsia="宋体" w:cs="Arial"/>
                <w:kern w:val="0"/>
                <w:sz w:val="18"/>
                <w:szCs w:val="18"/>
              </w:rPr>
            </w:pPr>
            <w:r>
              <w:rPr>
                <w:rFonts w:hint="default" w:ascii="Arial" w:hAnsi="Arial" w:eastAsia="宋体" w:cs="Arial"/>
                <w:kern w:val="0"/>
                <w:sz w:val="18"/>
                <w:szCs w:val="18"/>
              </w:rPr>
              <w:t>生态空间名称及编号</w:t>
            </w:r>
          </w:p>
        </w:tc>
        <w:tc>
          <w:tcPr>
            <w:tcW w:w="656" w:type="pct"/>
            <w:vAlign w:val="center"/>
          </w:tcPr>
          <w:p w14:paraId="40A4104D">
            <w:pPr>
              <w:spacing w:line="220" w:lineRule="exact"/>
              <w:jc w:val="center"/>
              <w:rPr>
                <w:rFonts w:hint="default" w:ascii="Arial" w:hAnsi="Arial" w:eastAsia="宋体" w:cs="Arial"/>
                <w:kern w:val="0"/>
                <w:sz w:val="18"/>
                <w:szCs w:val="18"/>
              </w:rPr>
            </w:pPr>
            <w:r>
              <w:rPr>
                <w:rFonts w:hint="default" w:ascii="Arial" w:hAnsi="Arial" w:eastAsia="宋体" w:cs="Arial"/>
                <w:kern w:val="0"/>
                <w:sz w:val="18"/>
                <w:szCs w:val="18"/>
              </w:rPr>
              <w:t>位置及面积</w:t>
            </w:r>
          </w:p>
        </w:tc>
        <w:tc>
          <w:tcPr>
            <w:tcW w:w="268" w:type="pct"/>
            <w:vAlign w:val="center"/>
          </w:tcPr>
          <w:p w14:paraId="0432668F">
            <w:pPr>
              <w:spacing w:line="220" w:lineRule="exact"/>
              <w:jc w:val="center"/>
              <w:rPr>
                <w:rFonts w:hint="default" w:ascii="Arial" w:hAnsi="Arial" w:eastAsia="宋体" w:cs="Arial"/>
                <w:kern w:val="0"/>
                <w:sz w:val="18"/>
                <w:szCs w:val="18"/>
              </w:rPr>
            </w:pPr>
            <w:r>
              <w:rPr>
                <w:rFonts w:hint="default" w:ascii="Arial" w:hAnsi="Arial" w:eastAsia="宋体" w:cs="Arial"/>
                <w:kern w:val="0"/>
                <w:sz w:val="18"/>
                <w:szCs w:val="18"/>
              </w:rPr>
              <w:t>现状</w:t>
            </w:r>
          </w:p>
        </w:tc>
        <w:tc>
          <w:tcPr>
            <w:tcW w:w="535" w:type="pct"/>
            <w:vAlign w:val="center"/>
          </w:tcPr>
          <w:p w14:paraId="1B90F138">
            <w:pPr>
              <w:spacing w:line="220" w:lineRule="exact"/>
              <w:jc w:val="center"/>
              <w:rPr>
                <w:rFonts w:hint="default" w:ascii="Arial" w:hAnsi="Arial" w:eastAsia="宋体" w:cs="Arial"/>
                <w:kern w:val="0"/>
                <w:sz w:val="18"/>
                <w:szCs w:val="18"/>
              </w:rPr>
            </w:pPr>
            <w:r>
              <w:rPr>
                <w:rFonts w:hint="default" w:ascii="Arial" w:hAnsi="Arial" w:eastAsia="宋体" w:cs="Arial"/>
                <w:kern w:val="0"/>
                <w:sz w:val="18"/>
                <w:szCs w:val="18"/>
              </w:rPr>
              <w:t>保护对象</w:t>
            </w:r>
          </w:p>
        </w:tc>
        <w:tc>
          <w:tcPr>
            <w:tcW w:w="1875" w:type="pct"/>
            <w:vAlign w:val="center"/>
          </w:tcPr>
          <w:p w14:paraId="766ED3E1">
            <w:pPr>
              <w:spacing w:line="220" w:lineRule="exact"/>
              <w:jc w:val="center"/>
              <w:rPr>
                <w:rFonts w:hint="default" w:ascii="Arial" w:hAnsi="Arial" w:eastAsia="宋体" w:cs="Arial"/>
                <w:kern w:val="0"/>
                <w:sz w:val="18"/>
                <w:szCs w:val="18"/>
              </w:rPr>
            </w:pPr>
            <w:r>
              <w:rPr>
                <w:rFonts w:hint="default" w:ascii="Arial" w:hAnsi="Arial" w:eastAsia="宋体" w:cs="Arial"/>
                <w:kern w:val="0"/>
                <w:sz w:val="18"/>
                <w:szCs w:val="18"/>
              </w:rPr>
              <w:t>生态空间范围示意图</w:t>
            </w:r>
          </w:p>
        </w:tc>
        <w:tc>
          <w:tcPr>
            <w:tcW w:w="1150" w:type="pct"/>
            <w:vAlign w:val="center"/>
          </w:tcPr>
          <w:p w14:paraId="5EB3D685">
            <w:pPr>
              <w:spacing w:line="220" w:lineRule="exact"/>
              <w:jc w:val="center"/>
              <w:rPr>
                <w:rFonts w:hint="default" w:ascii="Arial" w:hAnsi="Arial" w:eastAsia="宋体" w:cs="Arial"/>
                <w:kern w:val="0"/>
                <w:sz w:val="18"/>
                <w:szCs w:val="18"/>
              </w:rPr>
            </w:pPr>
            <w:r>
              <w:rPr>
                <w:rFonts w:hint="default" w:ascii="Arial" w:hAnsi="Arial" w:eastAsia="宋体" w:cs="Arial"/>
                <w:kern w:val="0"/>
                <w:sz w:val="18"/>
                <w:szCs w:val="18"/>
              </w:rPr>
              <w:t>准入要求和管控措施</w:t>
            </w:r>
          </w:p>
        </w:tc>
      </w:tr>
      <w:tr w14:paraId="60E5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5" w:type="pct"/>
            <w:vAlign w:val="center"/>
          </w:tcPr>
          <w:p w14:paraId="430E6CEA">
            <w:pPr>
              <w:pStyle w:val="120"/>
              <w:adjustRightInd w:val="0"/>
              <w:spacing w:line="240" w:lineRule="auto"/>
              <w:ind w:firstLine="0" w:firstLineChars="0"/>
              <w:jc w:val="center"/>
              <w:rPr>
                <w:rFonts w:hint="default" w:ascii="Arial" w:hAnsi="Arial" w:eastAsia="宋体" w:cs="Arial"/>
                <w:bCs/>
                <w:snapToGrid w:val="0"/>
                <w:sz w:val="18"/>
                <w:szCs w:val="18"/>
              </w:rPr>
            </w:pPr>
            <w:r>
              <w:rPr>
                <w:rFonts w:hint="default" w:ascii="Arial" w:hAnsi="Arial" w:eastAsia="宋体" w:cs="Arial"/>
                <w:bCs/>
                <w:snapToGrid w:val="0"/>
                <w:sz w:val="18"/>
                <w:szCs w:val="18"/>
              </w:rPr>
              <w:t>平湖经济技术开发区环境优化准入区4-1</w:t>
            </w:r>
          </w:p>
        </w:tc>
        <w:tc>
          <w:tcPr>
            <w:tcW w:w="656" w:type="pct"/>
            <w:vAlign w:val="center"/>
          </w:tcPr>
          <w:p w14:paraId="20AEB672">
            <w:pPr>
              <w:pStyle w:val="120"/>
              <w:adjustRightInd w:val="0"/>
              <w:spacing w:line="240" w:lineRule="auto"/>
              <w:ind w:firstLine="0" w:firstLineChars="0"/>
              <w:jc w:val="center"/>
              <w:rPr>
                <w:rFonts w:hint="default" w:ascii="Arial" w:hAnsi="Arial" w:eastAsia="宋体" w:cs="Arial"/>
                <w:bCs/>
                <w:snapToGrid w:val="0"/>
                <w:sz w:val="18"/>
                <w:szCs w:val="18"/>
              </w:rPr>
            </w:pPr>
            <w:r>
              <w:rPr>
                <w:rFonts w:hint="default" w:ascii="Arial" w:hAnsi="Arial" w:eastAsia="宋体" w:cs="Arial"/>
                <w:bCs/>
                <w:snapToGrid w:val="0"/>
                <w:sz w:val="18"/>
                <w:szCs w:val="18"/>
              </w:rPr>
              <w:t>面积为17.15平方公里；</w:t>
            </w:r>
          </w:p>
          <w:p w14:paraId="7A1C5339">
            <w:pPr>
              <w:pStyle w:val="120"/>
              <w:adjustRightInd w:val="0"/>
              <w:spacing w:line="240" w:lineRule="auto"/>
              <w:ind w:firstLine="0" w:firstLineChars="0"/>
              <w:jc w:val="center"/>
              <w:rPr>
                <w:rFonts w:hint="default" w:ascii="Arial" w:hAnsi="Arial" w:eastAsia="宋体" w:cs="Arial"/>
                <w:bCs/>
                <w:snapToGrid w:val="0"/>
                <w:sz w:val="18"/>
                <w:szCs w:val="18"/>
              </w:rPr>
            </w:pPr>
            <w:r>
              <w:rPr>
                <w:rFonts w:hint="default" w:ascii="Arial" w:hAnsi="Arial" w:eastAsia="宋体" w:cs="Arial"/>
                <w:bCs/>
                <w:snapToGrid w:val="0"/>
                <w:sz w:val="18"/>
                <w:szCs w:val="18"/>
              </w:rPr>
              <w:t>环境功能区划中优化准入区（不含以居住功能为主的2-4和2-5区块）；</w:t>
            </w:r>
          </w:p>
        </w:tc>
        <w:tc>
          <w:tcPr>
            <w:tcW w:w="268" w:type="pct"/>
            <w:vAlign w:val="center"/>
          </w:tcPr>
          <w:p w14:paraId="2C2A7BA7">
            <w:pPr>
              <w:pStyle w:val="120"/>
              <w:adjustRightInd w:val="0"/>
              <w:spacing w:line="240" w:lineRule="auto"/>
              <w:ind w:firstLine="0" w:firstLineChars="0"/>
              <w:jc w:val="center"/>
              <w:rPr>
                <w:rFonts w:hint="default" w:ascii="Arial" w:hAnsi="Arial" w:eastAsia="宋体" w:cs="Arial"/>
                <w:bCs/>
                <w:snapToGrid w:val="0"/>
                <w:sz w:val="18"/>
                <w:szCs w:val="18"/>
              </w:rPr>
            </w:pPr>
            <w:r>
              <w:rPr>
                <w:rFonts w:hint="default" w:ascii="Arial" w:hAnsi="Arial" w:eastAsia="宋体" w:cs="Arial"/>
                <w:bCs/>
                <w:snapToGrid w:val="0"/>
                <w:sz w:val="18"/>
                <w:szCs w:val="18"/>
              </w:rPr>
              <w:t>以工业企业用地为主</w:t>
            </w:r>
          </w:p>
        </w:tc>
        <w:tc>
          <w:tcPr>
            <w:tcW w:w="535" w:type="pct"/>
            <w:vAlign w:val="center"/>
          </w:tcPr>
          <w:p w14:paraId="4CB9883A">
            <w:pPr>
              <w:pStyle w:val="120"/>
              <w:adjustRightInd w:val="0"/>
              <w:spacing w:line="240" w:lineRule="auto"/>
              <w:ind w:firstLine="0" w:firstLineChars="0"/>
              <w:jc w:val="center"/>
              <w:rPr>
                <w:rFonts w:hint="default" w:ascii="Arial" w:hAnsi="Arial" w:eastAsia="宋体" w:cs="Arial"/>
                <w:bCs/>
                <w:snapToGrid w:val="0"/>
                <w:sz w:val="18"/>
                <w:szCs w:val="18"/>
              </w:rPr>
            </w:pPr>
            <w:r>
              <w:rPr>
                <w:rFonts w:hint="default" w:ascii="Arial" w:hAnsi="Arial" w:eastAsia="宋体" w:cs="Arial"/>
                <w:bCs/>
                <w:snapToGrid w:val="0"/>
                <w:sz w:val="18"/>
                <w:szCs w:val="18"/>
              </w:rPr>
              <w:t>地表水III类</w:t>
            </w:r>
          </w:p>
          <w:p w14:paraId="747B324B">
            <w:pPr>
              <w:pStyle w:val="120"/>
              <w:adjustRightInd w:val="0"/>
              <w:spacing w:line="240" w:lineRule="auto"/>
              <w:ind w:firstLine="0" w:firstLineChars="0"/>
              <w:jc w:val="center"/>
              <w:rPr>
                <w:rFonts w:hint="default" w:ascii="Arial" w:hAnsi="Arial" w:eastAsia="宋体" w:cs="Arial"/>
                <w:bCs/>
                <w:snapToGrid w:val="0"/>
                <w:sz w:val="18"/>
                <w:szCs w:val="18"/>
              </w:rPr>
            </w:pPr>
            <w:r>
              <w:rPr>
                <w:rFonts w:hint="default" w:ascii="Arial" w:hAnsi="Arial" w:eastAsia="宋体" w:cs="Arial"/>
                <w:bCs/>
                <w:snapToGrid w:val="0"/>
                <w:sz w:val="18"/>
                <w:szCs w:val="18"/>
              </w:rPr>
              <w:t>环境空气二级</w:t>
            </w:r>
          </w:p>
          <w:p w14:paraId="3C1A34E1">
            <w:pPr>
              <w:pStyle w:val="120"/>
              <w:adjustRightInd w:val="0"/>
              <w:spacing w:line="240" w:lineRule="auto"/>
              <w:ind w:firstLine="0" w:firstLineChars="0"/>
              <w:jc w:val="center"/>
              <w:rPr>
                <w:rFonts w:hint="default" w:ascii="Arial" w:hAnsi="Arial" w:eastAsia="宋体" w:cs="Arial"/>
                <w:bCs/>
                <w:snapToGrid w:val="0"/>
                <w:sz w:val="18"/>
                <w:szCs w:val="18"/>
              </w:rPr>
            </w:pPr>
            <w:r>
              <w:rPr>
                <w:rFonts w:hint="default" w:ascii="Arial" w:hAnsi="Arial" w:eastAsia="宋体" w:cs="Arial"/>
                <w:bCs/>
                <w:snapToGrid w:val="0"/>
                <w:sz w:val="18"/>
                <w:szCs w:val="18"/>
              </w:rPr>
              <w:t>声环境居住区2类、工业区3类</w:t>
            </w:r>
          </w:p>
        </w:tc>
        <w:tc>
          <w:tcPr>
            <w:tcW w:w="1875" w:type="pct"/>
            <w:vAlign w:val="center"/>
          </w:tcPr>
          <w:p w14:paraId="78603BAE">
            <w:pPr>
              <w:widowControl/>
              <w:jc w:val="center"/>
              <w:rPr>
                <w:rFonts w:hint="default" w:ascii="Arial" w:hAnsi="Arial" w:eastAsia="宋体" w:cs="Arial"/>
                <w:sz w:val="18"/>
                <w:szCs w:val="18"/>
              </w:rPr>
            </w:pPr>
            <w:r>
              <w:rPr>
                <w:rFonts w:hint="default" w:ascii="Arial" w:hAnsi="Arial" w:eastAsia="宋体" w:cs="Arial"/>
                <w:sz w:val="18"/>
              </w:rPr>
              <mc:AlternateContent>
                <mc:Choice Requires="wps">
                  <w:drawing>
                    <wp:anchor distT="0" distB="0" distL="114300" distR="114300" simplePos="0" relativeHeight="251666432" behindDoc="0" locked="0" layoutInCell="1" allowOverlap="1">
                      <wp:simplePos x="0" y="0"/>
                      <wp:positionH relativeFrom="column">
                        <wp:posOffset>1443355</wp:posOffset>
                      </wp:positionH>
                      <wp:positionV relativeFrom="paragraph">
                        <wp:posOffset>685800</wp:posOffset>
                      </wp:positionV>
                      <wp:extent cx="100965" cy="101600"/>
                      <wp:effectExtent l="13970" t="20320" r="37465" b="30480"/>
                      <wp:wrapNone/>
                      <wp:docPr id="19" name="五角星 19"/>
                      <wp:cNvGraphicFramePr/>
                      <a:graphic xmlns:a="http://schemas.openxmlformats.org/drawingml/2006/main">
                        <a:graphicData uri="http://schemas.microsoft.com/office/word/2010/wordprocessingShape">
                          <wps:wsp>
                            <wps:cNvSpPr/>
                            <wps:spPr>
                              <a:xfrm rot="660000">
                                <a:off x="6411595" y="2007235"/>
                                <a:ext cx="100965" cy="10160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3.65pt;margin-top:54pt;height:8pt;width:7.95pt;rotation:720896f;z-index:251666432;v-text-anchor:middle;mso-width-relative:page;mso-height-relative:page;" fillcolor="#FF0000" filled="t" stroked="t" coordsize="100965,101600" o:gfxdata="UEsDBAoAAAAAAIdO4kAAAAAAAAAAAAAAAAAEAAAAZHJzL1BLAwQUAAAACACHTuJAQEEoGtgAAAAL&#10;AQAADwAAAGRycy9kb3ducmV2LnhtbE2PzW7CMBCE75V4B2uReqmKHRMVmsbhUKlSOXAo5QFMvCQp&#10;8TqKzd/bsz21x535NDtTrq6+F2ccYxfIQDZTIJDq4DpqDOy+P56XIGKy5GwfCA3cMMKqmjyUtnDh&#10;Ql943qZGcAjFwhpoUxoKKWPdordxFgYk9g5h9DbxOTbSjfbC4b6XWqkX6W1H/KG1A763WB+3J2+g&#10;Oyxy50m9fqbj7mn9s97EbJOMeZxm6g1Ewmv6g+G3PleHijvtw4lcFL0BrRdzRtlQSx7FhM7nGsSe&#10;FZ0rkFUp/2+o7lBLAwQUAAAACACHTuJAXFVk2oMCAAASBQAADgAAAGRycy9lMm9Eb2MueG1srVRL&#10;jhMxEN0jcQfLe6a7Q5KZRNMZRRMFIY1gpAGxdtzutCX/sJ3PcAzEgh1L7sB5EOIYPLszX1jMgl60&#10;qlyvX1U9V/Xp2V4rshU+SGtqWh2VlAjDbSPNuqbv3y1fnFASIjMNU9aIml6LQM9mz5+d7txUDGxn&#10;VSM8AYkJ052raRejmxZF4J3QLBxZJwyCrfWaRbh+XTSe7cCuVTEoy3Gxs75x3nIRAk4XfZAeGP1T&#10;CG3bSi4Wlm+0MLFn9UKxiJZCJ12gs1xt2woe37ZtEJGomqLTmN9IAnuV3sXslE3XnrlO8kMJ7Ckl&#10;POpJM2mQ9JZqwSIjGy//otKSextsG4+41UXfSFYEXVTlI22uOuZE7gVSB3crevh/tPzN9tIT2WAS&#10;JpQYpnHjP398+f3986+v3wjOINDOhSlwV+7SH7wAM3W7b70m3kLV8bjEkyVAU2SPk2FVjSYjSq5r&#10;ins/Hrwc9WqLfSQcgKosJ2PEOQBVWYEgxYueNbE7H+IrYTVJRk0xlH6UM7DtRYg99gaT8MEq2Syl&#10;Utnx69W58mTLcPPLZa6u/+QBTBmyQ/rBMbITzjDPLeYIpnbQJJg1JUytsSg8+pz7wdfhaUlSkQsW&#10;ur6YzNBLoWXELimpa3qSKrxRQBkIkWTvhU7WyjbXuKksNkoNji8laC9YiJfMY2ZxiK2Ob/FqlUVT&#10;9mBR0ln/6V/nCY9RQpSSHXYADX/cMC8oUa8NhmxSDYegjdkZjo4HcPz9yOp+xGz0uYXYVa4umwkf&#10;1Y3Zeqs/YPnnKStCzHDk7qU9OOex3038PriYzzMMi+JYvDBXjifydLnGzjfRtjIPwZ06B9GwKnmO&#10;DmuddvG+n1F3v7LZ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EBBKBrYAAAACwEAAA8AAAAAAAAA&#10;AQAgAAAAIgAAAGRycy9kb3ducmV2LnhtbFBLAQIUABQAAAAIAIdO4kBcVWTagwIAABIFAAAOAAAA&#10;AAAAAAEAIAAAACcBAABkcnMvZTJvRG9jLnhtbFBLBQYAAAAABgAGAFkBAAAcBgAAAAA=&#10;" path="m0,38807l38565,38807,50482,0,62399,38807,100964,38807,69764,62791,81682,101599,50482,77614,19282,101599,31200,62791xe">
                      <v:path o:connectlocs="50482,0;0,38807;19282,101599;81682,101599;100964,38807" o:connectangles="247,164,82,82,0"/>
                      <v:fill on="t" focussize="0,0"/>
                      <v:stroke weight="1pt" color="#FF0000 [2404]" miterlimit="8" joinstyle="miter"/>
                      <v:imagedata o:title=""/>
                      <o:lock v:ext="edit" aspectratio="f"/>
                    </v:shape>
                  </w:pict>
                </mc:Fallback>
              </mc:AlternateContent>
            </w:r>
            <w:r>
              <w:rPr>
                <w:rFonts w:hint="default" w:ascii="Arial" w:hAnsi="Arial" w:eastAsia="宋体" w:cs="Arial"/>
                <w:sz w:val="18"/>
                <w:szCs w:val="18"/>
              </w:rPr>
              <w:drawing>
                <wp:inline distT="0" distB="0" distL="0" distR="0">
                  <wp:extent cx="952500" cy="1497965"/>
                  <wp:effectExtent l="0" t="0" r="0" b="6985"/>
                  <wp:docPr id="66" name="图片 66" descr="C:\Users\HZ\Desktop\AppData\Local\Temp\ksohtml32\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HZ\Desktop\AppData\Local\Temp\ksohtml32\wps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0" cy="1497965"/>
                          </a:xfrm>
                          <a:prstGeom prst="rect">
                            <a:avLst/>
                          </a:prstGeom>
                          <a:noFill/>
                          <a:ln>
                            <a:noFill/>
                          </a:ln>
                        </pic:spPr>
                      </pic:pic>
                    </a:graphicData>
                  </a:graphic>
                </wp:inline>
              </w:drawing>
            </w:r>
          </w:p>
        </w:tc>
        <w:tc>
          <w:tcPr>
            <w:tcW w:w="1150" w:type="pct"/>
            <w:vAlign w:val="center"/>
          </w:tcPr>
          <w:p w14:paraId="43BA8905">
            <w:pPr>
              <w:pStyle w:val="120"/>
              <w:adjustRightInd w:val="0"/>
              <w:spacing w:line="240" w:lineRule="auto"/>
              <w:ind w:firstLine="0" w:firstLineChars="0"/>
              <w:jc w:val="center"/>
              <w:rPr>
                <w:rFonts w:hint="default" w:ascii="Arial" w:hAnsi="Arial" w:eastAsia="宋体" w:cs="Arial"/>
                <w:bCs/>
                <w:snapToGrid w:val="0"/>
                <w:sz w:val="18"/>
                <w:szCs w:val="18"/>
              </w:rPr>
            </w:pPr>
            <w:r>
              <w:rPr>
                <w:rFonts w:hint="default" w:ascii="Arial" w:hAnsi="Arial" w:eastAsia="宋体" w:cs="Arial"/>
                <w:bCs/>
                <w:snapToGrid w:val="0"/>
                <w:sz w:val="18"/>
                <w:szCs w:val="18"/>
              </w:rPr>
              <w:t>禁止发展三类工业项目及国家和地方产业政策中规定的禁止类项目。</w:t>
            </w:r>
          </w:p>
          <w:p w14:paraId="1CE59178">
            <w:pPr>
              <w:pStyle w:val="120"/>
              <w:adjustRightInd w:val="0"/>
              <w:spacing w:line="240" w:lineRule="auto"/>
              <w:ind w:firstLine="0" w:firstLineChars="0"/>
              <w:jc w:val="center"/>
              <w:rPr>
                <w:rFonts w:hint="default" w:ascii="Arial" w:hAnsi="Arial" w:eastAsia="宋体" w:cs="Arial"/>
                <w:bCs/>
                <w:snapToGrid w:val="0"/>
                <w:sz w:val="18"/>
                <w:szCs w:val="18"/>
              </w:rPr>
            </w:pPr>
            <w:r>
              <w:rPr>
                <w:rFonts w:hint="default" w:ascii="Arial" w:hAnsi="Arial" w:eastAsia="宋体" w:cs="Arial"/>
                <w:bCs/>
                <w:snapToGrid w:val="0"/>
                <w:sz w:val="18"/>
                <w:szCs w:val="18"/>
              </w:rPr>
              <w:t>禁止新建、扩建三类工业项目，鼓励对三类工业项目进行淘汰和提升改造。</w:t>
            </w:r>
          </w:p>
          <w:p w14:paraId="31A85E0A">
            <w:pPr>
              <w:pStyle w:val="120"/>
              <w:adjustRightInd w:val="0"/>
              <w:spacing w:line="240" w:lineRule="auto"/>
              <w:ind w:firstLine="0" w:firstLineChars="0"/>
              <w:jc w:val="center"/>
              <w:rPr>
                <w:rFonts w:hint="default" w:ascii="Arial" w:hAnsi="Arial" w:eastAsia="宋体" w:cs="Arial"/>
                <w:kern w:val="0"/>
                <w:sz w:val="18"/>
                <w:szCs w:val="18"/>
              </w:rPr>
            </w:pPr>
            <w:r>
              <w:rPr>
                <w:rFonts w:hint="default" w:ascii="Arial" w:hAnsi="Arial" w:eastAsia="宋体" w:cs="Arial"/>
                <w:bCs/>
                <w:snapToGrid w:val="0"/>
                <w:sz w:val="18"/>
                <w:szCs w:val="18"/>
              </w:rPr>
              <w:t>新建二类工业项目污染物排放水平需达到同行业国内先进水平</w:t>
            </w:r>
          </w:p>
        </w:tc>
      </w:tr>
    </w:tbl>
    <w:p w14:paraId="1512EED4">
      <w:pPr>
        <w:pStyle w:val="76"/>
        <w:keepNext w:val="0"/>
        <w:keepLines w:val="0"/>
        <w:pageBreakBefore w:val="0"/>
        <w:widowControl w:val="0"/>
        <w:numPr>
          <w:ilvl w:val="3"/>
          <w:numId w:val="4"/>
        </w:numPr>
        <w:kinsoku/>
        <w:wordWrap/>
        <w:overflowPunct/>
        <w:topLinePunct w:val="0"/>
        <w:autoSpaceDE/>
        <w:autoSpaceDN/>
        <w:bidi w:val="0"/>
        <w:adjustRightInd/>
        <w:snapToGrid/>
        <w:spacing w:before="171" w:beforeLines="50"/>
        <w:ind w:left="777" w:leftChars="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平湖经济开发区现有环保问题整改清单</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9"/>
        <w:gridCol w:w="830"/>
        <w:gridCol w:w="4923"/>
        <w:gridCol w:w="4670"/>
        <w:gridCol w:w="2664"/>
      </w:tblGrid>
      <w:tr w14:paraId="4F5A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5" w:hRule="atLeast"/>
          <w:tblHeader/>
          <w:jc w:val="center"/>
        </w:trPr>
        <w:tc>
          <w:tcPr>
            <w:tcW w:w="191" w:type="pct"/>
            <w:vAlign w:val="center"/>
          </w:tcPr>
          <w:p w14:paraId="1925DBA6">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序号</w:t>
            </w:r>
          </w:p>
        </w:tc>
        <w:tc>
          <w:tcPr>
            <w:tcW w:w="305" w:type="pct"/>
            <w:vAlign w:val="center"/>
          </w:tcPr>
          <w:p w14:paraId="2F7E6424">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项目</w:t>
            </w:r>
          </w:p>
        </w:tc>
        <w:tc>
          <w:tcPr>
            <w:tcW w:w="1809" w:type="pct"/>
            <w:vAlign w:val="center"/>
          </w:tcPr>
          <w:p w14:paraId="6EABC46F">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存在的问题</w:t>
            </w:r>
          </w:p>
        </w:tc>
        <w:tc>
          <w:tcPr>
            <w:tcW w:w="1716" w:type="pct"/>
            <w:vAlign w:val="center"/>
          </w:tcPr>
          <w:p w14:paraId="58E4B965">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整改建议/解决方案</w:t>
            </w:r>
          </w:p>
        </w:tc>
        <w:tc>
          <w:tcPr>
            <w:tcW w:w="979" w:type="pct"/>
            <w:vAlign w:val="center"/>
          </w:tcPr>
          <w:p w14:paraId="401824CF">
            <w:pPr>
              <w:widowControl/>
              <w:ind w:right="42" w:rightChars="20"/>
              <w:jc w:val="center"/>
              <w:rPr>
                <w:rFonts w:hint="default" w:ascii="Arial" w:hAnsi="Arial" w:eastAsia="宋体" w:cs="Arial"/>
                <w:sz w:val="18"/>
                <w:szCs w:val="18"/>
              </w:rPr>
            </w:pPr>
            <w:r>
              <w:rPr>
                <w:rFonts w:hint="default" w:ascii="Arial" w:hAnsi="Arial" w:eastAsia="宋体" w:cs="Arial"/>
                <w:sz w:val="18"/>
                <w:szCs w:val="18"/>
              </w:rPr>
              <w:t>整改计划</w:t>
            </w:r>
          </w:p>
          <w:p w14:paraId="4B0EEC33">
            <w:pPr>
              <w:widowControl/>
              <w:ind w:right="42" w:rightChars="20"/>
              <w:jc w:val="center"/>
              <w:rPr>
                <w:rFonts w:hint="default" w:ascii="Arial" w:hAnsi="Arial" w:eastAsia="宋体" w:cs="Arial"/>
                <w:sz w:val="18"/>
                <w:szCs w:val="18"/>
              </w:rPr>
            </w:pPr>
            <w:r>
              <w:rPr>
                <w:rFonts w:hint="default" w:ascii="Arial" w:hAnsi="Arial" w:eastAsia="宋体" w:cs="Arial"/>
                <w:sz w:val="18"/>
                <w:szCs w:val="18"/>
              </w:rPr>
              <w:t>及完成时间</w:t>
            </w:r>
          </w:p>
        </w:tc>
      </w:tr>
      <w:tr w14:paraId="3618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9" w:hRule="atLeast"/>
          <w:jc w:val="center"/>
        </w:trPr>
        <w:tc>
          <w:tcPr>
            <w:tcW w:w="191" w:type="pct"/>
            <w:vAlign w:val="center"/>
          </w:tcPr>
          <w:p w14:paraId="519522B2">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1</w:t>
            </w:r>
          </w:p>
        </w:tc>
        <w:tc>
          <w:tcPr>
            <w:tcW w:w="305" w:type="pct"/>
            <w:vAlign w:val="center"/>
          </w:tcPr>
          <w:p w14:paraId="1B3C8DDA">
            <w:pPr>
              <w:pStyle w:val="109"/>
              <w:rPr>
                <w:rFonts w:hint="default" w:ascii="Arial" w:hAnsi="Arial" w:eastAsia="宋体" w:cs="Arial"/>
                <w:sz w:val="18"/>
                <w:szCs w:val="18"/>
              </w:rPr>
            </w:pPr>
            <w:r>
              <w:rPr>
                <w:rFonts w:hint="default" w:ascii="Arial" w:hAnsi="Arial" w:eastAsia="宋体" w:cs="Arial"/>
                <w:sz w:val="18"/>
                <w:szCs w:val="18"/>
              </w:rPr>
              <w:t>产业结构与布局</w:t>
            </w:r>
          </w:p>
        </w:tc>
        <w:tc>
          <w:tcPr>
            <w:tcW w:w="1809" w:type="pct"/>
            <w:vAlign w:val="center"/>
          </w:tcPr>
          <w:p w14:paraId="6CD95E17">
            <w:pPr>
              <w:pStyle w:val="109"/>
              <w:ind w:firstLine="360" w:firstLineChars="200"/>
              <w:jc w:val="both"/>
              <w:rPr>
                <w:rFonts w:hint="default" w:ascii="Arial" w:hAnsi="Arial" w:eastAsia="宋体" w:cs="Arial"/>
                <w:sz w:val="18"/>
                <w:szCs w:val="18"/>
              </w:rPr>
            </w:pPr>
            <w:r>
              <w:rPr>
                <w:rFonts w:hint="default" w:ascii="Arial" w:hAnsi="Arial" w:eastAsia="宋体" w:cs="Arial"/>
                <w:sz w:val="18"/>
                <w:szCs w:val="18"/>
              </w:rPr>
              <w:t>1．工业、居住用地混杂布局</w:t>
            </w:r>
          </w:p>
          <w:p w14:paraId="324258E5">
            <w:pPr>
              <w:pStyle w:val="109"/>
              <w:ind w:firstLine="360" w:firstLineChars="200"/>
              <w:jc w:val="both"/>
              <w:rPr>
                <w:rFonts w:hint="default" w:ascii="Arial" w:hAnsi="Arial" w:eastAsia="宋体" w:cs="Arial"/>
                <w:sz w:val="18"/>
                <w:szCs w:val="18"/>
              </w:rPr>
            </w:pPr>
            <w:r>
              <w:rPr>
                <w:rFonts w:hint="default" w:ascii="Arial" w:hAnsi="Arial" w:eastAsia="宋体" w:cs="Arial"/>
                <w:sz w:val="18"/>
                <w:szCs w:val="18"/>
              </w:rPr>
              <w:t>现状开发区南部区域（三友新村、东小港小区、名都佳苑附近）、中部区域（新群新村、尚锦花园附近）、北部钟埭集镇等工业居住用地混杂布局。且居住用地与工业用地之间缺乏足够的隔离带，其中涉及印染企业、橡塑企业、机械（喷漆类）等易产生无组织废气的企业；开发区建成区内宏建路以南、永兴路以北区域内沿河地带分布较多紧邻企业的民房。呈现居住小区被工业企业包围，环保信访事件多发的现象。</w:t>
            </w:r>
          </w:p>
          <w:p w14:paraId="08614AFE">
            <w:pPr>
              <w:pStyle w:val="109"/>
              <w:ind w:firstLine="360" w:firstLineChars="200"/>
              <w:jc w:val="both"/>
              <w:rPr>
                <w:rFonts w:hint="default" w:ascii="Arial" w:hAnsi="Arial" w:eastAsia="宋体" w:cs="Arial"/>
                <w:sz w:val="18"/>
                <w:szCs w:val="18"/>
              </w:rPr>
            </w:pPr>
            <w:r>
              <w:rPr>
                <w:rFonts w:hint="default" w:ascii="Arial" w:hAnsi="Arial" w:eastAsia="宋体" w:cs="Arial"/>
                <w:sz w:val="18"/>
                <w:szCs w:val="18"/>
              </w:rPr>
              <w:t>2．用地布局不合理</w:t>
            </w:r>
          </w:p>
          <w:p w14:paraId="4497EE44">
            <w:pPr>
              <w:pStyle w:val="109"/>
              <w:ind w:firstLine="360" w:firstLineChars="200"/>
              <w:jc w:val="both"/>
              <w:rPr>
                <w:rFonts w:hint="default" w:ascii="Arial" w:hAnsi="Arial" w:eastAsia="宋体" w:cs="Arial"/>
                <w:sz w:val="18"/>
                <w:szCs w:val="18"/>
              </w:rPr>
            </w:pPr>
            <w:r>
              <w:rPr>
                <w:rFonts w:hint="default" w:ascii="Arial" w:hAnsi="Arial" w:eastAsia="宋体" w:cs="Arial"/>
                <w:sz w:val="18"/>
                <w:szCs w:val="18"/>
              </w:rPr>
              <w:t>开发过程未按原规划的组团式发展（综合工业组团、光机电产业组团、传统产业组团），各类企业混杂交错布局。</w:t>
            </w:r>
          </w:p>
        </w:tc>
        <w:tc>
          <w:tcPr>
            <w:tcW w:w="1716" w:type="pct"/>
            <w:vAlign w:val="center"/>
          </w:tcPr>
          <w:p w14:paraId="65CAA4A0">
            <w:pPr>
              <w:widowControl/>
              <w:ind w:right="42" w:rightChars="20"/>
              <w:rPr>
                <w:rFonts w:hint="default" w:ascii="Arial" w:hAnsi="Arial" w:eastAsia="宋体" w:cs="Arial"/>
                <w:sz w:val="18"/>
                <w:szCs w:val="18"/>
              </w:rPr>
            </w:pPr>
            <w:r>
              <w:rPr>
                <w:rFonts w:hint="default" w:ascii="Arial" w:hAnsi="Arial" w:eastAsia="宋体" w:cs="Arial"/>
                <w:sz w:val="18"/>
                <w:szCs w:val="18"/>
              </w:rPr>
              <w:t>1.对邻近居住区的工业企业用地，开展技术改造、退二进三等措施，加快园区内企业的转型升级，优化产业结构。</w:t>
            </w:r>
          </w:p>
          <w:p w14:paraId="605C502C">
            <w:pPr>
              <w:widowControl/>
              <w:ind w:right="42" w:rightChars="20"/>
              <w:rPr>
                <w:rFonts w:hint="default" w:ascii="Arial" w:hAnsi="Arial" w:eastAsia="宋体" w:cs="Arial"/>
                <w:sz w:val="18"/>
                <w:szCs w:val="18"/>
              </w:rPr>
            </w:pPr>
            <w:r>
              <w:rPr>
                <w:rFonts w:hint="default" w:ascii="Arial" w:hAnsi="Arial" w:eastAsia="宋体" w:cs="Arial"/>
                <w:sz w:val="18"/>
                <w:szCs w:val="18"/>
              </w:rPr>
              <w:t>2.按照传统产业转型升级要求对污染较重企业实施生态化改造或搬迁，完善用地布局。</w:t>
            </w:r>
          </w:p>
          <w:p w14:paraId="3EFBFDBC">
            <w:pPr>
              <w:widowControl/>
              <w:ind w:right="42" w:rightChars="20"/>
              <w:rPr>
                <w:rFonts w:hint="default" w:ascii="Arial" w:hAnsi="Arial" w:eastAsia="宋体" w:cs="Arial"/>
                <w:sz w:val="18"/>
                <w:szCs w:val="18"/>
              </w:rPr>
            </w:pPr>
            <w:r>
              <w:rPr>
                <w:rFonts w:hint="default" w:ascii="Arial" w:hAnsi="Arial" w:eastAsia="宋体" w:cs="Arial"/>
                <w:sz w:val="18"/>
                <w:szCs w:val="18"/>
              </w:rPr>
              <w:t>3.对距园区内敏感点较近的工业企业强化污染防治措施，并鼓励企业实施产业转型升级。</w:t>
            </w:r>
          </w:p>
        </w:tc>
        <w:tc>
          <w:tcPr>
            <w:tcW w:w="979" w:type="pct"/>
            <w:vAlign w:val="center"/>
          </w:tcPr>
          <w:p w14:paraId="71DB6463">
            <w:pPr>
              <w:widowControl/>
              <w:ind w:right="42" w:rightChars="20"/>
              <w:rPr>
                <w:rFonts w:hint="default" w:ascii="Arial" w:hAnsi="Arial" w:eastAsia="宋体" w:cs="Arial"/>
                <w:sz w:val="18"/>
                <w:szCs w:val="18"/>
              </w:rPr>
            </w:pPr>
            <w:r>
              <w:rPr>
                <w:rFonts w:hint="default" w:ascii="Arial" w:hAnsi="Arial" w:eastAsia="宋体" w:cs="Arial"/>
                <w:sz w:val="18"/>
                <w:szCs w:val="18"/>
              </w:rPr>
              <w:t>1.严格按照规划环评负面清单进行项目准入。</w:t>
            </w:r>
          </w:p>
          <w:p w14:paraId="4AB4D632">
            <w:pPr>
              <w:widowControl/>
              <w:ind w:right="42" w:rightChars="20"/>
              <w:rPr>
                <w:rFonts w:hint="default" w:ascii="Arial" w:hAnsi="Arial" w:eastAsia="宋体" w:cs="Arial"/>
                <w:sz w:val="18"/>
                <w:szCs w:val="18"/>
              </w:rPr>
            </w:pPr>
            <w:r>
              <w:rPr>
                <w:rFonts w:hint="default" w:ascii="Arial" w:hAnsi="Arial" w:eastAsia="宋体" w:cs="Arial"/>
                <w:sz w:val="18"/>
                <w:szCs w:val="18"/>
              </w:rPr>
              <w:t>2.对信访问题集中的福莱斯乐摩擦材料（平湖）有限公司在2017年落实搬迁，对浙江荣晟环保纸业股份有限公司和浙江上方生物科技有限公司督查恶臭防治措施的整改。</w:t>
            </w:r>
          </w:p>
          <w:p w14:paraId="31B17545">
            <w:pPr>
              <w:widowControl/>
              <w:ind w:right="42" w:rightChars="20"/>
              <w:rPr>
                <w:rFonts w:hint="default" w:ascii="Arial" w:hAnsi="Arial" w:eastAsia="宋体" w:cs="Arial"/>
                <w:sz w:val="18"/>
                <w:szCs w:val="18"/>
              </w:rPr>
            </w:pPr>
          </w:p>
        </w:tc>
      </w:tr>
      <w:tr w14:paraId="254C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Align w:val="center"/>
          </w:tcPr>
          <w:p w14:paraId="4683FE97">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2</w:t>
            </w:r>
          </w:p>
        </w:tc>
        <w:tc>
          <w:tcPr>
            <w:tcW w:w="305" w:type="pct"/>
            <w:vAlign w:val="center"/>
          </w:tcPr>
          <w:p w14:paraId="2C190C6E">
            <w:pPr>
              <w:pStyle w:val="109"/>
              <w:rPr>
                <w:rFonts w:hint="default" w:ascii="Arial" w:hAnsi="Arial" w:eastAsia="宋体" w:cs="Arial"/>
                <w:sz w:val="18"/>
                <w:szCs w:val="18"/>
              </w:rPr>
            </w:pPr>
            <w:r>
              <w:rPr>
                <w:rFonts w:hint="default" w:ascii="Arial" w:hAnsi="Arial" w:eastAsia="宋体" w:cs="Arial"/>
                <w:sz w:val="18"/>
                <w:szCs w:val="18"/>
              </w:rPr>
              <w:t xml:space="preserve">基础设施建设 </w:t>
            </w:r>
          </w:p>
        </w:tc>
        <w:tc>
          <w:tcPr>
            <w:tcW w:w="1809" w:type="pct"/>
            <w:vAlign w:val="center"/>
          </w:tcPr>
          <w:p w14:paraId="341AFFA1">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建成区拆迁不到位；</w:t>
            </w:r>
          </w:p>
          <w:p w14:paraId="2B0E3A86">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农村生活污水的管网和污水处理设施不足；</w:t>
            </w:r>
          </w:p>
          <w:p w14:paraId="3ABBF6A3">
            <w:pPr>
              <w:pStyle w:val="109"/>
              <w:jc w:val="both"/>
              <w:rPr>
                <w:rFonts w:hint="default" w:ascii="Arial" w:hAnsi="Arial" w:eastAsia="宋体" w:cs="Arial"/>
                <w:sz w:val="18"/>
                <w:szCs w:val="18"/>
              </w:rPr>
            </w:pPr>
            <w:r>
              <w:rPr>
                <w:rFonts w:hint="default" w:ascii="Arial" w:hAnsi="Arial" w:eastAsia="宋体" w:cs="Arial"/>
                <w:sz w:val="18"/>
                <w:szCs w:val="18"/>
              </w:rPr>
              <w:t>城镇人均公共绿地面积不达标。</w:t>
            </w:r>
          </w:p>
        </w:tc>
        <w:tc>
          <w:tcPr>
            <w:tcW w:w="1716" w:type="pct"/>
            <w:vAlign w:val="center"/>
          </w:tcPr>
          <w:p w14:paraId="3ACFE204">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对建成区边角地内零乱存在的农居房进行拆迁安置。</w:t>
            </w:r>
          </w:p>
          <w:p w14:paraId="52453CD4">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加快区域内农村生活污水的管网和污水处理设施的建设。</w:t>
            </w:r>
          </w:p>
          <w:p w14:paraId="6189067D">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受区域水环境质量制约，建议将钟东社区、大力社区的农村生活污水改为纳管排放。</w:t>
            </w:r>
          </w:p>
          <w:p w14:paraId="3793B567">
            <w:pPr>
              <w:widowControl/>
              <w:ind w:right="42" w:rightChars="20"/>
              <w:rPr>
                <w:rFonts w:hint="default" w:ascii="Arial" w:hAnsi="Arial" w:eastAsia="宋体" w:cs="Arial"/>
                <w:sz w:val="18"/>
                <w:szCs w:val="18"/>
              </w:rPr>
            </w:pPr>
            <w:r>
              <w:rPr>
                <w:rFonts w:hint="default" w:ascii="Arial" w:hAnsi="Arial" w:eastAsia="宋体" w:cs="Arial"/>
                <w:sz w:val="18"/>
                <w:szCs w:val="18"/>
              </w:rPr>
              <w:t>推进公共绿地的建设。</w:t>
            </w:r>
          </w:p>
        </w:tc>
        <w:tc>
          <w:tcPr>
            <w:tcW w:w="979" w:type="pct"/>
            <w:vAlign w:val="center"/>
          </w:tcPr>
          <w:p w14:paraId="684F12D9">
            <w:pPr>
              <w:widowControl/>
              <w:jc w:val="left"/>
              <w:rPr>
                <w:rFonts w:hint="default" w:ascii="Arial" w:hAnsi="Arial" w:eastAsia="宋体" w:cs="Arial"/>
                <w:sz w:val="18"/>
                <w:szCs w:val="18"/>
              </w:rPr>
            </w:pPr>
            <w:r>
              <w:rPr>
                <w:rFonts w:hint="default" w:ascii="Arial" w:hAnsi="Arial" w:eastAsia="宋体" w:cs="Arial"/>
                <w:sz w:val="18"/>
                <w:szCs w:val="18"/>
              </w:rPr>
              <w:t>1.“十三五”期间推进撤村建居工作，完成区域内零乱农居房的拆迁安置。</w:t>
            </w:r>
          </w:p>
          <w:p w14:paraId="5CD2B376">
            <w:pPr>
              <w:widowControl/>
              <w:ind w:right="42" w:rightChars="20"/>
              <w:rPr>
                <w:rFonts w:hint="default" w:ascii="Arial" w:hAnsi="Arial" w:eastAsia="宋体" w:cs="Arial"/>
                <w:sz w:val="18"/>
                <w:szCs w:val="18"/>
              </w:rPr>
            </w:pPr>
            <w:r>
              <w:rPr>
                <w:rFonts w:hint="default" w:ascii="Arial" w:hAnsi="Arial" w:eastAsia="宋体" w:cs="Arial"/>
                <w:sz w:val="18"/>
                <w:szCs w:val="18"/>
              </w:rPr>
              <w:t>2.根据“五水共治”工业安排，完成域内农村生活污水管理的污水处理设施的建设。</w:t>
            </w:r>
          </w:p>
        </w:tc>
      </w:tr>
      <w:tr w14:paraId="5F0F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Merge w:val="restart"/>
            <w:vAlign w:val="center"/>
          </w:tcPr>
          <w:p w14:paraId="1DC1C62B">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4</w:t>
            </w:r>
          </w:p>
        </w:tc>
        <w:tc>
          <w:tcPr>
            <w:tcW w:w="305" w:type="pct"/>
            <w:vMerge w:val="restart"/>
            <w:vAlign w:val="center"/>
          </w:tcPr>
          <w:p w14:paraId="773EC47E">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污染控制</w:t>
            </w:r>
          </w:p>
        </w:tc>
        <w:tc>
          <w:tcPr>
            <w:tcW w:w="1809" w:type="pct"/>
            <w:vAlign w:val="center"/>
          </w:tcPr>
          <w:p w14:paraId="79A36079">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园区内现有部分小锅炉未进行烟气治理，不符合达标排放要求。</w:t>
            </w:r>
          </w:p>
        </w:tc>
        <w:tc>
          <w:tcPr>
            <w:tcW w:w="1716" w:type="pct"/>
            <w:vAlign w:val="center"/>
          </w:tcPr>
          <w:p w14:paraId="3F17BD96">
            <w:pPr>
              <w:widowControl/>
              <w:ind w:left="42" w:leftChars="20" w:right="42" w:rightChars="20"/>
              <w:rPr>
                <w:rFonts w:hint="default" w:ascii="Arial" w:hAnsi="Arial" w:eastAsia="宋体" w:cs="Arial"/>
                <w:b/>
                <w:sz w:val="18"/>
                <w:szCs w:val="18"/>
              </w:rPr>
            </w:pPr>
            <w:r>
              <w:rPr>
                <w:rFonts w:hint="default" w:ascii="Arial" w:hAnsi="Arial" w:eastAsia="宋体" w:cs="Arial"/>
                <w:sz w:val="18"/>
                <w:szCs w:val="18"/>
              </w:rPr>
              <w:t>开发区管委会应汇同相关部门取缔园区内未经审批的锅炉，并结合燃气规划，推进合法锅炉实施清洁能源改造。</w:t>
            </w:r>
          </w:p>
        </w:tc>
        <w:tc>
          <w:tcPr>
            <w:tcW w:w="979" w:type="pct"/>
            <w:vAlign w:val="center"/>
          </w:tcPr>
          <w:p w14:paraId="48951B32">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2016年底已关停所有高污染燃料自备锅炉</w:t>
            </w:r>
          </w:p>
        </w:tc>
      </w:tr>
      <w:tr w14:paraId="41A8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Merge w:val="continue"/>
            <w:vAlign w:val="center"/>
          </w:tcPr>
          <w:p w14:paraId="2AC0D43F">
            <w:pPr>
              <w:pStyle w:val="98"/>
              <w:spacing w:line="240" w:lineRule="auto"/>
              <w:ind w:left="42" w:leftChars="20" w:right="42" w:rightChars="20"/>
              <w:rPr>
                <w:rFonts w:hint="default" w:ascii="Arial" w:hAnsi="Arial" w:eastAsia="宋体" w:cs="Arial"/>
                <w:sz w:val="18"/>
                <w:szCs w:val="18"/>
              </w:rPr>
            </w:pPr>
          </w:p>
        </w:tc>
        <w:tc>
          <w:tcPr>
            <w:tcW w:w="305" w:type="pct"/>
            <w:vMerge w:val="continue"/>
            <w:vAlign w:val="center"/>
          </w:tcPr>
          <w:p w14:paraId="37D34076">
            <w:pPr>
              <w:pStyle w:val="98"/>
              <w:spacing w:line="240" w:lineRule="auto"/>
              <w:ind w:left="42" w:leftChars="20" w:right="42" w:rightChars="20"/>
              <w:rPr>
                <w:rFonts w:hint="default" w:ascii="Arial" w:hAnsi="Arial" w:eastAsia="宋体" w:cs="Arial"/>
                <w:sz w:val="18"/>
                <w:szCs w:val="18"/>
              </w:rPr>
            </w:pPr>
          </w:p>
        </w:tc>
        <w:tc>
          <w:tcPr>
            <w:tcW w:w="1809" w:type="pct"/>
            <w:vAlign w:val="center"/>
          </w:tcPr>
          <w:p w14:paraId="49864BFC">
            <w:pPr>
              <w:widowControl/>
              <w:ind w:left="42" w:leftChars="20" w:right="42" w:rightChars="20"/>
              <w:rPr>
                <w:rFonts w:hint="default" w:ascii="Arial" w:hAnsi="Arial" w:eastAsia="宋体" w:cs="Arial"/>
                <w:b/>
                <w:sz w:val="18"/>
                <w:szCs w:val="18"/>
              </w:rPr>
            </w:pPr>
            <w:r>
              <w:rPr>
                <w:rFonts w:hint="default" w:ascii="Arial" w:hAnsi="Arial" w:eastAsia="宋体" w:cs="Arial"/>
                <w:sz w:val="18"/>
                <w:szCs w:val="18"/>
              </w:rPr>
              <w:t>园区内固废实施分类管理，但部分企业危险废物暂存场所不符合环保要求。</w:t>
            </w:r>
          </w:p>
        </w:tc>
        <w:tc>
          <w:tcPr>
            <w:tcW w:w="1716" w:type="pct"/>
            <w:vAlign w:val="center"/>
          </w:tcPr>
          <w:p w14:paraId="7A114C07">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园区内产生危险废物的企业须在厂内建设规范的危险废物临时贮存设施，做好防渗、防漏等措施。</w:t>
            </w:r>
          </w:p>
        </w:tc>
        <w:tc>
          <w:tcPr>
            <w:tcW w:w="979" w:type="pct"/>
            <w:vAlign w:val="center"/>
          </w:tcPr>
          <w:p w14:paraId="6626676D">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结合涉危险废物企业清洁生产工作，于2016年底完成。</w:t>
            </w:r>
          </w:p>
        </w:tc>
      </w:tr>
      <w:tr w14:paraId="5A8E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Merge w:val="restart"/>
            <w:vAlign w:val="center"/>
          </w:tcPr>
          <w:p w14:paraId="49699591">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5</w:t>
            </w:r>
          </w:p>
        </w:tc>
        <w:tc>
          <w:tcPr>
            <w:tcW w:w="305" w:type="pct"/>
            <w:vMerge w:val="restart"/>
            <w:vAlign w:val="center"/>
          </w:tcPr>
          <w:p w14:paraId="6CA3888D">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环境质量</w:t>
            </w:r>
          </w:p>
        </w:tc>
        <w:tc>
          <w:tcPr>
            <w:tcW w:w="1809" w:type="pct"/>
            <w:vAlign w:val="center"/>
          </w:tcPr>
          <w:p w14:paraId="46AC8466">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平湖经济开发区环境空气中SO</w:t>
            </w:r>
            <w:r>
              <w:rPr>
                <w:rFonts w:hint="default" w:ascii="Arial" w:hAnsi="Arial" w:eastAsia="宋体" w:cs="Arial"/>
                <w:sz w:val="18"/>
                <w:szCs w:val="18"/>
                <w:vertAlign w:val="subscript"/>
              </w:rPr>
              <w:t>2</w:t>
            </w:r>
            <w:r>
              <w:rPr>
                <w:rFonts w:hint="default" w:ascii="Arial" w:hAnsi="Arial" w:eastAsia="宋体" w:cs="Arial"/>
                <w:sz w:val="18"/>
                <w:szCs w:val="18"/>
              </w:rPr>
              <w:t>含量相对稳定，一直在0.021～0.027mg/m</w:t>
            </w:r>
            <w:r>
              <w:rPr>
                <w:rFonts w:hint="default" w:ascii="Arial" w:hAnsi="Arial" w:eastAsia="宋体" w:cs="Arial"/>
                <w:sz w:val="18"/>
                <w:szCs w:val="18"/>
                <w:vertAlign w:val="superscript"/>
              </w:rPr>
              <w:t>3</w:t>
            </w:r>
            <w:r>
              <w:rPr>
                <w:rFonts w:hint="default" w:ascii="Arial" w:hAnsi="Arial" w:eastAsia="宋体" w:cs="Arial"/>
                <w:sz w:val="18"/>
                <w:szCs w:val="18"/>
              </w:rPr>
              <w:t>区间波动，且年均值都满足《环境空气质量标准》（GB3095-2012）二级标准要求；NO</w:t>
            </w:r>
            <w:r>
              <w:rPr>
                <w:rFonts w:hint="default" w:ascii="Arial" w:hAnsi="Arial" w:eastAsia="宋体" w:cs="Arial"/>
                <w:sz w:val="18"/>
                <w:szCs w:val="18"/>
                <w:vertAlign w:val="subscript"/>
              </w:rPr>
              <w:t>2</w:t>
            </w:r>
            <w:r>
              <w:rPr>
                <w:rFonts w:hint="default" w:ascii="Arial" w:hAnsi="Arial" w:eastAsia="宋体" w:cs="Arial"/>
                <w:sz w:val="18"/>
                <w:szCs w:val="18"/>
              </w:rPr>
              <w:t>指标仅在2011年略有超标，之后总体呈下降趋势；而PM</w:t>
            </w:r>
            <w:r>
              <w:rPr>
                <w:rFonts w:hint="default" w:ascii="Arial" w:hAnsi="Arial" w:eastAsia="宋体" w:cs="Arial"/>
                <w:sz w:val="18"/>
                <w:szCs w:val="18"/>
                <w:vertAlign w:val="subscript"/>
              </w:rPr>
              <w:t>10</w:t>
            </w:r>
            <w:r>
              <w:rPr>
                <w:rFonts w:hint="default" w:ascii="Arial" w:hAnsi="Arial" w:eastAsia="宋体" w:cs="Arial"/>
                <w:sz w:val="18"/>
                <w:szCs w:val="18"/>
              </w:rPr>
              <w:t>年均值均不能满足《环境空气质量标准》（GB3095-2012）二级标准要求，且近年来逐渐增高。</w:t>
            </w:r>
          </w:p>
        </w:tc>
        <w:tc>
          <w:tcPr>
            <w:tcW w:w="1716" w:type="pct"/>
            <w:vAlign w:val="center"/>
          </w:tcPr>
          <w:p w14:paraId="258B1A3C">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开发区PM</w:t>
            </w:r>
            <w:r>
              <w:rPr>
                <w:rFonts w:hint="default" w:ascii="Arial" w:hAnsi="Arial" w:eastAsia="宋体" w:cs="Arial"/>
                <w:sz w:val="18"/>
                <w:szCs w:val="18"/>
                <w:vertAlign w:val="subscript"/>
              </w:rPr>
              <w:t>10</w:t>
            </w:r>
            <w:r>
              <w:rPr>
                <w:rFonts w:hint="default" w:ascii="Arial" w:hAnsi="Arial" w:eastAsia="宋体" w:cs="Arial"/>
                <w:sz w:val="18"/>
                <w:szCs w:val="18"/>
              </w:rPr>
              <w:t>的超标与整个嘉兴市域范围多地PM</w:t>
            </w:r>
            <w:r>
              <w:rPr>
                <w:rFonts w:hint="default" w:ascii="Arial" w:hAnsi="Arial" w:eastAsia="宋体" w:cs="Arial"/>
                <w:sz w:val="18"/>
                <w:szCs w:val="18"/>
                <w:vertAlign w:val="subscript"/>
              </w:rPr>
              <w:t>10</w:t>
            </w:r>
            <w:r>
              <w:rPr>
                <w:rFonts w:hint="default" w:ascii="Arial" w:hAnsi="Arial" w:eastAsia="宋体" w:cs="Arial"/>
                <w:sz w:val="18"/>
                <w:szCs w:val="18"/>
              </w:rPr>
              <w:t>年均值超标现象一致，受内源污染物和外源污染物的综合影响所致。对于内部污染源汽车尾气排放、部分施工工地及道路扬尘排放、平湖经济开发区内企业粉尘颗粒物排放等问题要引起重视，在平湖市“五气共治”的框架下，落实各项治理措施，促进大气环境特别是细颗粒超标现象的改善。</w:t>
            </w:r>
          </w:p>
        </w:tc>
        <w:tc>
          <w:tcPr>
            <w:tcW w:w="979" w:type="pct"/>
            <w:vAlign w:val="center"/>
          </w:tcPr>
          <w:p w14:paraId="3C406141">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十三五期间推进</w:t>
            </w:r>
          </w:p>
        </w:tc>
      </w:tr>
      <w:tr w14:paraId="3A32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Merge w:val="continue"/>
            <w:vAlign w:val="center"/>
          </w:tcPr>
          <w:p w14:paraId="0C5D9088">
            <w:pPr>
              <w:pStyle w:val="98"/>
              <w:spacing w:line="240" w:lineRule="auto"/>
              <w:ind w:left="42" w:leftChars="20" w:right="42" w:rightChars="20"/>
              <w:rPr>
                <w:rFonts w:hint="default" w:ascii="Arial" w:hAnsi="Arial" w:eastAsia="宋体" w:cs="Arial"/>
                <w:sz w:val="18"/>
                <w:szCs w:val="18"/>
              </w:rPr>
            </w:pPr>
          </w:p>
        </w:tc>
        <w:tc>
          <w:tcPr>
            <w:tcW w:w="305" w:type="pct"/>
            <w:vMerge w:val="continue"/>
            <w:vAlign w:val="center"/>
          </w:tcPr>
          <w:p w14:paraId="12D1C440">
            <w:pPr>
              <w:pStyle w:val="98"/>
              <w:spacing w:line="240" w:lineRule="auto"/>
              <w:ind w:left="42" w:leftChars="20" w:right="42" w:rightChars="20"/>
              <w:rPr>
                <w:rFonts w:hint="default" w:ascii="Arial" w:hAnsi="Arial" w:eastAsia="宋体" w:cs="Arial"/>
                <w:sz w:val="18"/>
                <w:szCs w:val="18"/>
              </w:rPr>
            </w:pPr>
          </w:p>
        </w:tc>
        <w:tc>
          <w:tcPr>
            <w:tcW w:w="1809" w:type="pct"/>
            <w:vAlign w:val="center"/>
          </w:tcPr>
          <w:p w14:paraId="28F3F64C">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目前平湖塘水质超过GB3838-2002中的Ⅲ类水体标准， NH</w:t>
            </w:r>
            <w:r>
              <w:rPr>
                <w:rFonts w:hint="default" w:ascii="Arial" w:hAnsi="Arial" w:eastAsia="宋体" w:cs="Arial"/>
                <w:sz w:val="18"/>
                <w:szCs w:val="18"/>
                <w:vertAlign w:val="subscript"/>
              </w:rPr>
              <w:t>3</w:t>
            </w:r>
            <w:r>
              <w:rPr>
                <w:rFonts w:hint="default" w:ascii="Arial" w:hAnsi="Arial" w:eastAsia="宋体" w:cs="Arial"/>
                <w:sz w:val="18"/>
                <w:szCs w:val="18"/>
              </w:rPr>
              <w:t>-N和TP指标超标严重，水体呈富营养化。2011~2015年间水体中的氮磷污染因子总体上呈现改善的特征，相对而言2013年水质最佳。</w:t>
            </w:r>
          </w:p>
          <w:p w14:paraId="06399C88">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根据与原规划环评现状监测值的比较分析可知，除COD</w:t>
            </w:r>
            <w:r>
              <w:rPr>
                <w:rFonts w:hint="default" w:ascii="Arial" w:hAnsi="Arial" w:eastAsia="宋体" w:cs="Arial"/>
                <w:sz w:val="18"/>
                <w:szCs w:val="18"/>
                <w:vertAlign w:val="subscript"/>
              </w:rPr>
              <w:t>Cr</w:t>
            </w:r>
            <w:r>
              <w:rPr>
                <w:rFonts w:hint="default" w:ascii="Arial" w:hAnsi="Arial" w:eastAsia="宋体" w:cs="Arial"/>
                <w:sz w:val="18"/>
                <w:szCs w:val="18"/>
              </w:rPr>
              <w:t>指标外，其余水质因子均有所降低，说明规划实施后，水质总体有所变好；但COD</w:t>
            </w:r>
            <w:r>
              <w:rPr>
                <w:rFonts w:hint="default" w:ascii="Arial" w:hAnsi="Arial" w:eastAsia="宋体" w:cs="Arial"/>
                <w:sz w:val="18"/>
                <w:szCs w:val="18"/>
                <w:vertAlign w:val="subscript"/>
              </w:rPr>
              <w:t>Mn</w:t>
            </w:r>
            <w:r>
              <w:rPr>
                <w:rFonts w:hint="default" w:ascii="Arial" w:hAnsi="Arial" w:eastAsia="宋体" w:cs="Arial"/>
                <w:sz w:val="18"/>
                <w:szCs w:val="18"/>
              </w:rPr>
              <w:t>、NH</w:t>
            </w:r>
            <w:r>
              <w:rPr>
                <w:rFonts w:hint="default" w:ascii="Arial" w:hAnsi="Arial" w:eastAsia="宋体" w:cs="Arial"/>
                <w:sz w:val="18"/>
                <w:szCs w:val="18"/>
                <w:vertAlign w:val="subscript"/>
              </w:rPr>
              <w:t>3</w:t>
            </w:r>
            <w:r>
              <w:rPr>
                <w:rFonts w:hint="default" w:ascii="Arial" w:hAnsi="Arial" w:eastAsia="宋体" w:cs="Arial"/>
                <w:sz w:val="18"/>
                <w:szCs w:val="18"/>
              </w:rPr>
              <w:t>-N、TP和COD</w:t>
            </w:r>
            <w:r>
              <w:rPr>
                <w:rFonts w:hint="default" w:ascii="Arial" w:hAnsi="Arial" w:eastAsia="宋体" w:cs="Arial"/>
                <w:sz w:val="18"/>
                <w:szCs w:val="18"/>
                <w:vertAlign w:val="subscript"/>
              </w:rPr>
              <w:t>Cr</w:t>
            </w:r>
            <w:r>
              <w:rPr>
                <w:rFonts w:hint="default" w:ascii="Arial" w:hAnsi="Arial" w:eastAsia="宋体" w:cs="Arial"/>
                <w:sz w:val="18"/>
                <w:szCs w:val="18"/>
              </w:rPr>
              <w:t>等指标仍无法满足相应水质标准要求，水体呈富营养化特征。</w:t>
            </w:r>
          </w:p>
        </w:tc>
        <w:tc>
          <w:tcPr>
            <w:tcW w:w="1716" w:type="pct"/>
            <w:vAlign w:val="center"/>
          </w:tcPr>
          <w:p w14:paraId="78DDD62D">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（1）在全省“五水共治”的大背景下，积极推进未纳管乡村的截污纳管工作。推进无法纳管村镇的农村生活污水处理设施工程。推进住宅区的阳台废水纳管工作。</w:t>
            </w:r>
          </w:p>
          <w:p w14:paraId="7EE8C9C3">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（2）在现有工业废水100%纳管的基础上，对开发区建成区所有企业开展回头看，切实监管落实雨污分流制度，建议对重点企业雨水排放口加强监督监测。</w:t>
            </w:r>
          </w:p>
          <w:p w14:paraId="65EE9148">
            <w:pPr>
              <w:widowControl/>
              <w:ind w:left="42" w:leftChars="20" w:right="42" w:rightChars="20" w:firstLine="360" w:firstLineChars="200"/>
              <w:rPr>
                <w:rFonts w:hint="default" w:ascii="Arial" w:hAnsi="Arial" w:eastAsia="宋体" w:cs="Arial"/>
                <w:b/>
                <w:sz w:val="18"/>
                <w:szCs w:val="18"/>
              </w:rPr>
            </w:pPr>
            <w:r>
              <w:rPr>
                <w:rFonts w:hint="default" w:ascii="Arial" w:hAnsi="Arial" w:eastAsia="宋体" w:cs="Arial"/>
                <w:sz w:val="18"/>
                <w:szCs w:val="18"/>
              </w:rPr>
              <w:t>（3）根据劣Ⅴ类水剿灭行动方案计划，对区域内60个小微水体通过清淤、截污纳管、雨污分流等措施在2017年9月前完成。</w:t>
            </w:r>
          </w:p>
        </w:tc>
        <w:tc>
          <w:tcPr>
            <w:tcW w:w="979" w:type="pct"/>
            <w:vAlign w:val="center"/>
          </w:tcPr>
          <w:p w14:paraId="05076284">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2017年完成</w:t>
            </w:r>
          </w:p>
        </w:tc>
      </w:tr>
      <w:tr w14:paraId="2833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45" w:hRule="atLeast"/>
          <w:jc w:val="center"/>
        </w:trPr>
        <w:tc>
          <w:tcPr>
            <w:tcW w:w="191" w:type="pct"/>
            <w:vMerge w:val="continue"/>
            <w:vAlign w:val="center"/>
          </w:tcPr>
          <w:p w14:paraId="4722161C">
            <w:pPr>
              <w:pStyle w:val="98"/>
              <w:spacing w:line="240" w:lineRule="auto"/>
              <w:ind w:left="42" w:leftChars="20" w:right="42" w:rightChars="20"/>
              <w:rPr>
                <w:rFonts w:hint="default" w:ascii="Arial" w:hAnsi="Arial" w:eastAsia="宋体" w:cs="Arial"/>
                <w:sz w:val="18"/>
                <w:szCs w:val="18"/>
              </w:rPr>
            </w:pPr>
          </w:p>
        </w:tc>
        <w:tc>
          <w:tcPr>
            <w:tcW w:w="305" w:type="pct"/>
            <w:vMerge w:val="continue"/>
            <w:vAlign w:val="center"/>
          </w:tcPr>
          <w:p w14:paraId="1FDAF773">
            <w:pPr>
              <w:pStyle w:val="98"/>
              <w:spacing w:line="240" w:lineRule="auto"/>
              <w:ind w:left="42" w:leftChars="20" w:right="42" w:rightChars="20"/>
              <w:rPr>
                <w:rFonts w:hint="default" w:ascii="Arial" w:hAnsi="Arial" w:eastAsia="宋体" w:cs="Arial"/>
                <w:sz w:val="18"/>
                <w:szCs w:val="18"/>
              </w:rPr>
            </w:pPr>
          </w:p>
        </w:tc>
        <w:tc>
          <w:tcPr>
            <w:tcW w:w="1809" w:type="pct"/>
            <w:vAlign w:val="center"/>
          </w:tcPr>
          <w:p w14:paraId="1E9775B7">
            <w:pPr>
              <w:widowControl/>
              <w:ind w:left="42" w:leftChars="20" w:right="42" w:rightChars="20"/>
              <w:rPr>
                <w:rFonts w:hint="default" w:ascii="Arial" w:hAnsi="Arial" w:eastAsia="宋体" w:cs="Arial"/>
                <w:b/>
                <w:sz w:val="18"/>
                <w:szCs w:val="18"/>
              </w:rPr>
            </w:pPr>
            <w:r>
              <w:rPr>
                <w:rFonts w:hint="default" w:ascii="Arial" w:hAnsi="Arial" w:eastAsia="宋体" w:cs="Arial"/>
                <w:sz w:val="18"/>
                <w:szCs w:val="18"/>
              </w:rPr>
              <w:t>开发区建成区地下水水质一般，不能满足Ⅲ类水质功能要求，其中多个监测点位出现的氨氮、亚硝酸盐、高锰酸盐指数超标，可能与开发区早期开发过程中企业污水跑冒滴漏后的下渗造成污染以及地表水污染物逐步迁移有关。</w:t>
            </w:r>
          </w:p>
        </w:tc>
        <w:tc>
          <w:tcPr>
            <w:tcW w:w="1716" w:type="pct"/>
            <w:vAlign w:val="center"/>
          </w:tcPr>
          <w:p w14:paraId="578F7DC8">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从减少地下水污染负荷角度出下，建议改善措施如下：</w:t>
            </w:r>
          </w:p>
          <w:p w14:paraId="253548E1">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（1）重点对各工业企业的污水收集管路、污水处理设施的防渗漏措施开展排查整治，杜绝废水下渗进入地下水环境。</w:t>
            </w:r>
          </w:p>
          <w:p w14:paraId="40796AE3">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（2）对印染、电镀、表面处理进行整治的同时，严格落实雨污分流，建议对雨水排放口安排在线监控，对生产车间按一般防渗区要求进行整治。</w:t>
            </w:r>
          </w:p>
        </w:tc>
        <w:tc>
          <w:tcPr>
            <w:tcW w:w="979" w:type="pct"/>
            <w:vAlign w:val="center"/>
          </w:tcPr>
          <w:p w14:paraId="6AF47A27">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2017年完成</w:t>
            </w:r>
          </w:p>
        </w:tc>
      </w:tr>
      <w:tr w14:paraId="68B8B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Merge w:val="continue"/>
            <w:vAlign w:val="center"/>
          </w:tcPr>
          <w:p w14:paraId="55448505">
            <w:pPr>
              <w:pStyle w:val="98"/>
              <w:spacing w:line="240" w:lineRule="auto"/>
              <w:ind w:left="42" w:leftChars="20" w:right="42" w:rightChars="20"/>
              <w:rPr>
                <w:rFonts w:hint="default" w:ascii="Arial" w:hAnsi="Arial" w:eastAsia="宋体" w:cs="Arial"/>
                <w:sz w:val="18"/>
                <w:szCs w:val="18"/>
              </w:rPr>
            </w:pPr>
          </w:p>
        </w:tc>
        <w:tc>
          <w:tcPr>
            <w:tcW w:w="305" w:type="pct"/>
            <w:vMerge w:val="continue"/>
            <w:vAlign w:val="center"/>
          </w:tcPr>
          <w:p w14:paraId="0C019C18">
            <w:pPr>
              <w:pStyle w:val="98"/>
              <w:spacing w:line="240" w:lineRule="auto"/>
              <w:ind w:left="42" w:leftChars="20" w:right="42" w:rightChars="20"/>
              <w:rPr>
                <w:rFonts w:hint="default" w:ascii="Arial" w:hAnsi="Arial" w:eastAsia="宋体" w:cs="Arial"/>
                <w:sz w:val="18"/>
                <w:szCs w:val="18"/>
              </w:rPr>
            </w:pPr>
          </w:p>
        </w:tc>
        <w:tc>
          <w:tcPr>
            <w:tcW w:w="1809" w:type="pct"/>
            <w:vAlign w:val="center"/>
          </w:tcPr>
          <w:p w14:paraId="421FEEF7">
            <w:pPr>
              <w:widowControl/>
              <w:ind w:left="42" w:leftChars="20" w:right="42" w:rightChars="20"/>
              <w:rPr>
                <w:rFonts w:hint="default" w:ascii="Arial" w:hAnsi="Arial" w:eastAsia="宋体" w:cs="Arial"/>
                <w:snapToGrid w:val="0"/>
                <w:sz w:val="18"/>
                <w:szCs w:val="18"/>
              </w:rPr>
            </w:pPr>
            <w:r>
              <w:rPr>
                <w:rFonts w:hint="default" w:ascii="Arial" w:hAnsi="Arial" w:eastAsia="宋体" w:cs="Arial"/>
                <w:sz w:val="18"/>
                <w:szCs w:val="18"/>
              </w:rPr>
              <w:t>开发区内日本电产科宝监测点20~30cm深土样砷超标0.01倍；其它测点和指标均能符合三级标准要求。联祥电镀监测点0~20 cm土壤样铜、镍、铬，30~60cm深土样镍；平湖城北大桥电镀制版厂原址监测点30~60cm深土样镍；平湖人民电镀塑料制品厂原址监测点0~20 cm土壤样铜、镍，20~30cm深土样铜、镍等总体比未开发区域的土壤监测值偏高，因此判断特征因子偏高是由于企业排放的污染物造成的。</w:t>
            </w:r>
          </w:p>
        </w:tc>
        <w:tc>
          <w:tcPr>
            <w:tcW w:w="1716" w:type="pct"/>
            <w:vAlign w:val="center"/>
          </w:tcPr>
          <w:p w14:paraId="2F8F30FC">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强化电镀企业的雨污分流措施、防渗漏措施的监督管理。</w:t>
            </w:r>
          </w:p>
        </w:tc>
        <w:tc>
          <w:tcPr>
            <w:tcW w:w="979" w:type="pct"/>
            <w:vAlign w:val="center"/>
          </w:tcPr>
          <w:p w14:paraId="1731DF43">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2017年完成</w:t>
            </w:r>
          </w:p>
        </w:tc>
      </w:tr>
      <w:tr w14:paraId="6F02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Merge w:val="continue"/>
            <w:vAlign w:val="center"/>
          </w:tcPr>
          <w:p w14:paraId="7E709B83">
            <w:pPr>
              <w:pStyle w:val="98"/>
              <w:spacing w:line="240" w:lineRule="auto"/>
              <w:ind w:left="42" w:leftChars="20" w:right="42" w:rightChars="20"/>
              <w:rPr>
                <w:rFonts w:hint="default" w:ascii="Arial" w:hAnsi="Arial" w:eastAsia="宋体" w:cs="Arial"/>
                <w:sz w:val="18"/>
                <w:szCs w:val="18"/>
              </w:rPr>
            </w:pPr>
          </w:p>
        </w:tc>
        <w:tc>
          <w:tcPr>
            <w:tcW w:w="305" w:type="pct"/>
            <w:vMerge w:val="continue"/>
            <w:vAlign w:val="center"/>
          </w:tcPr>
          <w:p w14:paraId="2C62B9B7">
            <w:pPr>
              <w:pStyle w:val="98"/>
              <w:spacing w:line="240" w:lineRule="auto"/>
              <w:ind w:left="42" w:leftChars="20" w:right="42" w:rightChars="20"/>
              <w:rPr>
                <w:rFonts w:hint="default" w:ascii="Arial" w:hAnsi="Arial" w:eastAsia="宋体" w:cs="Arial"/>
                <w:sz w:val="18"/>
                <w:szCs w:val="18"/>
              </w:rPr>
            </w:pPr>
          </w:p>
        </w:tc>
        <w:tc>
          <w:tcPr>
            <w:tcW w:w="1809" w:type="pct"/>
            <w:vAlign w:val="center"/>
          </w:tcPr>
          <w:p w14:paraId="154D404E">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华鼎日用品雨水排放口附近监测点附近底泥中镍、铬超标，超标倍数分别为0.035倍、1.42倍；联祥电镀雨水排放口附近监测点底泥中镉超标0.49倍；其余各项指标能达到GB15618-1995《土壤环境质量标准》三级标准。</w:t>
            </w:r>
          </w:p>
          <w:p w14:paraId="386F4493">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日本电产科宝雨水排放口附近监测点底泥中锌、铜、镍、铬；瑞星金属雨水排放口附近监测点底泥中锌、铜、镍相对较高。</w:t>
            </w:r>
          </w:p>
          <w:p w14:paraId="2EB9D9F3">
            <w:pPr>
              <w:widowControl/>
              <w:ind w:left="42" w:leftChars="20" w:right="42" w:rightChars="20"/>
              <w:rPr>
                <w:rFonts w:hint="default" w:ascii="Arial" w:hAnsi="Arial" w:eastAsia="宋体" w:cs="Arial"/>
                <w:snapToGrid w:val="0"/>
                <w:sz w:val="18"/>
                <w:szCs w:val="18"/>
              </w:rPr>
            </w:pPr>
            <w:r>
              <w:rPr>
                <w:rFonts w:hint="default" w:ascii="Arial" w:hAnsi="Arial" w:eastAsia="宋体" w:cs="Arial"/>
                <w:sz w:val="18"/>
                <w:szCs w:val="18"/>
              </w:rPr>
              <w:t>总体来看，电镀企业雨水排放口附近河道底泥环境已受到一定的污染，分析其原因，可能是由于日本电产科宝、瑞星金属、华鼎日用品、联祥电镀等企业未完全落实好雨污分流措施或跑冒滴漏工艺废水进入雨水管道，重金属污染物经雨水排放口进入内河水体后，逐步在河道中沉积，造成底泥中部分重金属超标或偏高。</w:t>
            </w:r>
          </w:p>
        </w:tc>
        <w:tc>
          <w:tcPr>
            <w:tcW w:w="1716" w:type="pct"/>
            <w:vAlign w:val="center"/>
          </w:tcPr>
          <w:p w14:paraId="126BDA06">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（1）强化电镀企业的雨污分流措施，建议对重点企业雨水排放口加强监督监测。</w:t>
            </w:r>
          </w:p>
          <w:p w14:paraId="6C469AF2">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（2）在推进河道疏浚工程中，进一步对超标范围进行调查，并对超标底泥按环保规范处置。</w:t>
            </w:r>
          </w:p>
        </w:tc>
        <w:tc>
          <w:tcPr>
            <w:tcW w:w="979" w:type="pct"/>
            <w:vAlign w:val="center"/>
          </w:tcPr>
          <w:p w14:paraId="68C07D9D">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十三五期间完成</w:t>
            </w:r>
          </w:p>
        </w:tc>
      </w:tr>
      <w:tr w14:paraId="2F1E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Merge w:val="restart"/>
            <w:vAlign w:val="center"/>
          </w:tcPr>
          <w:p w14:paraId="6F8FAF95">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6</w:t>
            </w:r>
          </w:p>
        </w:tc>
        <w:tc>
          <w:tcPr>
            <w:tcW w:w="305" w:type="pct"/>
            <w:vMerge w:val="restart"/>
            <w:vAlign w:val="center"/>
          </w:tcPr>
          <w:p w14:paraId="26BEDB55">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环境管理</w:t>
            </w:r>
          </w:p>
        </w:tc>
        <w:tc>
          <w:tcPr>
            <w:tcW w:w="1809" w:type="pct"/>
            <w:vAlign w:val="center"/>
          </w:tcPr>
          <w:p w14:paraId="435F9314">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园区内现有企业并未完全执行环境影响评价制度和“三同时”制度。</w:t>
            </w:r>
          </w:p>
        </w:tc>
        <w:tc>
          <w:tcPr>
            <w:tcW w:w="1716" w:type="pct"/>
            <w:vAlign w:val="center"/>
          </w:tcPr>
          <w:p w14:paraId="7E95CC4F">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落实环评制度及“三同时”制度，严禁未经环保审批的项目入园；不符合条件的企业应进行关停；对于未进行竣工环保验收的企业，应摸清原因，根据其具体情况敦促企业加快完成竣工环保验收。</w:t>
            </w:r>
          </w:p>
        </w:tc>
        <w:tc>
          <w:tcPr>
            <w:tcW w:w="979" w:type="pct"/>
            <w:vAlign w:val="center"/>
          </w:tcPr>
          <w:p w14:paraId="06498A2B">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未批先建项目和2014年12月31日前的已批未验项目已于2016年底前清理完成。2015年1月1日后审批项目280项，完成验收59项。</w:t>
            </w:r>
          </w:p>
        </w:tc>
      </w:tr>
      <w:tr w14:paraId="0402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Merge w:val="continue"/>
            <w:vAlign w:val="center"/>
          </w:tcPr>
          <w:p w14:paraId="63B91299">
            <w:pPr>
              <w:pStyle w:val="98"/>
              <w:spacing w:line="240" w:lineRule="auto"/>
              <w:ind w:left="42" w:leftChars="20" w:right="42" w:rightChars="20"/>
              <w:rPr>
                <w:rFonts w:hint="default" w:ascii="Arial" w:hAnsi="Arial" w:eastAsia="宋体" w:cs="Arial"/>
                <w:sz w:val="18"/>
                <w:szCs w:val="18"/>
              </w:rPr>
            </w:pPr>
          </w:p>
        </w:tc>
        <w:tc>
          <w:tcPr>
            <w:tcW w:w="305" w:type="pct"/>
            <w:vMerge w:val="continue"/>
            <w:vAlign w:val="center"/>
          </w:tcPr>
          <w:p w14:paraId="759E7BA9">
            <w:pPr>
              <w:pStyle w:val="98"/>
              <w:spacing w:line="240" w:lineRule="auto"/>
              <w:ind w:left="42" w:leftChars="20" w:right="42" w:rightChars="20"/>
              <w:rPr>
                <w:rFonts w:hint="default" w:ascii="Arial" w:hAnsi="Arial" w:eastAsia="宋体" w:cs="Arial"/>
                <w:sz w:val="18"/>
                <w:szCs w:val="18"/>
              </w:rPr>
            </w:pPr>
          </w:p>
        </w:tc>
        <w:tc>
          <w:tcPr>
            <w:tcW w:w="1809" w:type="pct"/>
            <w:vAlign w:val="center"/>
          </w:tcPr>
          <w:p w14:paraId="3C199D02">
            <w:pPr>
              <w:widowControl/>
              <w:ind w:left="42" w:leftChars="20" w:right="42" w:rightChars="20"/>
              <w:rPr>
                <w:rFonts w:hint="default" w:ascii="Arial" w:hAnsi="Arial" w:eastAsia="宋体" w:cs="Arial"/>
                <w:b/>
                <w:sz w:val="18"/>
                <w:szCs w:val="18"/>
              </w:rPr>
            </w:pPr>
            <w:r>
              <w:rPr>
                <w:rFonts w:hint="default" w:ascii="Arial" w:hAnsi="Arial" w:eastAsia="宋体" w:cs="Arial"/>
                <w:sz w:val="18"/>
                <w:szCs w:val="18"/>
              </w:rPr>
              <w:t>整个园区尚未编制环境事件应急预案，无应急防范体系。</w:t>
            </w:r>
          </w:p>
        </w:tc>
        <w:tc>
          <w:tcPr>
            <w:tcW w:w="1716" w:type="pct"/>
            <w:vAlign w:val="center"/>
          </w:tcPr>
          <w:p w14:paraId="5EE56182">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开发区管委会应按照最新要求编制环境事件应急预案，组织应急处置演习，建立防范体系。</w:t>
            </w:r>
          </w:p>
        </w:tc>
        <w:tc>
          <w:tcPr>
            <w:tcW w:w="979" w:type="pct"/>
            <w:vAlign w:val="center"/>
          </w:tcPr>
          <w:p w14:paraId="622971F6">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2017年12月前完成开发区应急预案编制和演习。</w:t>
            </w:r>
          </w:p>
        </w:tc>
      </w:tr>
      <w:tr w14:paraId="7CB8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Merge w:val="continue"/>
            <w:vAlign w:val="center"/>
          </w:tcPr>
          <w:p w14:paraId="16CB7A44">
            <w:pPr>
              <w:pStyle w:val="98"/>
              <w:spacing w:line="240" w:lineRule="auto"/>
              <w:ind w:left="42" w:leftChars="20" w:right="42" w:rightChars="20"/>
              <w:rPr>
                <w:rFonts w:hint="default" w:ascii="Arial" w:hAnsi="Arial" w:eastAsia="宋体" w:cs="Arial"/>
                <w:sz w:val="18"/>
                <w:szCs w:val="18"/>
              </w:rPr>
            </w:pPr>
          </w:p>
        </w:tc>
        <w:tc>
          <w:tcPr>
            <w:tcW w:w="305" w:type="pct"/>
            <w:vMerge w:val="continue"/>
            <w:vAlign w:val="center"/>
          </w:tcPr>
          <w:p w14:paraId="78FE7CEE">
            <w:pPr>
              <w:pStyle w:val="98"/>
              <w:spacing w:line="240" w:lineRule="auto"/>
              <w:ind w:left="42" w:leftChars="20" w:right="42" w:rightChars="20"/>
              <w:rPr>
                <w:rFonts w:hint="default" w:ascii="Arial" w:hAnsi="Arial" w:eastAsia="宋体" w:cs="Arial"/>
                <w:sz w:val="18"/>
                <w:szCs w:val="18"/>
              </w:rPr>
            </w:pPr>
          </w:p>
        </w:tc>
        <w:tc>
          <w:tcPr>
            <w:tcW w:w="1809" w:type="pct"/>
            <w:vAlign w:val="center"/>
          </w:tcPr>
          <w:p w14:paraId="0F846BFC">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水环境、声环境质量超标</w:t>
            </w:r>
          </w:p>
        </w:tc>
        <w:tc>
          <w:tcPr>
            <w:tcW w:w="1716" w:type="pct"/>
            <w:vAlign w:val="center"/>
          </w:tcPr>
          <w:p w14:paraId="0A594692">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深入推进五水共治，特别是农村生活污水和住宅阳台水的纳管工作，改善水环境。</w:t>
            </w:r>
          </w:p>
          <w:p w14:paraId="3FB2AB3E">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加强道路交通管理，改善声环境。</w:t>
            </w:r>
          </w:p>
        </w:tc>
        <w:tc>
          <w:tcPr>
            <w:tcW w:w="979" w:type="pct"/>
            <w:vAlign w:val="center"/>
          </w:tcPr>
          <w:p w14:paraId="2A256B60">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结合全市五水共治计划推进。</w:t>
            </w:r>
          </w:p>
        </w:tc>
      </w:tr>
      <w:tr w14:paraId="02360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46" w:hRule="atLeast"/>
          <w:jc w:val="center"/>
        </w:trPr>
        <w:tc>
          <w:tcPr>
            <w:tcW w:w="191" w:type="pct"/>
            <w:vMerge w:val="continue"/>
            <w:vAlign w:val="center"/>
          </w:tcPr>
          <w:p w14:paraId="7CF3AD00">
            <w:pPr>
              <w:pStyle w:val="98"/>
              <w:spacing w:line="240" w:lineRule="auto"/>
              <w:ind w:left="42" w:leftChars="20" w:right="42" w:rightChars="20"/>
              <w:rPr>
                <w:rFonts w:hint="default" w:ascii="Arial" w:hAnsi="Arial" w:eastAsia="宋体" w:cs="Arial"/>
                <w:sz w:val="18"/>
                <w:szCs w:val="18"/>
              </w:rPr>
            </w:pPr>
          </w:p>
        </w:tc>
        <w:tc>
          <w:tcPr>
            <w:tcW w:w="305" w:type="pct"/>
            <w:vMerge w:val="continue"/>
            <w:vAlign w:val="center"/>
          </w:tcPr>
          <w:p w14:paraId="7481E0E6">
            <w:pPr>
              <w:pStyle w:val="98"/>
              <w:spacing w:line="240" w:lineRule="auto"/>
              <w:ind w:left="42" w:leftChars="20" w:right="42" w:rightChars="20"/>
              <w:rPr>
                <w:rFonts w:hint="default" w:ascii="Arial" w:hAnsi="Arial" w:eastAsia="宋体" w:cs="Arial"/>
                <w:sz w:val="18"/>
                <w:szCs w:val="18"/>
              </w:rPr>
            </w:pPr>
          </w:p>
        </w:tc>
        <w:tc>
          <w:tcPr>
            <w:tcW w:w="1809" w:type="pct"/>
            <w:vAlign w:val="center"/>
          </w:tcPr>
          <w:p w14:paraId="62B4AD1F">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土壤、河道底泥超标</w:t>
            </w:r>
          </w:p>
        </w:tc>
        <w:tc>
          <w:tcPr>
            <w:tcW w:w="1716" w:type="pct"/>
            <w:vAlign w:val="center"/>
          </w:tcPr>
          <w:p w14:paraId="3BB0B318">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建议对电镀、印染、造纸、酸洗企业严格跑冒滴漏、雨污分流系统的管理，加强对雨水口监督监测。</w:t>
            </w:r>
          </w:p>
        </w:tc>
        <w:tc>
          <w:tcPr>
            <w:tcW w:w="979" w:type="pct"/>
            <w:vAlign w:val="center"/>
          </w:tcPr>
          <w:p w14:paraId="49E4818F">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对6家电镀企业及印染、造纸、酸洗企业于2017完成排查整治</w:t>
            </w:r>
          </w:p>
        </w:tc>
      </w:tr>
      <w:tr w14:paraId="0442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Align w:val="center"/>
          </w:tcPr>
          <w:p w14:paraId="3E816065">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7</w:t>
            </w:r>
          </w:p>
        </w:tc>
        <w:tc>
          <w:tcPr>
            <w:tcW w:w="305" w:type="pct"/>
            <w:vAlign w:val="center"/>
          </w:tcPr>
          <w:p w14:paraId="6B0736BD">
            <w:pPr>
              <w:pStyle w:val="98"/>
              <w:spacing w:line="240" w:lineRule="auto"/>
              <w:ind w:left="42" w:leftChars="20" w:right="42" w:rightChars="20"/>
              <w:jc w:val="both"/>
              <w:rPr>
                <w:rFonts w:hint="default" w:ascii="Arial" w:hAnsi="Arial" w:eastAsia="宋体" w:cs="Arial"/>
                <w:sz w:val="18"/>
                <w:szCs w:val="18"/>
              </w:rPr>
            </w:pPr>
            <w:r>
              <w:rPr>
                <w:rFonts w:hint="default" w:ascii="Arial" w:hAnsi="Arial" w:eastAsia="宋体" w:cs="Arial"/>
                <w:sz w:val="18"/>
                <w:szCs w:val="18"/>
              </w:rPr>
              <w:t>资源利用</w:t>
            </w:r>
          </w:p>
        </w:tc>
        <w:tc>
          <w:tcPr>
            <w:tcW w:w="1809" w:type="pct"/>
            <w:vAlign w:val="center"/>
          </w:tcPr>
          <w:p w14:paraId="36F7F1AE">
            <w:pPr>
              <w:pStyle w:val="109"/>
              <w:ind w:firstLine="360" w:firstLineChars="200"/>
              <w:jc w:val="both"/>
              <w:rPr>
                <w:rFonts w:hint="default" w:ascii="Arial" w:hAnsi="Arial" w:eastAsia="宋体" w:cs="Arial"/>
                <w:sz w:val="18"/>
                <w:szCs w:val="18"/>
              </w:rPr>
            </w:pPr>
            <w:r>
              <w:rPr>
                <w:rFonts w:hint="default" w:ascii="Arial" w:hAnsi="Arial" w:eastAsia="宋体" w:cs="Arial"/>
                <w:sz w:val="18"/>
                <w:szCs w:val="18"/>
              </w:rPr>
              <w:t>土地利用效率不高，个别企业厂区内存在部分闲置土地和厂房，部分工业用地配置在产能过剩、经济效益差、科技含量低的项目上。</w:t>
            </w:r>
          </w:p>
          <w:p w14:paraId="63837899">
            <w:pPr>
              <w:widowControl/>
              <w:ind w:left="42" w:leftChars="20" w:right="42" w:rightChars="20"/>
              <w:rPr>
                <w:rFonts w:hint="default" w:ascii="Arial" w:hAnsi="Arial" w:eastAsia="宋体" w:cs="Arial"/>
                <w:b/>
                <w:sz w:val="18"/>
                <w:szCs w:val="18"/>
              </w:rPr>
            </w:pPr>
            <w:r>
              <w:rPr>
                <w:rFonts w:hint="default" w:ascii="Arial" w:hAnsi="Arial" w:eastAsia="宋体" w:cs="Arial"/>
                <w:sz w:val="18"/>
                <w:szCs w:val="18"/>
              </w:rPr>
              <w:t>单位工业增加值的资源、能耗消耗过大；开展中水回用的企业少。</w:t>
            </w:r>
          </w:p>
        </w:tc>
        <w:tc>
          <w:tcPr>
            <w:tcW w:w="1716" w:type="pct"/>
            <w:vAlign w:val="center"/>
          </w:tcPr>
          <w:p w14:paraId="0654CFF5">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积极鼓励企业对现有工业项目加大投资力度，开展技术改造，促进传统产业转型升级。充分提高园区的土地利用率，有效缓解用地紧张的局面。</w:t>
            </w:r>
          </w:p>
          <w:p w14:paraId="2C37C211">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建议有关部门就产业结构上予以优化配置，并对区域内企业进行生态化改造，采用清洁能源，提高园区内企业的资源能源利用效率，降低废水、废气的排放。</w:t>
            </w:r>
          </w:p>
        </w:tc>
        <w:tc>
          <w:tcPr>
            <w:tcW w:w="979" w:type="pct"/>
            <w:vAlign w:val="center"/>
          </w:tcPr>
          <w:p w14:paraId="4808975C">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“十三五”期间依据平湖市绩效排名开展低效企业的关停或转产改造。</w:t>
            </w:r>
          </w:p>
          <w:p w14:paraId="2F532AD8">
            <w:pPr>
              <w:widowControl/>
              <w:ind w:left="42" w:leftChars="20" w:right="42" w:rightChars="20"/>
              <w:rPr>
                <w:rFonts w:hint="default" w:ascii="Arial" w:hAnsi="Arial" w:eastAsia="宋体" w:cs="Arial"/>
                <w:sz w:val="18"/>
                <w:szCs w:val="18"/>
              </w:rPr>
            </w:pPr>
            <w:r>
              <w:rPr>
                <w:rFonts w:hint="default" w:ascii="Arial" w:hAnsi="Arial" w:eastAsia="宋体" w:cs="Arial"/>
                <w:sz w:val="18"/>
                <w:szCs w:val="18"/>
              </w:rPr>
              <w:t>加大现有闲置土地和厂房的招商力度。</w:t>
            </w:r>
          </w:p>
        </w:tc>
      </w:tr>
      <w:tr w14:paraId="2442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Align w:val="center"/>
          </w:tcPr>
          <w:p w14:paraId="457D1C3D">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8</w:t>
            </w:r>
          </w:p>
        </w:tc>
        <w:tc>
          <w:tcPr>
            <w:tcW w:w="305" w:type="pct"/>
            <w:vAlign w:val="center"/>
          </w:tcPr>
          <w:p w14:paraId="30C52007">
            <w:pPr>
              <w:pStyle w:val="98"/>
              <w:spacing w:line="240" w:lineRule="auto"/>
              <w:ind w:left="42" w:leftChars="20" w:right="42" w:rightChars="20"/>
              <w:jc w:val="both"/>
              <w:rPr>
                <w:rFonts w:hint="default" w:ascii="Arial" w:hAnsi="Arial" w:eastAsia="宋体" w:cs="Arial"/>
                <w:sz w:val="18"/>
                <w:szCs w:val="18"/>
              </w:rPr>
            </w:pPr>
            <w:r>
              <w:rPr>
                <w:rFonts w:hint="default" w:ascii="Arial" w:hAnsi="Arial" w:eastAsia="宋体" w:cs="Arial"/>
                <w:snapToGrid w:val="0"/>
                <w:sz w:val="18"/>
                <w:szCs w:val="18"/>
              </w:rPr>
              <w:t>环境风险应急体系建设</w:t>
            </w:r>
          </w:p>
        </w:tc>
        <w:tc>
          <w:tcPr>
            <w:tcW w:w="1809" w:type="pct"/>
            <w:vAlign w:val="center"/>
          </w:tcPr>
          <w:p w14:paraId="1311FAE3">
            <w:pPr>
              <w:pStyle w:val="98"/>
              <w:spacing w:line="240" w:lineRule="auto"/>
              <w:rPr>
                <w:rFonts w:hint="default" w:ascii="Arial" w:hAnsi="Arial" w:eastAsia="宋体" w:cs="Arial"/>
                <w:sz w:val="18"/>
                <w:szCs w:val="18"/>
              </w:rPr>
            </w:pPr>
            <w:r>
              <w:rPr>
                <w:rFonts w:hint="default" w:ascii="Arial" w:hAnsi="Arial" w:eastAsia="宋体" w:cs="Arial"/>
                <w:sz w:val="18"/>
                <w:szCs w:val="18"/>
              </w:rPr>
              <w:t>环境风险应急能力薄弱</w:t>
            </w:r>
          </w:p>
        </w:tc>
        <w:tc>
          <w:tcPr>
            <w:tcW w:w="1716" w:type="pct"/>
            <w:vAlign w:val="center"/>
          </w:tcPr>
          <w:p w14:paraId="09BF1A96">
            <w:pPr>
              <w:pStyle w:val="98"/>
              <w:spacing w:line="240" w:lineRule="auto"/>
              <w:jc w:val="both"/>
              <w:rPr>
                <w:rFonts w:hint="default" w:ascii="Arial" w:hAnsi="Arial" w:eastAsia="宋体" w:cs="Arial"/>
                <w:sz w:val="18"/>
                <w:szCs w:val="18"/>
              </w:rPr>
            </w:pPr>
            <w:r>
              <w:rPr>
                <w:rFonts w:hint="default" w:ascii="Arial" w:hAnsi="Arial" w:eastAsia="宋体" w:cs="Arial"/>
                <w:sz w:val="18"/>
                <w:szCs w:val="18"/>
              </w:rPr>
              <w:t>建议加强突发性事故特性及实例的研究，设立环境管理与监控室，定期进行风险排查。加强与平湖市环境保护监测站的合作，加大监控力度，建立年度例行监测机制，购置一定的监测设备，提升自身监察能力。</w:t>
            </w:r>
          </w:p>
          <w:p w14:paraId="50D641EA">
            <w:pPr>
              <w:widowControl/>
              <w:ind w:right="42" w:rightChars="20"/>
              <w:rPr>
                <w:rFonts w:hint="default" w:ascii="Arial" w:hAnsi="Arial" w:eastAsia="宋体" w:cs="Arial"/>
                <w:sz w:val="18"/>
                <w:szCs w:val="18"/>
              </w:rPr>
            </w:pPr>
            <w:r>
              <w:rPr>
                <w:rFonts w:hint="default" w:ascii="Arial" w:hAnsi="Arial" w:eastAsia="宋体" w:cs="Arial"/>
                <w:sz w:val="18"/>
                <w:szCs w:val="18"/>
              </w:rPr>
              <w:t>开展区域环境风险预警体系研究，降低园区内危险化学品使用企业对园区内外居民的环境风险影响。</w:t>
            </w:r>
          </w:p>
        </w:tc>
        <w:tc>
          <w:tcPr>
            <w:tcW w:w="979" w:type="pct"/>
            <w:vAlign w:val="center"/>
          </w:tcPr>
          <w:p w14:paraId="230253CC">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“十三五”期间重点推进</w:t>
            </w:r>
          </w:p>
        </w:tc>
      </w:tr>
      <w:tr w14:paraId="30DF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1" w:type="pct"/>
            <w:vAlign w:val="center"/>
          </w:tcPr>
          <w:p w14:paraId="6E56C139">
            <w:pPr>
              <w:pStyle w:val="98"/>
              <w:spacing w:line="240" w:lineRule="auto"/>
              <w:ind w:left="42" w:leftChars="20" w:right="42" w:rightChars="20"/>
              <w:rPr>
                <w:rFonts w:hint="default" w:ascii="Arial" w:hAnsi="Arial" w:eastAsia="宋体" w:cs="Arial"/>
                <w:sz w:val="18"/>
                <w:szCs w:val="18"/>
              </w:rPr>
            </w:pPr>
            <w:r>
              <w:rPr>
                <w:rFonts w:hint="default" w:ascii="Arial" w:hAnsi="Arial" w:eastAsia="宋体" w:cs="Arial"/>
                <w:sz w:val="18"/>
                <w:szCs w:val="18"/>
              </w:rPr>
              <w:t>9</w:t>
            </w:r>
          </w:p>
        </w:tc>
        <w:tc>
          <w:tcPr>
            <w:tcW w:w="305" w:type="pct"/>
            <w:vAlign w:val="center"/>
          </w:tcPr>
          <w:p w14:paraId="52B2BDAB">
            <w:pPr>
              <w:pStyle w:val="98"/>
              <w:spacing w:line="240" w:lineRule="auto"/>
              <w:ind w:left="42" w:leftChars="20" w:right="42" w:rightChars="20"/>
              <w:rPr>
                <w:rFonts w:hint="default" w:ascii="Arial" w:hAnsi="Arial" w:eastAsia="宋体" w:cs="Arial"/>
                <w:snapToGrid w:val="0"/>
                <w:sz w:val="18"/>
                <w:szCs w:val="18"/>
              </w:rPr>
            </w:pPr>
            <w:r>
              <w:rPr>
                <w:rFonts w:hint="default" w:ascii="Arial" w:hAnsi="Arial" w:eastAsia="宋体" w:cs="Arial"/>
                <w:snapToGrid w:val="0"/>
                <w:sz w:val="18"/>
                <w:szCs w:val="18"/>
              </w:rPr>
              <w:t>其它</w:t>
            </w:r>
          </w:p>
        </w:tc>
        <w:tc>
          <w:tcPr>
            <w:tcW w:w="1809" w:type="pct"/>
            <w:vAlign w:val="center"/>
          </w:tcPr>
          <w:p w14:paraId="67129062">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平湖河道滨岸带-公路防护绿带生态保障区内现有三类工业项目（平湖市金象纺织品公司（印染）、平湖联祥电镀科技有限公司（电镀）、浙江荣晟环保纸业股份有限公司（造纸）3家企业）</w:t>
            </w:r>
          </w:p>
        </w:tc>
        <w:tc>
          <w:tcPr>
            <w:tcW w:w="1716" w:type="pct"/>
            <w:vAlign w:val="center"/>
          </w:tcPr>
          <w:p w14:paraId="58FB01BA">
            <w:pPr>
              <w:widowControl/>
              <w:ind w:left="42" w:leftChars="20" w:right="42" w:rightChars="20" w:firstLine="360" w:firstLineChars="200"/>
              <w:rPr>
                <w:rFonts w:hint="default" w:ascii="Arial" w:hAnsi="Arial" w:eastAsia="宋体" w:cs="Arial"/>
                <w:sz w:val="18"/>
                <w:szCs w:val="18"/>
              </w:rPr>
            </w:pPr>
            <w:r>
              <w:rPr>
                <w:rFonts w:hint="default" w:ascii="Arial" w:hAnsi="Arial" w:eastAsia="宋体" w:cs="Arial"/>
                <w:sz w:val="18"/>
                <w:szCs w:val="18"/>
              </w:rPr>
              <w:t>厂区局部在生态保障区内，对位于保障区内的平面布局进行优化改造</w:t>
            </w:r>
          </w:p>
        </w:tc>
        <w:tc>
          <w:tcPr>
            <w:tcW w:w="979" w:type="pct"/>
            <w:vAlign w:val="center"/>
          </w:tcPr>
          <w:p w14:paraId="6CB8B4BE">
            <w:pPr>
              <w:widowControl/>
              <w:ind w:left="42" w:leftChars="20" w:right="42" w:rightChars="20"/>
              <w:jc w:val="center"/>
              <w:rPr>
                <w:rFonts w:hint="default" w:ascii="Arial" w:hAnsi="Arial" w:eastAsia="宋体" w:cs="Arial"/>
                <w:sz w:val="18"/>
                <w:szCs w:val="18"/>
              </w:rPr>
            </w:pPr>
            <w:r>
              <w:rPr>
                <w:rFonts w:hint="default" w:ascii="Arial" w:hAnsi="Arial" w:eastAsia="宋体" w:cs="Arial"/>
                <w:sz w:val="18"/>
                <w:szCs w:val="18"/>
              </w:rPr>
              <w:t>“十三五”期间完成</w:t>
            </w:r>
          </w:p>
        </w:tc>
      </w:tr>
    </w:tbl>
    <w:p w14:paraId="4FCCE36E">
      <w:pPr>
        <w:pStyle w:val="76"/>
        <w:keepNext w:val="0"/>
        <w:keepLines w:val="0"/>
        <w:pageBreakBefore w:val="0"/>
        <w:widowControl w:val="0"/>
        <w:numPr>
          <w:ilvl w:val="3"/>
          <w:numId w:val="4"/>
        </w:numPr>
        <w:kinsoku/>
        <w:wordWrap/>
        <w:overflowPunct/>
        <w:topLinePunct w:val="0"/>
        <w:autoSpaceDE/>
        <w:autoSpaceDN/>
        <w:bidi w:val="0"/>
        <w:adjustRightInd/>
        <w:snapToGrid/>
        <w:spacing w:before="171" w:beforeLines="50"/>
        <w:ind w:left="777" w:leftChars="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平湖经济开发区污染物排放总量管控限值清单</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2103"/>
        <w:gridCol w:w="2996"/>
        <w:gridCol w:w="2721"/>
        <w:gridCol w:w="2321"/>
        <w:gridCol w:w="1653"/>
      </w:tblGrid>
      <w:tr w14:paraId="63C2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9" w:type="pct"/>
            <w:gridSpan w:val="3"/>
            <w:shd w:val="clear" w:color="auto" w:fill="auto"/>
            <w:vAlign w:val="center"/>
          </w:tcPr>
          <w:p w14:paraId="7AFFF771">
            <w:pPr>
              <w:pStyle w:val="110"/>
              <w:adjustRightInd w:val="0"/>
              <w:snapToGrid w:val="0"/>
              <w:spacing w:before="0" w:line="240" w:lineRule="auto"/>
              <w:ind w:firstLine="420"/>
              <w:rPr>
                <w:rFonts w:hint="default" w:ascii="Arial" w:hAnsi="Arial" w:eastAsia="宋体" w:cs="Arial"/>
                <w:bCs w:val="0"/>
                <w:sz w:val="18"/>
                <w:szCs w:val="18"/>
              </w:rPr>
            </w:pPr>
            <w:r>
              <w:rPr>
                <w:rFonts w:hint="default" w:ascii="Arial" w:hAnsi="Arial" w:eastAsia="宋体" w:cs="Arial"/>
                <w:sz w:val="18"/>
                <w:szCs w:val="18"/>
              </w:rPr>
              <w:t>污染物</w:t>
            </w:r>
          </w:p>
        </w:tc>
        <w:tc>
          <w:tcPr>
            <w:tcW w:w="1000" w:type="pct"/>
            <w:shd w:val="clear" w:color="auto" w:fill="auto"/>
            <w:vAlign w:val="center"/>
          </w:tcPr>
          <w:p w14:paraId="4D6A68E9">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总量限值</w:t>
            </w:r>
          </w:p>
        </w:tc>
        <w:tc>
          <w:tcPr>
            <w:tcW w:w="853" w:type="pct"/>
            <w:shd w:val="clear" w:color="auto" w:fill="auto"/>
            <w:vAlign w:val="center"/>
          </w:tcPr>
          <w:p w14:paraId="0F37D6A0">
            <w:pPr>
              <w:adjustRightInd w:val="0"/>
              <w:snapToGrid w:val="0"/>
              <w:jc w:val="center"/>
              <w:rPr>
                <w:rFonts w:hint="default" w:ascii="Arial" w:hAnsi="Arial" w:eastAsia="宋体" w:cs="Arial"/>
                <w:sz w:val="18"/>
                <w:szCs w:val="18"/>
              </w:rPr>
            </w:pPr>
            <w:r>
              <w:rPr>
                <w:rFonts w:hint="default" w:ascii="Arial" w:hAnsi="Arial" w:eastAsia="宋体" w:cs="Arial"/>
                <w:sz w:val="18"/>
                <w:szCs w:val="18"/>
              </w:rPr>
              <w:t>环境质量变化趋势，能否达环境质量底线</w:t>
            </w:r>
          </w:p>
        </w:tc>
        <w:tc>
          <w:tcPr>
            <w:tcW w:w="608" w:type="pct"/>
            <w:shd w:val="clear" w:color="auto" w:fill="auto"/>
            <w:vAlign w:val="center"/>
          </w:tcPr>
          <w:p w14:paraId="7ABDFEEC">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备注</w:t>
            </w:r>
          </w:p>
        </w:tc>
      </w:tr>
      <w:tr w14:paraId="7226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restart"/>
            <w:shd w:val="clear" w:color="auto" w:fill="auto"/>
            <w:vAlign w:val="center"/>
          </w:tcPr>
          <w:p w14:paraId="061AD8F8">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水污染物总量管控限值</w:t>
            </w:r>
          </w:p>
        </w:tc>
        <w:tc>
          <w:tcPr>
            <w:tcW w:w="773" w:type="pct"/>
            <w:vMerge w:val="restart"/>
            <w:shd w:val="clear" w:color="auto" w:fill="auto"/>
            <w:vAlign w:val="center"/>
          </w:tcPr>
          <w:p w14:paraId="0E33DCEF">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化学需氧量（COD）</w:t>
            </w:r>
          </w:p>
        </w:tc>
        <w:tc>
          <w:tcPr>
            <w:tcW w:w="1101" w:type="pct"/>
            <w:shd w:val="clear" w:color="auto" w:fill="auto"/>
            <w:vAlign w:val="center"/>
          </w:tcPr>
          <w:p w14:paraId="257EE6C3">
            <w:pPr>
              <w:adjustRightInd w:val="0"/>
              <w:snapToGrid w:val="0"/>
              <w:jc w:val="center"/>
              <w:rPr>
                <w:rFonts w:hint="default" w:ascii="Arial" w:hAnsi="Arial" w:eastAsia="宋体" w:cs="Arial"/>
                <w:sz w:val="18"/>
                <w:szCs w:val="18"/>
              </w:rPr>
            </w:pPr>
            <w:r>
              <w:rPr>
                <w:rFonts w:hint="default" w:ascii="Arial" w:hAnsi="Arial" w:eastAsia="宋体" w:cs="Arial"/>
                <w:sz w:val="18"/>
                <w:szCs w:val="18"/>
              </w:rPr>
              <w:t>现状排放量(t/a)</w:t>
            </w:r>
          </w:p>
        </w:tc>
        <w:tc>
          <w:tcPr>
            <w:tcW w:w="1000" w:type="pct"/>
            <w:shd w:val="clear" w:color="auto" w:fill="auto"/>
            <w:vAlign w:val="center"/>
          </w:tcPr>
          <w:p w14:paraId="5B845FE6">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507.22</w:t>
            </w:r>
          </w:p>
        </w:tc>
        <w:tc>
          <w:tcPr>
            <w:tcW w:w="853" w:type="pct"/>
            <w:vMerge w:val="restart"/>
            <w:shd w:val="clear" w:color="auto" w:fill="auto"/>
            <w:vAlign w:val="center"/>
          </w:tcPr>
          <w:p w14:paraId="7D0C6835">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能</w:t>
            </w:r>
          </w:p>
        </w:tc>
        <w:tc>
          <w:tcPr>
            <w:tcW w:w="608" w:type="pct"/>
            <w:vMerge w:val="restart"/>
            <w:shd w:val="clear" w:color="auto" w:fill="auto"/>
            <w:vAlign w:val="center"/>
          </w:tcPr>
          <w:p w14:paraId="60F5CC2B">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环评成果预测值</w:t>
            </w:r>
          </w:p>
        </w:tc>
      </w:tr>
      <w:tr w14:paraId="33D4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090332BA">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0FB20F2E">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46C62F09">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总量管控限值(t/a)</w:t>
            </w:r>
          </w:p>
        </w:tc>
        <w:tc>
          <w:tcPr>
            <w:tcW w:w="1000" w:type="pct"/>
            <w:shd w:val="clear" w:color="auto" w:fill="auto"/>
            <w:vAlign w:val="center"/>
          </w:tcPr>
          <w:p w14:paraId="40381205">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sz w:val="18"/>
                <w:szCs w:val="18"/>
              </w:rPr>
              <w:t>≤1432.6</w:t>
            </w:r>
          </w:p>
        </w:tc>
        <w:tc>
          <w:tcPr>
            <w:tcW w:w="853" w:type="pct"/>
            <w:vMerge w:val="continue"/>
            <w:shd w:val="clear" w:color="auto" w:fill="auto"/>
            <w:vAlign w:val="center"/>
          </w:tcPr>
          <w:p w14:paraId="2DB016CF">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3DB631DB">
            <w:pPr>
              <w:pStyle w:val="110"/>
              <w:adjustRightInd w:val="0"/>
              <w:snapToGrid w:val="0"/>
              <w:spacing w:before="0" w:line="240" w:lineRule="auto"/>
              <w:ind w:firstLine="420"/>
              <w:rPr>
                <w:rFonts w:hint="default" w:ascii="Arial" w:hAnsi="Arial" w:eastAsia="宋体" w:cs="Arial"/>
                <w:bCs w:val="0"/>
                <w:sz w:val="18"/>
                <w:szCs w:val="18"/>
              </w:rPr>
            </w:pPr>
          </w:p>
        </w:tc>
      </w:tr>
      <w:tr w14:paraId="2C6A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77591D29">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49CA9B34">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60CA5B8F">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削减量(t/a)</w:t>
            </w:r>
          </w:p>
        </w:tc>
        <w:tc>
          <w:tcPr>
            <w:tcW w:w="1000" w:type="pct"/>
            <w:shd w:val="clear" w:color="auto" w:fill="auto"/>
            <w:vAlign w:val="center"/>
          </w:tcPr>
          <w:p w14:paraId="73764398">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w:t>
            </w:r>
          </w:p>
        </w:tc>
        <w:tc>
          <w:tcPr>
            <w:tcW w:w="853" w:type="pct"/>
            <w:vMerge w:val="continue"/>
            <w:shd w:val="clear" w:color="auto" w:fill="auto"/>
            <w:vAlign w:val="center"/>
          </w:tcPr>
          <w:p w14:paraId="78B303C5">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15A6350B">
            <w:pPr>
              <w:pStyle w:val="110"/>
              <w:adjustRightInd w:val="0"/>
              <w:snapToGrid w:val="0"/>
              <w:spacing w:before="0" w:line="240" w:lineRule="auto"/>
              <w:ind w:firstLine="420"/>
              <w:rPr>
                <w:rFonts w:hint="default" w:ascii="Arial" w:hAnsi="Arial" w:eastAsia="宋体" w:cs="Arial"/>
                <w:bCs w:val="0"/>
                <w:sz w:val="18"/>
                <w:szCs w:val="18"/>
              </w:rPr>
            </w:pPr>
          </w:p>
        </w:tc>
      </w:tr>
      <w:tr w14:paraId="6060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18409B77">
            <w:pPr>
              <w:adjustRightInd w:val="0"/>
              <w:snapToGrid w:val="0"/>
              <w:jc w:val="center"/>
              <w:rPr>
                <w:rFonts w:hint="default" w:ascii="Arial" w:hAnsi="Arial" w:eastAsia="宋体" w:cs="Arial"/>
                <w:sz w:val="18"/>
                <w:szCs w:val="18"/>
              </w:rPr>
            </w:pPr>
          </w:p>
        </w:tc>
        <w:tc>
          <w:tcPr>
            <w:tcW w:w="773" w:type="pct"/>
            <w:vMerge w:val="restart"/>
            <w:shd w:val="clear" w:color="auto" w:fill="auto"/>
            <w:vAlign w:val="center"/>
          </w:tcPr>
          <w:p w14:paraId="2071934D">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氨氮（NH</w:t>
            </w:r>
            <w:r>
              <w:rPr>
                <w:rFonts w:hint="default" w:ascii="Arial" w:hAnsi="Arial" w:eastAsia="宋体" w:cs="Arial"/>
                <w:sz w:val="18"/>
                <w:szCs w:val="18"/>
                <w:vertAlign w:val="subscript"/>
              </w:rPr>
              <w:t>3</w:t>
            </w:r>
            <w:r>
              <w:rPr>
                <w:rFonts w:hint="default" w:ascii="Arial" w:hAnsi="Arial" w:eastAsia="宋体" w:cs="Arial"/>
                <w:sz w:val="18"/>
                <w:szCs w:val="18"/>
              </w:rPr>
              <w:t>-N）</w:t>
            </w:r>
          </w:p>
        </w:tc>
        <w:tc>
          <w:tcPr>
            <w:tcW w:w="1101" w:type="pct"/>
            <w:shd w:val="clear" w:color="auto" w:fill="auto"/>
            <w:vAlign w:val="center"/>
          </w:tcPr>
          <w:p w14:paraId="0B0CB905">
            <w:pPr>
              <w:adjustRightInd w:val="0"/>
              <w:snapToGrid w:val="0"/>
              <w:jc w:val="center"/>
              <w:rPr>
                <w:rFonts w:hint="default" w:ascii="Arial" w:hAnsi="Arial" w:eastAsia="宋体" w:cs="Arial"/>
                <w:sz w:val="18"/>
                <w:szCs w:val="18"/>
              </w:rPr>
            </w:pPr>
            <w:r>
              <w:rPr>
                <w:rFonts w:hint="default" w:ascii="Arial" w:hAnsi="Arial" w:eastAsia="宋体" w:cs="Arial"/>
                <w:sz w:val="18"/>
                <w:szCs w:val="18"/>
              </w:rPr>
              <w:t>现状排放量(t/a)</w:t>
            </w:r>
          </w:p>
        </w:tc>
        <w:tc>
          <w:tcPr>
            <w:tcW w:w="1000" w:type="pct"/>
            <w:shd w:val="clear" w:color="auto" w:fill="auto"/>
            <w:vAlign w:val="center"/>
          </w:tcPr>
          <w:p w14:paraId="6D6219C1">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50.7</w:t>
            </w:r>
          </w:p>
        </w:tc>
        <w:tc>
          <w:tcPr>
            <w:tcW w:w="853" w:type="pct"/>
            <w:vMerge w:val="continue"/>
            <w:shd w:val="clear" w:color="auto" w:fill="auto"/>
            <w:vAlign w:val="center"/>
          </w:tcPr>
          <w:p w14:paraId="439EB03B">
            <w:pPr>
              <w:adjustRightInd w:val="0"/>
              <w:snapToGrid w:val="0"/>
              <w:jc w:val="center"/>
              <w:rPr>
                <w:rFonts w:hint="default" w:ascii="Arial" w:hAnsi="Arial" w:eastAsia="宋体" w:cs="Arial"/>
                <w:sz w:val="18"/>
                <w:szCs w:val="18"/>
              </w:rPr>
            </w:pPr>
          </w:p>
        </w:tc>
        <w:tc>
          <w:tcPr>
            <w:tcW w:w="608" w:type="pct"/>
            <w:vMerge w:val="continue"/>
            <w:shd w:val="clear" w:color="auto" w:fill="auto"/>
            <w:vAlign w:val="center"/>
          </w:tcPr>
          <w:p w14:paraId="12EE6881">
            <w:pPr>
              <w:adjustRightInd w:val="0"/>
              <w:snapToGrid w:val="0"/>
              <w:jc w:val="center"/>
              <w:rPr>
                <w:rFonts w:hint="default" w:ascii="Arial" w:hAnsi="Arial" w:eastAsia="宋体" w:cs="Arial"/>
                <w:sz w:val="18"/>
                <w:szCs w:val="18"/>
              </w:rPr>
            </w:pPr>
          </w:p>
        </w:tc>
      </w:tr>
      <w:tr w14:paraId="152A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5541314A">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781BB73F">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3DC671DE">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总量管控限值(t/a)</w:t>
            </w:r>
          </w:p>
        </w:tc>
        <w:tc>
          <w:tcPr>
            <w:tcW w:w="1000" w:type="pct"/>
            <w:shd w:val="clear" w:color="auto" w:fill="auto"/>
            <w:vAlign w:val="center"/>
          </w:tcPr>
          <w:p w14:paraId="2781F096">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sz w:val="18"/>
                <w:szCs w:val="18"/>
              </w:rPr>
              <w:t>≤143.3</w:t>
            </w:r>
          </w:p>
        </w:tc>
        <w:tc>
          <w:tcPr>
            <w:tcW w:w="853" w:type="pct"/>
            <w:vMerge w:val="continue"/>
            <w:shd w:val="clear" w:color="auto" w:fill="auto"/>
            <w:vAlign w:val="center"/>
          </w:tcPr>
          <w:p w14:paraId="7BA936A4">
            <w:pPr>
              <w:adjustRightInd w:val="0"/>
              <w:snapToGrid w:val="0"/>
              <w:jc w:val="center"/>
              <w:rPr>
                <w:rFonts w:hint="default" w:ascii="Arial" w:hAnsi="Arial" w:eastAsia="宋体" w:cs="Arial"/>
                <w:sz w:val="18"/>
                <w:szCs w:val="18"/>
              </w:rPr>
            </w:pPr>
          </w:p>
        </w:tc>
        <w:tc>
          <w:tcPr>
            <w:tcW w:w="608" w:type="pct"/>
            <w:vMerge w:val="continue"/>
            <w:shd w:val="clear" w:color="auto" w:fill="auto"/>
            <w:vAlign w:val="center"/>
          </w:tcPr>
          <w:p w14:paraId="19EE0442">
            <w:pPr>
              <w:adjustRightInd w:val="0"/>
              <w:snapToGrid w:val="0"/>
              <w:jc w:val="center"/>
              <w:rPr>
                <w:rFonts w:hint="default" w:ascii="Arial" w:hAnsi="Arial" w:eastAsia="宋体" w:cs="Arial"/>
                <w:sz w:val="18"/>
                <w:szCs w:val="18"/>
              </w:rPr>
            </w:pPr>
          </w:p>
        </w:tc>
      </w:tr>
      <w:tr w14:paraId="6742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63B19A69">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1C0E528C">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43F1885E">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削减量(t/a)</w:t>
            </w:r>
          </w:p>
        </w:tc>
        <w:tc>
          <w:tcPr>
            <w:tcW w:w="1000" w:type="pct"/>
            <w:shd w:val="clear" w:color="auto" w:fill="auto"/>
            <w:vAlign w:val="center"/>
          </w:tcPr>
          <w:p w14:paraId="2C5E4136">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w:t>
            </w:r>
          </w:p>
        </w:tc>
        <w:tc>
          <w:tcPr>
            <w:tcW w:w="853" w:type="pct"/>
            <w:vMerge w:val="continue"/>
            <w:shd w:val="clear" w:color="auto" w:fill="auto"/>
            <w:vAlign w:val="center"/>
          </w:tcPr>
          <w:p w14:paraId="2B7E5DC7">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1B8DCC10">
            <w:pPr>
              <w:pStyle w:val="110"/>
              <w:adjustRightInd w:val="0"/>
              <w:snapToGrid w:val="0"/>
              <w:spacing w:before="0" w:line="240" w:lineRule="auto"/>
              <w:ind w:firstLine="420"/>
              <w:rPr>
                <w:rFonts w:hint="default" w:ascii="Arial" w:hAnsi="Arial" w:eastAsia="宋体" w:cs="Arial"/>
                <w:bCs w:val="0"/>
                <w:sz w:val="18"/>
                <w:szCs w:val="18"/>
              </w:rPr>
            </w:pPr>
          </w:p>
        </w:tc>
      </w:tr>
      <w:tr w14:paraId="4A08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restart"/>
            <w:shd w:val="clear" w:color="auto" w:fill="auto"/>
            <w:vAlign w:val="center"/>
          </w:tcPr>
          <w:p w14:paraId="61250FEA">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大气污染物总量管控限值</w:t>
            </w:r>
          </w:p>
        </w:tc>
        <w:tc>
          <w:tcPr>
            <w:tcW w:w="773" w:type="pct"/>
            <w:vMerge w:val="restart"/>
            <w:shd w:val="clear" w:color="auto" w:fill="auto"/>
            <w:vAlign w:val="center"/>
          </w:tcPr>
          <w:p w14:paraId="38730CEB">
            <w:pPr>
              <w:adjustRightInd w:val="0"/>
              <w:snapToGrid w:val="0"/>
              <w:jc w:val="center"/>
              <w:rPr>
                <w:rFonts w:hint="default" w:ascii="Arial" w:hAnsi="Arial" w:eastAsia="宋体" w:cs="Arial"/>
                <w:sz w:val="18"/>
                <w:szCs w:val="18"/>
              </w:rPr>
            </w:pPr>
            <w:r>
              <w:rPr>
                <w:rFonts w:hint="default" w:ascii="Arial" w:hAnsi="Arial" w:eastAsia="宋体" w:cs="Arial"/>
                <w:sz w:val="18"/>
                <w:szCs w:val="18"/>
              </w:rPr>
              <w:t>二氧化硫（SO</w:t>
            </w:r>
            <w:r>
              <w:rPr>
                <w:rFonts w:hint="default" w:ascii="Arial" w:hAnsi="Arial" w:eastAsia="宋体" w:cs="Arial"/>
                <w:sz w:val="18"/>
                <w:szCs w:val="18"/>
                <w:vertAlign w:val="subscript"/>
              </w:rPr>
              <w:t>2</w:t>
            </w:r>
            <w:r>
              <w:rPr>
                <w:rFonts w:hint="default" w:ascii="Arial" w:hAnsi="Arial" w:eastAsia="宋体" w:cs="Arial"/>
                <w:sz w:val="18"/>
                <w:szCs w:val="18"/>
              </w:rPr>
              <w:t>）</w:t>
            </w:r>
          </w:p>
        </w:tc>
        <w:tc>
          <w:tcPr>
            <w:tcW w:w="1101" w:type="pct"/>
            <w:shd w:val="clear" w:color="auto" w:fill="auto"/>
            <w:vAlign w:val="center"/>
          </w:tcPr>
          <w:p w14:paraId="0AA9C56A">
            <w:pPr>
              <w:adjustRightInd w:val="0"/>
              <w:snapToGrid w:val="0"/>
              <w:jc w:val="center"/>
              <w:rPr>
                <w:rFonts w:hint="default" w:ascii="Arial" w:hAnsi="Arial" w:eastAsia="宋体" w:cs="Arial"/>
                <w:sz w:val="18"/>
                <w:szCs w:val="18"/>
              </w:rPr>
            </w:pPr>
            <w:r>
              <w:rPr>
                <w:rFonts w:hint="default" w:ascii="Arial" w:hAnsi="Arial" w:eastAsia="宋体" w:cs="Arial"/>
                <w:sz w:val="18"/>
                <w:szCs w:val="18"/>
              </w:rPr>
              <w:t>现状排放量(t/a)</w:t>
            </w:r>
          </w:p>
        </w:tc>
        <w:tc>
          <w:tcPr>
            <w:tcW w:w="1000" w:type="pct"/>
            <w:shd w:val="clear" w:color="auto" w:fill="auto"/>
            <w:vAlign w:val="center"/>
          </w:tcPr>
          <w:p w14:paraId="4D2EF5A2">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238.15</w:t>
            </w:r>
          </w:p>
        </w:tc>
        <w:tc>
          <w:tcPr>
            <w:tcW w:w="853" w:type="pct"/>
            <w:vMerge w:val="restart"/>
            <w:shd w:val="clear" w:color="auto" w:fill="auto"/>
            <w:vAlign w:val="center"/>
          </w:tcPr>
          <w:p w14:paraId="47F10441">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能</w:t>
            </w:r>
          </w:p>
        </w:tc>
        <w:tc>
          <w:tcPr>
            <w:tcW w:w="608" w:type="pct"/>
            <w:vMerge w:val="restart"/>
            <w:shd w:val="clear" w:color="auto" w:fill="auto"/>
            <w:vAlign w:val="center"/>
          </w:tcPr>
          <w:p w14:paraId="11B13A5C">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环评成果预测值</w:t>
            </w:r>
          </w:p>
        </w:tc>
      </w:tr>
      <w:tr w14:paraId="0837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2CAFBF77">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37A55B6E">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5B092335">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总量管控限值(t/a)</w:t>
            </w:r>
          </w:p>
        </w:tc>
        <w:tc>
          <w:tcPr>
            <w:tcW w:w="1000" w:type="pct"/>
            <w:shd w:val="clear" w:color="auto" w:fill="auto"/>
            <w:vAlign w:val="center"/>
          </w:tcPr>
          <w:p w14:paraId="00D69927">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95.34</w:t>
            </w:r>
          </w:p>
        </w:tc>
        <w:tc>
          <w:tcPr>
            <w:tcW w:w="853" w:type="pct"/>
            <w:vMerge w:val="continue"/>
            <w:shd w:val="clear" w:color="auto" w:fill="auto"/>
            <w:vAlign w:val="center"/>
          </w:tcPr>
          <w:p w14:paraId="424C3E6C">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5B612699">
            <w:pPr>
              <w:pStyle w:val="110"/>
              <w:adjustRightInd w:val="0"/>
              <w:snapToGrid w:val="0"/>
              <w:spacing w:before="0" w:line="240" w:lineRule="auto"/>
              <w:ind w:firstLine="420"/>
              <w:rPr>
                <w:rFonts w:hint="default" w:ascii="Arial" w:hAnsi="Arial" w:eastAsia="宋体" w:cs="Arial"/>
                <w:bCs w:val="0"/>
                <w:sz w:val="18"/>
                <w:szCs w:val="18"/>
              </w:rPr>
            </w:pPr>
          </w:p>
        </w:tc>
      </w:tr>
      <w:tr w14:paraId="544A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04A67ADD">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39BC9B6E">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69F80742">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削减量(t/a)</w:t>
            </w:r>
          </w:p>
        </w:tc>
        <w:tc>
          <w:tcPr>
            <w:tcW w:w="1000" w:type="pct"/>
            <w:shd w:val="clear" w:color="auto" w:fill="auto"/>
            <w:vAlign w:val="center"/>
          </w:tcPr>
          <w:p w14:paraId="74ECAC3B">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w:t>
            </w:r>
          </w:p>
        </w:tc>
        <w:tc>
          <w:tcPr>
            <w:tcW w:w="853" w:type="pct"/>
            <w:vMerge w:val="continue"/>
            <w:shd w:val="clear" w:color="auto" w:fill="auto"/>
            <w:vAlign w:val="center"/>
          </w:tcPr>
          <w:p w14:paraId="39607B48">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227E9FDF">
            <w:pPr>
              <w:pStyle w:val="110"/>
              <w:adjustRightInd w:val="0"/>
              <w:snapToGrid w:val="0"/>
              <w:spacing w:before="0" w:line="240" w:lineRule="auto"/>
              <w:ind w:firstLine="420"/>
              <w:rPr>
                <w:rFonts w:hint="default" w:ascii="Arial" w:hAnsi="Arial" w:eastAsia="宋体" w:cs="Arial"/>
                <w:bCs w:val="0"/>
                <w:sz w:val="18"/>
                <w:szCs w:val="18"/>
              </w:rPr>
            </w:pPr>
          </w:p>
        </w:tc>
      </w:tr>
      <w:tr w14:paraId="3CA11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73750B66">
            <w:pPr>
              <w:adjustRightInd w:val="0"/>
              <w:snapToGrid w:val="0"/>
              <w:jc w:val="center"/>
              <w:rPr>
                <w:rFonts w:hint="default" w:ascii="Arial" w:hAnsi="Arial" w:eastAsia="宋体" w:cs="Arial"/>
                <w:sz w:val="18"/>
                <w:szCs w:val="18"/>
              </w:rPr>
            </w:pPr>
          </w:p>
        </w:tc>
        <w:tc>
          <w:tcPr>
            <w:tcW w:w="773" w:type="pct"/>
            <w:vMerge w:val="restart"/>
            <w:shd w:val="clear" w:color="auto" w:fill="auto"/>
            <w:vAlign w:val="center"/>
          </w:tcPr>
          <w:p w14:paraId="7A477774">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氮氧化物（NOx）</w:t>
            </w:r>
          </w:p>
        </w:tc>
        <w:tc>
          <w:tcPr>
            <w:tcW w:w="1101" w:type="pct"/>
            <w:shd w:val="clear" w:color="auto" w:fill="auto"/>
            <w:vAlign w:val="center"/>
          </w:tcPr>
          <w:p w14:paraId="613B88D2">
            <w:pPr>
              <w:adjustRightInd w:val="0"/>
              <w:snapToGrid w:val="0"/>
              <w:jc w:val="center"/>
              <w:rPr>
                <w:rFonts w:hint="default" w:ascii="Arial" w:hAnsi="Arial" w:eastAsia="宋体" w:cs="Arial"/>
                <w:sz w:val="18"/>
                <w:szCs w:val="18"/>
              </w:rPr>
            </w:pPr>
            <w:r>
              <w:rPr>
                <w:rFonts w:hint="default" w:ascii="Arial" w:hAnsi="Arial" w:eastAsia="宋体" w:cs="Arial"/>
                <w:sz w:val="18"/>
                <w:szCs w:val="18"/>
              </w:rPr>
              <w:t>现状排放量(t/a)</w:t>
            </w:r>
          </w:p>
        </w:tc>
        <w:tc>
          <w:tcPr>
            <w:tcW w:w="1000" w:type="pct"/>
            <w:shd w:val="clear" w:color="auto" w:fill="auto"/>
            <w:vAlign w:val="center"/>
          </w:tcPr>
          <w:p w14:paraId="51EC3A6F">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229.2</w:t>
            </w:r>
          </w:p>
        </w:tc>
        <w:tc>
          <w:tcPr>
            <w:tcW w:w="853" w:type="pct"/>
            <w:vMerge w:val="continue"/>
            <w:shd w:val="clear" w:color="auto" w:fill="auto"/>
            <w:vAlign w:val="center"/>
          </w:tcPr>
          <w:p w14:paraId="231B7D89">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2F369974">
            <w:pPr>
              <w:pStyle w:val="110"/>
              <w:adjustRightInd w:val="0"/>
              <w:snapToGrid w:val="0"/>
              <w:spacing w:before="0" w:line="240" w:lineRule="auto"/>
              <w:ind w:firstLine="420"/>
              <w:rPr>
                <w:rFonts w:hint="default" w:ascii="Arial" w:hAnsi="Arial" w:eastAsia="宋体" w:cs="Arial"/>
                <w:bCs w:val="0"/>
                <w:sz w:val="18"/>
                <w:szCs w:val="18"/>
              </w:rPr>
            </w:pPr>
          </w:p>
        </w:tc>
      </w:tr>
      <w:tr w14:paraId="7244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7E5134AD">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6E44CF98">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4FD8D0B1">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总量管控限值(t/a)</w:t>
            </w:r>
          </w:p>
        </w:tc>
        <w:tc>
          <w:tcPr>
            <w:tcW w:w="1000" w:type="pct"/>
            <w:shd w:val="clear" w:color="auto" w:fill="auto"/>
            <w:vAlign w:val="center"/>
          </w:tcPr>
          <w:p w14:paraId="620432B0">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297.58</w:t>
            </w:r>
          </w:p>
        </w:tc>
        <w:tc>
          <w:tcPr>
            <w:tcW w:w="853" w:type="pct"/>
            <w:vMerge w:val="continue"/>
            <w:shd w:val="clear" w:color="auto" w:fill="auto"/>
            <w:vAlign w:val="center"/>
          </w:tcPr>
          <w:p w14:paraId="6385651F">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2AC14226">
            <w:pPr>
              <w:pStyle w:val="110"/>
              <w:adjustRightInd w:val="0"/>
              <w:snapToGrid w:val="0"/>
              <w:spacing w:before="0" w:line="240" w:lineRule="auto"/>
              <w:ind w:firstLine="420"/>
              <w:rPr>
                <w:rFonts w:hint="default" w:ascii="Arial" w:hAnsi="Arial" w:eastAsia="宋体" w:cs="Arial"/>
                <w:bCs w:val="0"/>
                <w:sz w:val="18"/>
                <w:szCs w:val="18"/>
              </w:rPr>
            </w:pPr>
          </w:p>
        </w:tc>
      </w:tr>
      <w:tr w14:paraId="4CC7D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3A992AE2">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1C10D051">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1442291A">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削减量(t/a)</w:t>
            </w:r>
          </w:p>
        </w:tc>
        <w:tc>
          <w:tcPr>
            <w:tcW w:w="1000" w:type="pct"/>
            <w:shd w:val="clear" w:color="auto" w:fill="auto"/>
            <w:vAlign w:val="center"/>
          </w:tcPr>
          <w:p w14:paraId="2C20DC5B">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w:t>
            </w:r>
          </w:p>
        </w:tc>
        <w:tc>
          <w:tcPr>
            <w:tcW w:w="853" w:type="pct"/>
            <w:vMerge w:val="continue"/>
            <w:shd w:val="clear" w:color="auto" w:fill="auto"/>
            <w:vAlign w:val="center"/>
          </w:tcPr>
          <w:p w14:paraId="317CB8AE">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733859F5">
            <w:pPr>
              <w:pStyle w:val="110"/>
              <w:adjustRightInd w:val="0"/>
              <w:snapToGrid w:val="0"/>
              <w:spacing w:before="0" w:line="240" w:lineRule="auto"/>
              <w:ind w:firstLine="420"/>
              <w:rPr>
                <w:rFonts w:hint="default" w:ascii="Arial" w:hAnsi="Arial" w:eastAsia="宋体" w:cs="Arial"/>
                <w:bCs w:val="0"/>
                <w:sz w:val="18"/>
                <w:szCs w:val="18"/>
              </w:rPr>
            </w:pPr>
          </w:p>
        </w:tc>
      </w:tr>
      <w:tr w14:paraId="5529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6A913DCE">
            <w:pPr>
              <w:adjustRightInd w:val="0"/>
              <w:snapToGrid w:val="0"/>
              <w:jc w:val="center"/>
              <w:rPr>
                <w:rFonts w:hint="default" w:ascii="Arial" w:hAnsi="Arial" w:eastAsia="宋体" w:cs="Arial"/>
                <w:sz w:val="18"/>
                <w:szCs w:val="18"/>
              </w:rPr>
            </w:pPr>
          </w:p>
        </w:tc>
        <w:tc>
          <w:tcPr>
            <w:tcW w:w="773" w:type="pct"/>
            <w:vMerge w:val="restart"/>
            <w:shd w:val="clear" w:color="auto" w:fill="auto"/>
            <w:vAlign w:val="center"/>
          </w:tcPr>
          <w:p w14:paraId="7969B79E">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挥发性有机物（VOCs）</w:t>
            </w:r>
          </w:p>
        </w:tc>
        <w:tc>
          <w:tcPr>
            <w:tcW w:w="1101" w:type="pct"/>
            <w:shd w:val="clear" w:color="auto" w:fill="auto"/>
            <w:vAlign w:val="center"/>
          </w:tcPr>
          <w:p w14:paraId="2D8AD628">
            <w:pPr>
              <w:adjustRightInd w:val="0"/>
              <w:snapToGrid w:val="0"/>
              <w:jc w:val="center"/>
              <w:rPr>
                <w:rFonts w:hint="default" w:ascii="Arial" w:hAnsi="Arial" w:eastAsia="宋体" w:cs="Arial"/>
                <w:sz w:val="18"/>
                <w:szCs w:val="18"/>
              </w:rPr>
            </w:pPr>
            <w:r>
              <w:rPr>
                <w:rFonts w:hint="default" w:ascii="Arial" w:hAnsi="Arial" w:eastAsia="宋体" w:cs="Arial"/>
                <w:sz w:val="18"/>
                <w:szCs w:val="18"/>
              </w:rPr>
              <w:t>现状排放量(t/a)</w:t>
            </w:r>
          </w:p>
        </w:tc>
        <w:tc>
          <w:tcPr>
            <w:tcW w:w="1000" w:type="pct"/>
            <w:shd w:val="clear" w:color="auto" w:fill="auto"/>
            <w:vAlign w:val="center"/>
          </w:tcPr>
          <w:p w14:paraId="54BE8E8D">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103.46</w:t>
            </w:r>
          </w:p>
        </w:tc>
        <w:tc>
          <w:tcPr>
            <w:tcW w:w="853" w:type="pct"/>
            <w:vMerge w:val="continue"/>
            <w:shd w:val="clear" w:color="auto" w:fill="auto"/>
            <w:vAlign w:val="center"/>
          </w:tcPr>
          <w:p w14:paraId="20E26471">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4E71AEF1">
            <w:pPr>
              <w:pStyle w:val="110"/>
              <w:adjustRightInd w:val="0"/>
              <w:snapToGrid w:val="0"/>
              <w:spacing w:before="0" w:line="240" w:lineRule="auto"/>
              <w:ind w:firstLine="420"/>
              <w:rPr>
                <w:rFonts w:hint="default" w:ascii="Arial" w:hAnsi="Arial" w:eastAsia="宋体" w:cs="Arial"/>
                <w:bCs w:val="0"/>
                <w:sz w:val="18"/>
                <w:szCs w:val="18"/>
              </w:rPr>
            </w:pPr>
          </w:p>
        </w:tc>
      </w:tr>
      <w:tr w14:paraId="2140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79E26F1C">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03307377">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3C086584">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总量管控限值(t/a)</w:t>
            </w:r>
          </w:p>
        </w:tc>
        <w:tc>
          <w:tcPr>
            <w:tcW w:w="1000" w:type="pct"/>
            <w:shd w:val="clear" w:color="auto" w:fill="auto"/>
            <w:vAlign w:val="center"/>
          </w:tcPr>
          <w:p w14:paraId="263EF830">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103.46</w:t>
            </w:r>
          </w:p>
        </w:tc>
        <w:tc>
          <w:tcPr>
            <w:tcW w:w="853" w:type="pct"/>
            <w:vMerge w:val="continue"/>
            <w:shd w:val="clear" w:color="auto" w:fill="auto"/>
            <w:vAlign w:val="center"/>
          </w:tcPr>
          <w:p w14:paraId="2F3FCB14">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3A69BEFF">
            <w:pPr>
              <w:pStyle w:val="110"/>
              <w:adjustRightInd w:val="0"/>
              <w:snapToGrid w:val="0"/>
              <w:spacing w:before="0" w:line="240" w:lineRule="auto"/>
              <w:ind w:firstLine="420"/>
              <w:rPr>
                <w:rFonts w:hint="default" w:ascii="Arial" w:hAnsi="Arial" w:eastAsia="宋体" w:cs="Arial"/>
                <w:bCs w:val="0"/>
                <w:sz w:val="18"/>
                <w:szCs w:val="18"/>
              </w:rPr>
            </w:pPr>
          </w:p>
        </w:tc>
      </w:tr>
      <w:tr w14:paraId="0A7B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759E982C">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1192FB2E">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048B49BF">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削减量(t/a)</w:t>
            </w:r>
          </w:p>
        </w:tc>
        <w:tc>
          <w:tcPr>
            <w:tcW w:w="1000" w:type="pct"/>
            <w:shd w:val="clear" w:color="auto" w:fill="auto"/>
            <w:vAlign w:val="center"/>
          </w:tcPr>
          <w:p w14:paraId="6C356676">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w:t>
            </w:r>
          </w:p>
        </w:tc>
        <w:tc>
          <w:tcPr>
            <w:tcW w:w="853" w:type="pct"/>
            <w:vMerge w:val="continue"/>
            <w:shd w:val="clear" w:color="auto" w:fill="auto"/>
            <w:vAlign w:val="center"/>
          </w:tcPr>
          <w:p w14:paraId="78610289">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1732B494">
            <w:pPr>
              <w:pStyle w:val="110"/>
              <w:adjustRightInd w:val="0"/>
              <w:snapToGrid w:val="0"/>
              <w:spacing w:before="0" w:line="240" w:lineRule="auto"/>
              <w:ind w:firstLine="420"/>
              <w:rPr>
                <w:rFonts w:hint="default" w:ascii="Arial" w:hAnsi="Arial" w:eastAsia="宋体" w:cs="Arial"/>
                <w:bCs w:val="0"/>
                <w:sz w:val="18"/>
                <w:szCs w:val="18"/>
              </w:rPr>
            </w:pPr>
          </w:p>
        </w:tc>
      </w:tr>
      <w:tr w14:paraId="04BA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561B48EA">
            <w:pPr>
              <w:adjustRightInd w:val="0"/>
              <w:snapToGrid w:val="0"/>
              <w:jc w:val="center"/>
              <w:rPr>
                <w:rFonts w:hint="default" w:ascii="Arial" w:hAnsi="Arial" w:eastAsia="宋体" w:cs="Arial"/>
                <w:sz w:val="18"/>
                <w:szCs w:val="18"/>
              </w:rPr>
            </w:pPr>
          </w:p>
        </w:tc>
        <w:tc>
          <w:tcPr>
            <w:tcW w:w="773" w:type="pct"/>
            <w:vMerge w:val="restart"/>
            <w:shd w:val="clear" w:color="auto" w:fill="auto"/>
            <w:vAlign w:val="center"/>
          </w:tcPr>
          <w:p w14:paraId="11E15805">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氯化氢</w:t>
            </w:r>
          </w:p>
          <w:p w14:paraId="64BD2BA0">
            <w:pPr>
              <w:adjustRightInd w:val="0"/>
              <w:snapToGrid w:val="0"/>
              <w:jc w:val="center"/>
              <w:rPr>
                <w:rFonts w:hint="default" w:ascii="Arial" w:hAnsi="Arial" w:eastAsia="宋体" w:cs="Arial"/>
                <w:sz w:val="18"/>
                <w:szCs w:val="18"/>
              </w:rPr>
            </w:pPr>
            <w:r>
              <w:rPr>
                <w:rFonts w:hint="default" w:ascii="Arial" w:hAnsi="Arial" w:eastAsia="宋体" w:cs="Arial"/>
                <w:sz w:val="18"/>
                <w:szCs w:val="18"/>
              </w:rPr>
              <w:t>（HCl）</w:t>
            </w:r>
          </w:p>
        </w:tc>
        <w:tc>
          <w:tcPr>
            <w:tcW w:w="1101" w:type="pct"/>
            <w:shd w:val="clear" w:color="auto" w:fill="auto"/>
            <w:vAlign w:val="center"/>
          </w:tcPr>
          <w:p w14:paraId="4427C148">
            <w:pPr>
              <w:adjustRightInd w:val="0"/>
              <w:snapToGrid w:val="0"/>
              <w:jc w:val="center"/>
              <w:rPr>
                <w:rFonts w:hint="default" w:ascii="Arial" w:hAnsi="Arial" w:eastAsia="宋体" w:cs="Arial"/>
                <w:sz w:val="18"/>
                <w:szCs w:val="18"/>
              </w:rPr>
            </w:pPr>
            <w:r>
              <w:rPr>
                <w:rFonts w:hint="default" w:ascii="Arial" w:hAnsi="Arial" w:eastAsia="宋体" w:cs="Arial"/>
                <w:sz w:val="18"/>
                <w:szCs w:val="18"/>
              </w:rPr>
              <w:t>现状排放量(t/a)</w:t>
            </w:r>
          </w:p>
        </w:tc>
        <w:tc>
          <w:tcPr>
            <w:tcW w:w="1000" w:type="pct"/>
            <w:shd w:val="clear" w:color="auto" w:fill="auto"/>
            <w:vAlign w:val="center"/>
          </w:tcPr>
          <w:p w14:paraId="4A8323D6">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1.46</w:t>
            </w:r>
          </w:p>
        </w:tc>
        <w:tc>
          <w:tcPr>
            <w:tcW w:w="853" w:type="pct"/>
            <w:vMerge w:val="continue"/>
            <w:shd w:val="clear" w:color="auto" w:fill="auto"/>
            <w:vAlign w:val="center"/>
          </w:tcPr>
          <w:p w14:paraId="25D52E0D">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7BA6CC85">
            <w:pPr>
              <w:pStyle w:val="110"/>
              <w:adjustRightInd w:val="0"/>
              <w:snapToGrid w:val="0"/>
              <w:spacing w:before="0" w:line="240" w:lineRule="auto"/>
              <w:ind w:firstLine="420"/>
              <w:rPr>
                <w:rFonts w:hint="default" w:ascii="Arial" w:hAnsi="Arial" w:eastAsia="宋体" w:cs="Arial"/>
                <w:bCs w:val="0"/>
                <w:sz w:val="18"/>
                <w:szCs w:val="18"/>
              </w:rPr>
            </w:pPr>
          </w:p>
        </w:tc>
      </w:tr>
      <w:tr w14:paraId="4874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088A6633">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640F557A">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6936C09F">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总量管控限值(t/a)</w:t>
            </w:r>
          </w:p>
        </w:tc>
        <w:tc>
          <w:tcPr>
            <w:tcW w:w="1000" w:type="pct"/>
            <w:shd w:val="clear" w:color="auto" w:fill="auto"/>
            <w:vAlign w:val="center"/>
          </w:tcPr>
          <w:p w14:paraId="5CB45100">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2.66</w:t>
            </w:r>
          </w:p>
        </w:tc>
        <w:tc>
          <w:tcPr>
            <w:tcW w:w="853" w:type="pct"/>
            <w:vMerge w:val="continue"/>
            <w:shd w:val="clear" w:color="auto" w:fill="auto"/>
            <w:vAlign w:val="center"/>
          </w:tcPr>
          <w:p w14:paraId="32A6B52A">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02D960C8">
            <w:pPr>
              <w:pStyle w:val="110"/>
              <w:adjustRightInd w:val="0"/>
              <w:snapToGrid w:val="0"/>
              <w:spacing w:before="0" w:line="240" w:lineRule="auto"/>
              <w:ind w:firstLine="420"/>
              <w:rPr>
                <w:rFonts w:hint="default" w:ascii="Arial" w:hAnsi="Arial" w:eastAsia="宋体" w:cs="Arial"/>
                <w:bCs w:val="0"/>
                <w:sz w:val="18"/>
                <w:szCs w:val="18"/>
              </w:rPr>
            </w:pPr>
          </w:p>
        </w:tc>
      </w:tr>
      <w:tr w14:paraId="582D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vMerge w:val="continue"/>
            <w:shd w:val="clear" w:color="auto" w:fill="auto"/>
            <w:vAlign w:val="center"/>
          </w:tcPr>
          <w:p w14:paraId="7EAE2BA3">
            <w:pPr>
              <w:adjustRightInd w:val="0"/>
              <w:snapToGrid w:val="0"/>
              <w:jc w:val="center"/>
              <w:rPr>
                <w:rFonts w:hint="default" w:ascii="Arial" w:hAnsi="Arial" w:eastAsia="宋体" w:cs="Arial"/>
                <w:sz w:val="18"/>
                <w:szCs w:val="18"/>
              </w:rPr>
            </w:pPr>
          </w:p>
        </w:tc>
        <w:tc>
          <w:tcPr>
            <w:tcW w:w="773" w:type="pct"/>
            <w:vMerge w:val="continue"/>
            <w:shd w:val="clear" w:color="auto" w:fill="auto"/>
            <w:vAlign w:val="center"/>
          </w:tcPr>
          <w:p w14:paraId="0D38973D">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729A5B06">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削减量(t/a)</w:t>
            </w:r>
          </w:p>
        </w:tc>
        <w:tc>
          <w:tcPr>
            <w:tcW w:w="1000" w:type="pct"/>
            <w:shd w:val="clear" w:color="auto" w:fill="auto"/>
            <w:vAlign w:val="center"/>
          </w:tcPr>
          <w:p w14:paraId="2EF0C5BE">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w:t>
            </w:r>
          </w:p>
        </w:tc>
        <w:tc>
          <w:tcPr>
            <w:tcW w:w="853" w:type="pct"/>
            <w:vMerge w:val="continue"/>
            <w:shd w:val="clear" w:color="auto" w:fill="auto"/>
            <w:vAlign w:val="center"/>
          </w:tcPr>
          <w:p w14:paraId="259BA47A">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167F2F8F">
            <w:pPr>
              <w:pStyle w:val="110"/>
              <w:adjustRightInd w:val="0"/>
              <w:snapToGrid w:val="0"/>
              <w:spacing w:before="0" w:line="240" w:lineRule="auto"/>
              <w:ind w:firstLine="420"/>
              <w:rPr>
                <w:rFonts w:hint="default" w:ascii="Arial" w:hAnsi="Arial" w:eastAsia="宋体" w:cs="Arial"/>
                <w:bCs w:val="0"/>
                <w:sz w:val="18"/>
                <w:szCs w:val="18"/>
              </w:rPr>
            </w:pPr>
          </w:p>
        </w:tc>
      </w:tr>
      <w:tr w14:paraId="7BF50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pct"/>
            <w:gridSpan w:val="2"/>
            <w:vMerge w:val="restart"/>
            <w:shd w:val="clear" w:color="auto" w:fill="auto"/>
            <w:vAlign w:val="center"/>
          </w:tcPr>
          <w:p w14:paraId="0A9B7C56">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危险废物管控总量限值</w:t>
            </w:r>
          </w:p>
        </w:tc>
        <w:tc>
          <w:tcPr>
            <w:tcW w:w="1101" w:type="pct"/>
            <w:shd w:val="clear" w:color="auto" w:fill="auto"/>
            <w:vAlign w:val="center"/>
          </w:tcPr>
          <w:p w14:paraId="13B081B9">
            <w:pPr>
              <w:adjustRightInd w:val="0"/>
              <w:snapToGrid w:val="0"/>
              <w:jc w:val="center"/>
              <w:rPr>
                <w:rFonts w:hint="default" w:ascii="Arial" w:hAnsi="Arial" w:eastAsia="宋体" w:cs="Arial"/>
                <w:sz w:val="18"/>
                <w:szCs w:val="18"/>
              </w:rPr>
            </w:pPr>
            <w:r>
              <w:rPr>
                <w:rFonts w:hint="default" w:ascii="Arial" w:hAnsi="Arial" w:eastAsia="宋体" w:cs="Arial"/>
                <w:sz w:val="18"/>
                <w:szCs w:val="18"/>
              </w:rPr>
              <w:t>现状排放量(t/a)</w:t>
            </w:r>
          </w:p>
        </w:tc>
        <w:tc>
          <w:tcPr>
            <w:tcW w:w="1000" w:type="pct"/>
            <w:shd w:val="clear" w:color="auto" w:fill="auto"/>
            <w:vAlign w:val="center"/>
          </w:tcPr>
          <w:p w14:paraId="2EC8BB09">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20600</w:t>
            </w:r>
          </w:p>
        </w:tc>
        <w:tc>
          <w:tcPr>
            <w:tcW w:w="853" w:type="pct"/>
            <w:vMerge w:val="restart"/>
            <w:shd w:val="clear" w:color="auto" w:fill="auto"/>
            <w:vAlign w:val="center"/>
          </w:tcPr>
          <w:p w14:paraId="37525CA3">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能</w:t>
            </w:r>
          </w:p>
        </w:tc>
        <w:tc>
          <w:tcPr>
            <w:tcW w:w="608" w:type="pct"/>
            <w:vMerge w:val="restart"/>
            <w:shd w:val="clear" w:color="auto" w:fill="auto"/>
            <w:vAlign w:val="center"/>
          </w:tcPr>
          <w:p w14:paraId="53F2C1CE">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环评成果预测值</w:t>
            </w:r>
          </w:p>
        </w:tc>
      </w:tr>
      <w:tr w14:paraId="1939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pct"/>
            <w:gridSpan w:val="2"/>
            <w:vMerge w:val="continue"/>
            <w:shd w:val="clear" w:color="auto" w:fill="auto"/>
            <w:vAlign w:val="center"/>
          </w:tcPr>
          <w:p w14:paraId="6BAF9E7D">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670E207C">
            <w:pPr>
              <w:adjustRightInd w:val="0"/>
              <w:snapToGrid w:val="0"/>
              <w:jc w:val="center"/>
              <w:rPr>
                <w:rFonts w:hint="default" w:ascii="Arial" w:hAnsi="Arial" w:eastAsia="宋体" w:cs="Arial"/>
                <w:sz w:val="18"/>
                <w:szCs w:val="18"/>
              </w:rPr>
            </w:pPr>
            <w:r>
              <w:rPr>
                <w:rFonts w:hint="default" w:ascii="Arial" w:hAnsi="Arial" w:eastAsia="宋体" w:cs="Arial"/>
                <w:sz w:val="18"/>
                <w:szCs w:val="18"/>
              </w:rPr>
              <w:t>总量管控限值(t/a)</w:t>
            </w:r>
          </w:p>
        </w:tc>
        <w:tc>
          <w:tcPr>
            <w:tcW w:w="1000" w:type="pct"/>
            <w:shd w:val="clear" w:color="auto" w:fill="auto"/>
            <w:vAlign w:val="center"/>
          </w:tcPr>
          <w:p w14:paraId="2EA4E1BC">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37800</w:t>
            </w:r>
          </w:p>
        </w:tc>
        <w:tc>
          <w:tcPr>
            <w:tcW w:w="853" w:type="pct"/>
            <w:vMerge w:val="continue"/>
            <w:shd w:val="clear" w:color="auto" w:fill="auto"/>
            <w:vAlign w:val="center"/>
          </w:tcPr>
          <w:p w14:paraId="51CF6314">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0EB1BD16">
            <w:pPr>
              <w:pStyle w:val="110"/>
              <w:adjustRightInd w:val="0"/>
              <w:snapToGrid w:val="0"/>
              <w:spacing w:before="0" w:line="240" w:lineRule="auto"/>
              <w:ind w:firstLine="420"/>
              <w:rPr>
                <w:rFonts w:hint="default" w:ascii="Arial" w:hAnsi="Arial" w:eastAsia="宋体" w:cs="Arial"/>
                <w:bCs w:val="0"/>
                <w:sz w:val="18"/>
                <w:szCs w:val="18"/>
              </w:rPr>
            </w:pPr>
          </w:p>
        </w:tc>
      </w:tr>
      <w:tr w14:paraId="364B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8" w:type="pct"/>
            <w:gridSpan w:val="2"/>
            <w:vMerge w:val="continue"/>
            <w:shd w:val="clear" w:color="auto" w:fill="auto"/>
            <w:vAlign w:val="center"/>
          </w:tcPr>
          <w:p w14:paraId="4C9F4544">
            <w:pPr>
              <w:adjustRightInd w:val="0"/>
              <w:snapToGrid w:val="0"/>
              <w:jc w:val="center"/>
              <w:rPr>
                <w:rFonts w:hint="default" w:ascii="Arial" w:hAnsi="Arial" w:eastAsia="宋体" w:cs="Arial"/>
                <w:sz w:val="18"/>
                <w:szCs w:val="18"/>
              </w:rPr>
            </w:pPr>
          </w:p>
        </w:tc>
        <w:tc>
          <w:tcPr>
            <w:tcW w:w="1101" w:type="pct"/>
            <w:shd w:val="clear" w:color="auto" w:fill="auto"/>
            <w:vAlign w:val="center"/>
          </w:tcPr>
          <w:p w14:paraId="3658E747">
            <w:pPr>
              <w:adjustRightInd w:val="0"/>
              <w:snapToGrid w:val="0"/>
              <w:jc w:val="center"/>
              <w:rPr>
                <w:rFonts w:hint="default" w:ascii="Arial" w:hAnsi="Arial" w:eastAsia="宋体" w:cs="Arial"/>
                <w:sz w:val="18"/>
                <w:szCs w:val="18"/>
              </w:rPr>
            </w:pPr>
            <w:r>
              <w:rPr>
                <w:rFonts w:hint="default" w:ascii="Arial" w:hAnsi="Arial" w:eastAsia="宋体" w:cs="Arial"/>
                <w:sz w:val="18"/>
                <w:szCs w:val="18"/>
              </w:rPr>
              <w:t>削减量(t/a)</w:t>
            </w:r>
          </w:p>
        </w:tc>
        <w:tc>
          <w:tcPr>
            <w:tcW w:w="1000" w:type="pct"/>
            <w:shd w:val="clear" w:color="auto" w:fill="auto"/>
            <w:vAlign w:val="center"/>
          </w:tcPr>
          <w:p w14:paraId="733C8741">
            <w:pPr>
              <w:pStyle w:val="110"/>
              <w:adjustRightInd w:val="0"/>
              <w:snapToGrid w:val="0"/>
              <w:spacing w:before="0" w:line="240" w:lineRule="auto"/>
              <w:rPr>
                <w:rFonts w:hint="default" w:ascii="Arial" w:hAnsi="Arial" w:eastAsia="宋体" w:cs="Arial"/>
                <w:bCs w:val="0"/>
                <w:sz w:val="18"/>
                <w:szCs w:val="18"/>
              </w:rPr>
            </w:pPr>
            <w:r>
              <w:rPr>
                <w:rFonts w:hint="default" w:ascii="Arial" w:hAnsi="Arial" w:eastAsia="宋体" w:cs="Arial"/>
                <w:bCs w:val="0"/>
                <w:sz w:val="18"/>
                <w:szCs w:val="18"/>
              </w:rPr>
              <w:t>-</w:t>
            </w:r>
          </w:p>
        </w:tc>
        <w:tc>
          <w:tcPr>
            <w:tcW w:w="853" w:type="pct"/>
            <w:vMerge w:val="continue"/>
            <w:shd w:val="clear" w:color="auto" w:fill="auto"/>
            <w:vAlign w:val="center"/>
          </w:tcPr>
          <w:p w14:paraId="6FB5CFFE">
            <w:pPr>
              <w:pStyle w:val="110"/>
              <w:adjustRightInd w:val="0"/>
              <w:snapToGrid w:val="0"/>
              <w:spacing w:before="0" w:line="240" w:lineRule="auto"/>
              <w:ind w:firstLine="420"/>
              <w:rPr>
                <w:rFonts w:hint="default" w:ascii="Arial" w:hAnsi="Arial" w:eastAsia="宋体" w:cs="Arial"/>
                <w:bCs w:val="0"/>
                <w:sz w:val="18"/>
                <w:szCs w:val="18"/>
              </w:rPr>
            </w:pPr>
          </w:p>
        </w:tc>
        <w:tc>
          <w:tcPr>
            <w:tcW w:w="608" w:type="pct"/>
            <w:vMerge w:val="continue"/>
            <w:shd w:val="clear" w:color="auto" w:fill="auto"/>
            <w:vAlign w:val="center"/>
          </w:tcPr>
          <w:p w14:paraId="464EA276">
            <w:pPr>
              <w:pStyle w:val="110"/>
              <w:adjustRightInd w:val="0"/>
              <w:snapToGrid w:val="0"/>
              <w:spacing w:before="0" w:line="240" w:lineRule="auto"/>
              <w:ind w:firstLine="420"/>
              <w:rPr>
                <w:rFonts w:hint="default" w:ascii="Arial" w:hAnsi="Arial" w:eastAsia="宋体" w:cs="Arial"/>
                <w:bCs w:val="0"/>
                <w:sz w:val="18"/>
                <w:szCs w:val="18"/>
              </w:rPr>
            </w:pPr>
          </w:p>
        </w:tc>
      </w:tr>
    </w:tbl>
    <w:p w14:paraId="0CA65DF1">
      <w:pPr>
        <w:pStyle w:val="76"/>
        <w:keepNext w:val="0"/>
        <w:keepLines w:val="0"/>
        <w:pageBreakBefore w:val="0"/>
        <w:widowControl w:val="0"/>
        <w:numPr>
          <w:ilvl w:val="3"/>
          <w:numId w:val="4"/>
        </w:numPr>
        <w:kinsoku/>
        <w:wordWrap/>
        <w:overflowPunct/>
        <w:topLinePunct w:val="0"/>
        <w:autoSpaceDE/>
        <w:autoSpaceDN/>
        <w:bidi w:val="0"/>
        <w:adjustRightInd/>
        <w:snapToGrid/>
        <w:spacing w:before="171" w:beforeLines="50"/>
        <w:ind w:left="777" w:leftChars="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平湖经济开发区环境标准清单（仅罗列涉及区块内容）</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834"/>
        <w:gridCol w:w="11255"/>
      </w:tblGrid>
      <w:tr w14:paraId="4F82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tcMar>
              <w:left w:w="0" w:type="dxa"/>
              <w:right w:w="0" w:type="dxa"/>
            </w:tcMar>
            <w:vAlign w:val="center"/>
          </w:tcPr>
          <w:p w14:paraId="1C18FBC3">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序号</w:t>
            </w:r>
          </w:p>
        </w:tc>
        <w:tc>
          <w:tcPr>
            <w:tcW w:w="674" w:type="pct"/>
            <w:tcMar>
              <w:left w:w="0" w:type="dxa"/>
              <w:right w:w="0" w:type="dxa"/>
            </w:tcMar>
            <w:vAlign w:val="center"/>
          </w:tcPr>
          <w:p w14:paraId="5528A815">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类别</w:t>
            </w:r>
          </w:p>
        </w:tc>
        <w:tc>
          <w:tcPr>
            <w:tcW w:w="4136" w:type="pct"/>
            <w:tcMar>
              <w:left w:w="0" w:type="dxa"/>
              <w:right w:w="0" w:type="dxa"/>
            </w:tcMar>
            <w:vAlign w:val="center"/>
          </w:tcPr>
          <w:p w14:paraId="651D4BDD">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主要内容</w:t>
            </w:r>
          </w:p>
        </w:tc>
      </w:tr>
      <w:tr w14:paraId="3D630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tcMar>
              <w:left w:w="0" w:type="dxa"/>
              <w:right w:w="0" w:type="dxa"/>
            </w:tcMar>
            <w:vAlign w:val="center"/>
          </w:tcPr>
          <w:p w14:paraId="5DCA1C75">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1</w:t>
            </w:r>
          </w:p>
        </w:tc>
        <w:tc>
          <w:tcPr>
            <w:tcW w:w="674" w:type="pct"/>
            <w:tcMar>
              <w:left w:w="0" w:type="dxa"/>
              <w:right w:w="0" w:type="dxa"/>
            </w:tcMar>
            <w:vAlign w:val="center"/>
          </w:tcPr>
          <w:p w14:paraId="5F54DF04">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空间准入标准</w:t>
            </w:r>
          </w:p>
        </w:tc>
        <w:tc>
          <w:tcPr>
            <w:tcW w:w="4136" w:type="pct"/>
            <w:tcMar>
              <w:left w:w="0" w:type="dxa"/>
              <w:right w:w="0" w:type="dxa"/>
            </w:tcMar>
            <w:vAlign w:val="center"/>
          </w:tcPr>
          <w:p w14:paraId="44C9FBB8">
            <w:pPr>
              <w:adjustRightInd w:val="0"/>
              <w:snapToGrid w:val="0"/>
              <w:rPr>
                <w:rFonts w:hint="default" w:ascii="Arial" w:hAnsi="Arial" w:eastAsia="宋体" w:cs="Arial"/>
                <w:sz w:val="18"/>
                <w:szCs w:val="18"/>
              </w:rPr>
            </w:pPr>
            <w:r>
              <w:rPr>
                <w:rFonts w:hint="default" w:ascii="Arial" w:hAnsi="Arial" w:eastAsia="宋体" w:cs="Arial"/>
                <w:bCs/>
                <w:sz w:val="18"/>
                <w:szCs w:val="18"/>
              </w:rPr>
              <w:t>1、区块（4-1）执行《平湖市环境功能区划》</w:t>
            </w:r>
            <w:r>
              <w:rPr>
                <w:rFonts w:hint="default" w:ascii="Arial" w:hAnsi="Arial" w:eastAsia="宋体" w:cs="Arial"/>
                <w:sz w:val="18"/>
                <w:szCs w:val="18"/>
              </w:rPr>
              <w:t>平湖经济技术开发区环境优化准入区的管控措施；</w:t>
            </w:r>
          </w:p>
        </w:tc>
      </w:tr>
      <w:tr w14:paraId="1137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tcMar>
              <w:left w:w="0" w:type="dxa"/>
              <w:right w:w="0" w:type="dxa"/>
            </w:tcMar>
            <w:vAlign w:val="center"/>
          </w:tcPr>
          <w:p w14:paraId="66912506">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2</w:t>
            </w:r>
          </w:p>
        </w:tc>
        <w:tc>
          <w:tcPr>
            <w:tcW w:w="674" w:type="pct"/>
            <w:tcMar>
              <w:left w:w="0" w:type="dxa"/>
              <w:right w:w="0" w:type="dxa"/>
            </w:tcMar>
            <w:vAlign w:val="center"/>
          </w:tcPr>
          <w:p w14:paraId="544E75F7">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污染物排放标准</w:t>
            </w:r>
          </w:p>
        </w:tc>
        <w:tc>
          <w:tcPr>
            <w:tcW w:w="4136" w:type="pct"/>
            <w:tcMar>
              <w:left w:w="0" w:type="dxa"/>
              <w:right w:w="0" w:type="dxa"/>
            </w:tcMar>
            <w:vAlign w:val="center"/>
          </w:tcPr>
          <w:p w14:paraId="392F7FD7">
            <w:pPr>
              <w:adjustRightInd w:val="0"/>
              <w:snapToGrid w:val="0"/>
              <w:ind w:firstLine="482"/>
              <w:jc w:val="center"/>
              <w:rPr>
                <w:rFonts w:hint="default" w:ascii="Arial" w:hAnsi="Arial" w:eastAsia="宋体" w:cs="Arial"/>
                <w:b/>
                <w:bCs/>
                <w:sz w:val="18"/>
                <w:szCs w:val="18"/>
              </w:rPr>
            </w:pPr>
            <w:r>
              <w:rPr>
                <w:rFonts w:hint="default" w:ascii="Arial" w:hAnsi="Arial" w:eastAsia="宋体" w:cs="Arial"/>
                <w:b/>
                <w:sz w:val="18"/>
                <w:szCs w:val="18"/>
              </w:rPr>
              <w:t>国家和地方各类污染物排放标准</w:t>
            </w:r>
          </w:p>
        </w:tc>
      </w:tr>
      <w:tr w14:paraId="4CCA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tcMar>
              <w:left w:w="0" w:type="dxa"/>
              <w:right w:w="0" w:type="dxa"/>
            </w:tcMar>
            <w:vAlign w:val="center"/>
          </w:tcPr>
          <w:p w14:paraId="66FA6422">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3</w:t>
            </w:r>
          </w:p>
        </w:tc>
        <w:tc>
          <w:tcPr>
            <w:tcW w:w="674" w:type="pct"/>
            <w:tcMar>
              <w:left w:w="0" w:type="dxa"/>
              <w:right w:w="0" w:type="dxa"/>
            </w:tcMar>
            <w:vAlign w:val="center"/>
          </w:tcPr>
          <w:p w14:paraId="0CF27F32">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环境质量管控标准</w:t>
            </w:r>
          </w:p>
        </w:tc>
        <w:tc>
          <w:tcPr>
            <w:tcW w:w="4136" w:type="pct"/>
            <w:tcMar>
              <w:left w:w="0" w:type="dxa"/>
              <w:right w:w="0" w:type="dxa"/>
            </w:tcMar>
            <w:vAlign w:val="center"/>
          </w:tcPr>
          <w:p w14:paraId="2F448268">
            <w:pPr>
              <w:adjustRightInd w:val="0"/>
              <w:snapToGrid w:val="0"/>
              <w:rPr>
                <w:rFonts w:hint="default" w:ascii="Arial" w:hAnsi="Arial" w:eastAsia="宋体" w:cs="Arial"/>
                <w:sz w:val="18"/>
                <w:szCs w:val="18"/>
              </w:rPr>
            </w:pPr>
            <w:r>
              <w:rPr>
                <w:rFonts w:hint="default" w:ascii="Arial" w:hAnsi="Arial" w:eastAsia="宋体" w:cs="Arial"/>
                <w:sz w:val="18"/>
                <w:szCs w:val="18"/>
              </w:rPr>
              <w:t>1、环境空气：GB3095-2012《环境空气质量标准》二级、TJ36-79《工业企业设计卫生标准》“居住区大气中有害物质的最高容许浓度”及CH245-71前苏联《工业企业设计卫生标准》居住区空气环境中极限允许浓度值；</w:t>
            </w:r>
          </w:p>
          <w:p w14:paraId="48DB8826">
            <w:pPr>
              <w:adjustRightInd w:val="0"/>
              <w:snapToGrid w:val="0"/>
              <w:rPr>
                <w:rFonts w:hint="default" w:ascii="Arial" w:hAnsi="Arial" w:eastAsia="宋体" w:cs="Arial"/>
                <w:sz w:val="18"/>
                <w:szCs w:val="18"/>
              </w:rPr>
            </w:pPr>
            <w:r>
              <w:rPr>
                <w:rFonts w:hint="default" w:ascii="Arial" w:hAnsi="Arial" w:eastAsia="宋体" w:cs="Arial"/>
                <w:sz w:val="18"/>
                <w:szCs w:val="18"/>
              </w:rPr>
              <w:t>2、地表水环境：根据《浙江省水功能区水环境功能区划分方案（2015）》（浙政函[2015]71号）确定；</w:t>
            </w:r>
          </w:p>
          <w:p w14:paraId="69C2AF12">
            <w:pPr>
              <w:adjustRightInd w:val="0"/>
              <w:snapToGrid w:val="0"/>
              <w:rPr>
                <w:rFonts w:hint="default" w:ascii="Arial" w:hAnsi="Arial" w:eastAsia="宋体" w:cs="Arial"/>
                <w:sz w:val="18"/>
                <w:szCs w:val="18"/>
              </w:rPr>
            </w:pPr>
            <w:r>
              <w:rPr>
                <w:rFonts w:hint="default" w:ascii="Arial" w:hAnsi="Arial" w:eastAsia="宋体" w:cs="Arial"/>
                <w:sz w:val="18"/>
                <w:szCs w:val="18"/>
              </w:rPr>
              <w:t>3、地下水环境：《地下水质量标准》（GB/T14848-93）Ⅲ类标准</w:t>
            </w:r>
          </w:p>
          <w:p w14:paraId="3A6EC843">
            <w:pPr>
              <w:adjustRightInd w:val="0"/>
              <w:snapToGrid w:val="0"/>
              <w:rPr>
                <w:rFonts w:hint="default" w:ascii="Arial" w:hAnsi="Arial" w:eastAsia="宋体" w:cs="Arial"/>
                <w:sz w:val="18"/>
                <w:szCs w:val="18"/>
              </w:rPr>
            </w:pPr>
            <w:r>
              <w:rPr>
                <w:rFonts w:hint="default" w:ascii="Arial" w:hAnsi="Arial" w:eastAsia="宋体" w:cs="Arial"/>
                <w:sz w:val="18"/>
                <w:szCs w:val="18"/>
              </w:rPr>
              <w:t>4、噪声环境：工业用地为3类声环境功能区，商业居住用地执行2类声环境功能，而区内交通干线两侧区域则执行4a类声环境功能。敏感保护目标处执行2类声环境功能。</w:t>
            </w:r>
          </w:p>
          <w:p w14:paraId="68E3747A">
            <w:pPr>
              <w:adjustRightInd w:val="0"/>
              <w:snapToGrid w:val="0"/>
              <w:rPr>
                <w:rFonts w:hint="default" w:ascii="Arial" w:hAnsi="Arial" w:eastAsia="宋体" w:cs="Arial"/>
                <w:bCs/>
                <w:sz w:val="18"/>
                <w:szCs w:val="18"/>
              </w:rPr>
            </w:pPr>
            <w:r>
              <w:rPr>
                <w:rFonts w:hint="default" w:ascii="Arial" w:hAnsi="Arial" w:eastAsia="宋体" w:cs="Arial"/>
                <w:sz w:val="18"/>
                <w:szCs w:val="18"/>
              </w:rPr>
              <w:t>5、土壤及河道底泥环境：工业用地执行《土壤环境质量标准》（GB15618-1995）三级标准，农业生产用地及居住、商业用地、河道底泥执行《土壤环境质量标准》(GB15618-1995)二级标准；</w:t>
            </w:r>
          </w:p>
        </w:tc>
      </w:tr>
      <w:tr w14:paraId="76476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tcMar>
              <w:left w:w="0" w:type="dxa"/>
              <w:right w:w="0" w:type="dxa"/>
            </w:tcMar>
            <w:vAlign w:val="center"/>
          </w:tcPr>
          <w:p w14:paraId="35CB79D2">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4</w:t>
            </w:r>
          </w:p>
        </w:tc>
        <w:tc>
          <w:tcPr>
            <w:tcW w:w="674" w:type="pct"/>
            <w:tcMar>
              <w:left w:w="0" w:type="dxa"/>
              <w:right w:w="0" w:type="dxa"/>
            </w:tcMar>
            <w:vAlign w:val="center"/>
          </w:tcPr>
          <w:p w14:paraId="0B1B735E">
            <w:pPr>
              <w:adjustRightInd w:val="0"/>
              <w:snapToGrid w:val="0"/>
              <w:jc w:val="center"/>
              <w:rPr>
                <w:rFonts w:hint="default" w:ascii="Arial" w:hAnsi="Arial" w:eastAsia="宋体" w:cs="Arial"/>
                <w:bCs/>
                <w:sz w:val="18"/>
                <w:szCs w:val="18"/>
              </w:rPr>
            </w:pPr>
            <w:r>
              <w:rPr>
                <w:rFonts w:hint="default" w:ascii="Arial" w:hAnsi="Arial" w:eastAsia="宋体" w:cs="Arial"/>
                <w:bCs/>
                <w:sz w:val="18"/>
                <w:szCs w:val="18"/>
              </w:rPr>
              <w:t>行业准入标准</w:t>
            </w:r>
          </w:p>
        </w:tc>
        <w:tc>
          <w:tcPr>
            <w:tcW w:w="4136" w:type="pct"/>
            <w:tcMar>
              <w:left w:w="0" w:type="dxa"/>
              <w:right w:w="0" w:type="dxa"/>
            </w:tcMar>
            <w:vAlign w:val="center"/>
          </w:tcPr>
          <w:p w14:paraId="64AEB762">
            <w:pPr>
              <w:adjustRightInd w:val="0"/>
              <w:snapToGrid w:val="0"/>
              <w:ind w:firstLine="482"/>
              <w:rPr>
                <w:rFonts w:hint="default" w:ascii="Arial" w:hAnsi="Arial" w:eastAsia="宋体" w:cs="Arial"/>
                <w:b/>
                <w:bCs/>
                <w:sz w:val="18"/>
                <w:szCs w:val="18"/>
              </w:rPr>
            </w:pPr>
            <w:r>
              <w:rPr>
                <w:rFonts w:hint="default" w:ascii="Arial" w:hAnsi="Arial" w:eastAsia="宋体" w:cs="Arial"/>
                <w:b/>
                <w:bCs/>
                <w:sz w:val="18"/>
                <w:szCs w:val="18"/>
              </w:rPr>
              <w:t>行业清单否定性指标：</w:t>
            </w:r>
          </w:p>
          <w:p w14:paraId="3AD07774">
            <w:pPr>
              <w:adjustRightInd w:val="0"/>
              <w:snapToGrid w:val="0"/>
              <w:ind w:firstLine="360" w:firstLineChars="200"/>
              <w:rPr>
                <w:rFonts w:hint="default" w:ascii="Arial" w:hAnsi="Arial" w:eastAsia="宋体" w:cs="Arial"/>
                <w:bCs/>
                <w:sz w:val="18"/>
                <w:szCs w:val="18"/>
              </w:rPr>
            </w:pPr>
            <w:r>
              <w:rPr>
                <w:rFonts w:hint="default" w:ascii="Arial" w:hAnsi="Arial" w:eastAsia="宋体" w:cs="Arial"/>
                <w:sz w:val="18"/>
                <w:szCs w:val="18"/>
              </w:rPr>
              <w:t>①项目万元工业增加值综合能耗低于本市“十三五”末控制指标，或低于嘉兴市行业平均水平10%以上；</w:t>
            </w:r>
          </w:p>
          <w:p w14:paraId="71BA8D76">
            <w:pPr>
              <w:pStyle w:val="108"/>
              <w:spacing w:beforeLines="0" w:line="320" w:lineRule="exact"/>
              <w:ind w:firstLine="420"/>
              <w:jc w:val="left"/>
              <w:rPr>
                <w:rFonts w:hint="default" w:ascii="Arial" w:hAnsi="Arial" w:eastAsia="宋体" w:cs="Arial"/>
                <w:sz w:val="18"/>
                <w:szCs w:val="18"/>
              </w:rPr>
            </w:pPr>
            <w:r>
              <w:rPr>
                <w:rFonts w:hint="default" w:ascii="Arial" w:hAnsi="Arial" w:eastAsia="宋体" w:cs="Arial"/>
                <w:sz w:val="18"/>
                <w:szCs w:val="18"/>
              </w:rPr>
              <w:t>②COD亩均排放量低于全市平均水平，投资排污强度低于全市前两年平均水平；</w:t>
            </w:r>
          </w:p>
          <w:p w14:paraId="33E5D33D">
            <w:pPr>
              <w:adjustRightInd w:val="0"/>
              <w:snapToGrid w:val="0"/>
              <w:rPr>
                <w:rFonts w:hint="default" w:ascii="Arial" w:hAnsi="Arial" w:eastAsia="宋体" w:cs="Arial"/>
                <w:bCs/>
                <w:sz w:val="18"/>
                <w:szCs w:val="18"/>
              </w:rPr>
            </w:pPr>
            <w:r>
              <w:rPr>
                <w:rFonts w:hint="default" w:ascii="Arial" w:hAnsi="Arial" w:eastAsia="宋体" w:cs="Arial"/>
                <w:sz w:val="18"/>
                <w:szCs w:val="18"/>
              </w:rPr>
              <w:t>不能符合以上两个条件不能准入。</w:t>
            </w:r>
          </w:p>
          <w:p w14:paraId="2F42A481">
            <w:pPr>
              <w:ind w:firstLine="482"/>
              <w:rPr>
                <w:rFonts w:hint="default" w:ascii="Arial" w:hAnsi="Arial" w:eastAsia="宋体" w:cs="Arial"/>
                <w:sz w:val="18"/>
                <w:szCs w:val="18"/>
              </w:rPr>
            </w:pPr>
            <w:r>
              <w:rPr>
                <w:rFonts w:hint="default" w:ascii="Arial" w:hAnsi="Arial" w:eastAsia="宋体" w:cs="Arial"/>
                <w:b/>
                <w:sz w:val="18"/>
                <w:szCs w:val="18"/>
              </w:rPr>
              <w:t>区块4-1：</w:t>
            </w:r>
            <w:r>
              <w:rPr>
                <w:rFonts w:hint="default" w:ascii="Arial" w:hAnsi="Arial" w:eastAsia="宋体" w:cs="Arial"/>
                <w:sz w:val="18"/>
                <w:szCs w:val="18"/>
              </w:rPr>
              <w:t>执行《平湖市环境功能区划》平湖经济技术开发区环境优化准入区中禁止的行业类别。</w:t>
            </w:r>
          </w:p>
          <w:p w14:paraId="201AC89C">
            <w:pPr>
              <w:pStyle w:val="108"/>
              <w:adjustRightInd w:val="0"/>
              <w:spacing w:beforeLines="0" w:line="240" w:lineRule="auto"/>
              <w:ind w:firstLine="422"/>
              <w:jc w:val="both"/>
              <w:rPr>
                <w:rFonts w:hint="default" w:ascii="Arial" w:hAnsi="Arial" w:eastAsia="宋体" w:cs="Arial"/>
                <w:bCs/>
                <w:sz w:val="18"/>
                <w:szCs w:val="18"/>
              </w:rPr>
            </w:pPr>
            <w:r>
              <w:rPr>
                <w:rFonts w:hint="default" w:ascii="Arial" w:hAnsi="Arial" w:eastAsia="宋体" w:cs="Arial"/>
                <w:b/>
                <w:sz w:val="18"/>
                <w:szCs w:val="18"/>
              </w:rPr>
              <w:t>禁止发展：</w:t>
            </w:r>
            <w:r>
              <w:rPr>
                <w:rFonts w:hint="default" w:ascii="Arial" w:hAnsi="Arial" w:eastAsia="宋体" w:cs="Arial"/>
                <w:sz w:val="18"/>
                <w:szCs w:val="18"/>
              </w:rPr>
              <w:t>《产业结构调整指导目录(2011本)》(2013年修改)、《外商投资产业指导目录(2015年修订)》、《浙江省制造业产业发展导向目录》、《浙江省淘汰落后生产能力目录》、《浙江省产业环境准入指导意见》、《平湖市工业投资项目准入评价实施办法》等文件限制和禁止的工艺。</w:t>
            </w:r>
          </w:p>
        </w:tc>
      </w:tr>
    </w:tbl>
    <w:p w14:paraId="4ECA128B">
      <w:pPr>
        <w:pStyle w:val="76"/>
        <w:keepNext w:val="0"/>
        <w:keepLines w:val="0"/>
        <w:pageBreakBefore w:val="0"/>
        <w:widowControl w:val="0"/>
        <w:numPr>
          <w:ilvl w:val="3"/>
          <w:numId w:val="4"/>
        </w:numPr>
        <w:kinsoku/>
        <w:wordWrap/>
        <w:overflowPunct/>
        <w:topLinePunct w:val="0"/>
        <w:autoSpaceDE/>
        <w:autoSpaceDN/>
        <w:bidi w:val="0"/>
        <w:adjustRightInd/>
        <w:snapToGrid/>
        <w:spacing w:before="171" w:beforeLines="50"/>
        <w:ind w:left="777" w:leftChars="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平湖经济开发区规划优化调整建议清单</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68"/>
        <w:gridCol w:w="8417"/>
        <w:gridCol w:w="4221"/>
      </w:tblGrid>
      <w:tr w14:paraId="31616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6" w:type="pct"/>
            <w:vAlign w:val="center"/>
          </w:tcPr>
          <w:p w14:paraId="0CF681E2">
            <w:pPr>
              <w:pStyle w:val="98"/>
              <w:spacing w:line="240" w:lineRule="auto"/>
              <w:rPr>
                <w:rFonts w:hint="default" w:ascii="Arial" w:hAnsi="Arial" w:eastAsia="宋体" w:cs="Arial"/>
                <w:snapToGrid w:val="0"/>
                <w:sz w:val="18"/>
                <w:szCs w:val="18"/>
              </w:rPr>
            </w:pPr>
            <w:r>
              <w:rPr>
                <w:rFonts w:hint="default" w:ascii="Arial" w:hAnsi="Arial" w:eastAsia="宋体" w:cs="Arial"/>
                <w:snapToGrid w:val="0"/>
                <w:sz w:val="18"/>
                <w:szCs w:val="18"/>
              </w:rPr>
              <w:t>类型</w:t>
            </w:r>
          </w:p>
        </w:tc>
        <w:tc>
          <w:tcPr>
            <w:tcW w:w="3093" w:type="pct"/>
            <w:vAlign w:val="center"/>
          </w:tcPr>
          <w:p w14:paraId="636E33E5">
            <w:pPr>
              <w:pStyle w:val="98"/>
              <w:spacing w:line="240" w:lineRule="auto"/>
              <w:rPr>
                <w:rFonts w:hint="default" w:ascii="Arial" w:hAnsi="Arial" w:eastAsia="宋体" w:cs="Arial"/>
                <w:snapToGrid w:val="0"/>
                <w:sz w:val="18"/>
                <w:szCs w:val="18"/>
              </w:rPr>
            </w:pPr>
            <w:r>
              <w:rPr>
                <w:rFonts w:hint="default" w:ascii="Arial" w:hAnsi="Arial" w:eastAsia="宋体" w:cs="Arial"/>
                <w:snapToGrid w:val="0"/>
                <w:sz w:val="18"/>
                <w:szCs w:val="18"/>
              </w:rPr>
              <w:t>具体优化方案</w:t>
            </w:r>
          </w:p>
        </w:tc>
        <w:tc>
          <w:tcPr>
            <w:tcW w:w="1551" w:type="pct"/>
          </w:tcPr>
          <w:p w14:paraId="32294085">
            <w:pPr>
              <w:pStyle w:val="98"/>
              <w:spacing w:line="240" w:lineRule="auto"/>
              <w:rPr>
                <w:rFonts w:hint="default" w:ascii="Arial" w:hAnsi="Arial" w:eastAsia="宋体" w:cs="Arial"/>
                <w:snapToGrid w:val="0"/>
                <w:sz w:val="18"/>
                <w:szCs w:val="18"/>
              </w:rPr>
            </w:pPr>
            <w:r>
              <w:rPr>
                <w:rFonts w:hint="default" w:ascii="Arial" w:hAnsi="Arial" w:eastAsia="宋体" w:cs="Arial"/>
                <w:snapToGrid w:val="0"/>
                <w:sz w:val="18"/>
                <w:szCs w:val="18"/>
              </w:rPr>
              <w:t>原因</w:t>
            </w:r>
          </w:p>
        </w:tc>
      </w:tr>
      <w:tr w14:paraId="3CB0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6" w:type="pct"/>
            <w:vAlign w:val="center"/>
          </w:tcPr>
          <w:p w14:paraId="150BF931">
            <w:pPr>
              <w:pStyle w:val="98"/>
              <w:spacing w:line="240" w:lineRule="auto"/>
              <w:rPr>
                <w:rFonts w:hint="default" w:ascii="Arial" w:hAnsi="Arial" w:eastAsia="宋体" w:cs="Arial"/>
                <w:snapToGrid w:val="0"/>
                <w:sz w:val="18"/>
                <w:szCs w:val="18"/>
              </w:rPr>
            </w:pPr>
            <w:r>
              <w:rPr>
                <w:rFonts w:hint="default" w:ascii="Arial" w:hAnsi="Arial" w:eastAsia="宋体" w:cs="Arial"/>
                <w:snapToGrid w:val="0"/>
                <w:sz w:val="18"/>
                <w:szCs w:val="18"/>
              </w:rPr>
              <w:t>用地布局</w:t>
            </w:r>
          </w:p>
        </w:tc>
        <w:tc>
          <w:tcPr>
            <w:tcW w:w="3093" w:type="pct"/>
            <w:vAlign w:val="center"/>
          </w:tcPr>
          <w:p w14:paraId="07CE4CB0">
            <w:pPr>
              <w:pStyle w:val="98"/>
              <w:spacing w:line="240" w:lineRule="auto"/>
              <w:jc w:val="both"/>
              <w:rPr>
                <w:rFonts w:hint="default" w:ascii="Arial" w:hAnsi="Arial" w:eastAsia="宋体" w:cs="Arial"/>
                <w:snapToGrid w:val="0"/>
                <w:sz w:val="18"/>
                <w:szCs w:val="18"/>
              </w:rPr>
            </w:pPr>
            <w:r>
              <w:rPr>
                <w:rFonts w:hint="default" w:ascii="Arial" w:hAnsi="Arial" w:eastAsia="宋体" w:cs="Arial"/>
                <w:snapToGrid w:val="0"/>
                <w:sz w:val="18"/>
                <w:szCs w:val="18"/>
              </w:rPr>
              <w:t>1、环北二路以南工业用地调整为居住、商业用地。</w:t>
            </w:r>
          </w:p>
          <w:p w14:paraId="40770FE0">
            <w:pPr>
              <w:pStyle w:val="98"/>
              <w:spacing w:line="240" w:lineRule="auto"/>
              <w:jc w:val="both"/>
              <w:rPr>
                <w:rFonts w:hint="default" w:ascii="Arial" w:hAnsi="Arial" w:eastAsia="宋体" w:cs="Arial"/>
                <w:snapToGrid w:val="0"/>
                <w:sz w:val="18"/>
                <w:szCs w:val="18"/>
              </w:rPr>
            </w:pPr>
            <w:r>
              <w:rPr>
                <w:rFonts w:hint="default" w:ascii="Arial" w:hAnsi="Arial" w:eastAsia="宋体" w:cs="Arial"/>
                <w:snapToGrid w:val="0"/>
                <w:sz w:val="18"/>
                <w:szCs w:val="18"/>
              </w:rPr>
              <w:t>2、永兴路以北，兴平四路以西，禾兴路以南，西至边界，工业用地调整为居住商业用地。</w:t>
            </w:r>
          </w:p>
          <w:p w14:paraId="1B4A310C">
            <w:pPr>
              <w:pStyle w:val="98"/>
              <w:spacing w:line="240" w:lineRule="auto"/>
              <w:jc w:val="both"/>
              <w:rPr>
                <w:rFonts w:hint="default" w:ascii="Arial" w:hAnsi="Arial" w:eastAsia="宋体" w:cs="Arial"/>
                <w:snapToGrid w:val="0"/>
                <w:sz w:val="18"/>
                <w:szCs w:val="18"/>
              </w:rPr>
            </w:pPr>
            <w:r>
              <w:rPr>
                <w:rFonts w:hint="default" w:ascii="Arial" w:hAnsi="Arial" w:eastAsia="宋体" w:cs="Arial"/>
                <w:snapToGrid w:val="0"/>
                <w:sz w:val="18"/>
                <w:szCs w:val="18"/>
              </w:rPr>
              <w:t>3、永兴路以北，平湖大路以东、独黎路以南，平湖塘以西，工业用地调整为居住商业用地。</w:t>
            </w:r>
          </w:p>
          <w:p w14:paraId="2840347C">
            <w:pPr>
              <w:pStyle w:val="98"/>
              <w:spacing w:line="240" w:lineRule="auto"/>
              <w:jc w:val="both"/>
              <w:rPr>
                <w:rFonts w:hint="default" w:ascii="Arial" w:hAnsi="Arial" w:eastAsia="宋体" w:cs="Arial"/>
                <w:snapToGrid w:val="0"/>
                <w:sz w:val="18"/>
                <w:szCs w:val="18"/>
              </w:rPr>
            </w:pPr>
            <w:r>
              <w:rPr>
                <w:rFonts w:hint="default" w:ascii="Arial" w:hAnsi="Arial" w:eastAsia="宋体" w:cs="Arial"/>
                <w:snapToGrid w:val="0"/>
                <w:sz w:val="18"/>
                <w:szCs w:val="18"/>
              </w:rPr>
              <w:t>4、新兴二路西侧、平全公路北侧的钟埭集镇片区居住用地布设50米以上的绿化、河道隔离带。</w:t>
            </w:r>
          </w:p>
        </w:tc>
        <w:tc>
          <w:tcPr>
            <w:tcW w:w="1551" w:type="pct"/>
            <w:vAlign w:val="center"/>
          </w:tcPr>
          <w:p w14:paraId="1E5F4324">
            <w:pPr>
              <w:pStyle w:val="98"/>
              <w:spacing w:line="240" w:lineRule="auto"/>
              <w:rPr>
                <w:rFonts w:hint="default" w:ascii="Arial" w:hAnsi="Arial" w:eastAsia="宋体" w:cs="Arial"/>
                <w:sz w:val="18"/>
                <w:szCs w:val="18"/>
              </w:rPr>
            </w:pPr>
            <w:r>
              <w:rPr>
                <w:rFonts w:hint="default" w:ascii="Arial" w:hAnsi="Arial" w:eastAsia="宋体" w:cs="Arial"/>
                <w:sz w:val="18"/>
                <w:szCs w:val="18"/>
              </w:rPr>
              <w:t>居住用地和工业用地布局混杂。</w:t>
            </w:r>
          </w:p>
        </w:tc>
      </w:tr>
      <w:tr w14:paraId="1E71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6" w:type="pct"/>
            <w:vAlign w:val="center"/>
          </w:tcPr>
          <w:p w14:paraId="6FBFE078">
            <w:pPr>
              <w:pStyle w:val="98"/>
              <w:spacing w:line="240" w:lineRule="auto"/>
              <w:rPr>
                <w:rFonts w:hint="default" w:ascii="Arial" w:hAnsi="Arial" w:eastAsia="宋体" w:cs="Arial"/>
                <w:snapToGrid w:val="0"/>
                <w:sz w:val="18"/>
                <w:szCs w:val="18"/>
              </w:rPr>
            </w:pPr>
            <w:r>
              <w:rPr>
                <w:rFonts w:hint="default" w:ascii="Arial" w:hAnsi="Arial" w:eastAsia="宋体" w:cs="Arial"/>
                <w:snapToGrid w:val="0"/>
                <w:sz w:val="18"/>
                <w:szCs w:val="18"/>
              </w:rPr>
              <w:t>产业结构</w:t>
            </w:r>
          </w:p>
        </w:tc>
        <w:tc>
          <w:tcPr>
            <w:tcW w:w="3093" w:type="pct"/>
            <w:vAlign w:val="center"/>
          </w:tcPr>
          <w:p w14:paraId="7E293363">
            <w:pPr>
              <w:pStyle w:val="98"/>
              <w:spacing w:line="240" w:lineRule="auto"/>
              <w:jc w:val="both"/>
              <w:rPr>
                <w:rFonts w:hint="default" w:ascii="Arial" w:hAnsi="Arial" w:eastAsia="宋体" w:cs="Arial"/>
                <w:snapToGrid w:val="0"/>
                <w:sz w:val="18"/>
                <w:szCs w:val="18"/>
              </w:rPr>
            </w:pPr>
            <w:r>
              <w:rPr>
                <w:rFonts w:hint="default" w:ascii="Arial" w:hAnsi="Arial" w:eastAsia="宋体" w:cs="Arial"/>
                <w:snapToGrid w:val="0"/>
                <w:sz w:val="18"/>
                <w:szCs w:val="18"/>
              </w:rPr>
              <w:t>1、独黎路以南传统光机电产业区布局无污染、低污染项目。现有三类工业实施减排技改或整体搬迁。</w:t>
            </w:r>
          </w:p>
          <w:p w14:paraId="334B8E30">
            <w:pPr>
              <w:pStyle w:val="98"/>
              <w:spacing w:line="240" w:lineRule="auto"/>
              <w:jc w:val="both"/>
              <w:rPr>
                <w:rFonts w:hint="default" w:ascii="Arial" w:hAnsi="Arial" w:eastAsia="宋体" w:cs="Arial"/>
                <w:snapToGrid w:val="0"/>
                <w:sz w:val="18"/>
                <w:szCs w:val="18"/>
              </w:rPr>
            </w:pPr>
            <w:r>
              <w:rPr>
                <w:rFonts w:hint="default" w:ascii="Arial" w:hAnsi="Arial" w:eastAsia="宋体" w:cs="Arial"/>
                <w:snapToGrid w:val="0"/>
                <w:sz w:val="18"/>
                <w:szCs w:val="18"/>
              </w:rPr>
              <w:t>2、新兴二路东侧、平全公路南侧100米区域内布局无污染、低污染项目。现有三类工业和产生废气污染物的二类工业实施减排技改或整体搬迁。</w:t>
            </w:r>
          </w:p>
        </w:tc>
        <w:tc>
          <w:tcPr>
            <w:tcW w:w="1551" w:type="pct"/>
            <w:vAlign w:val="center"/>
          </w:tcPr>
          <w:p w14:paraId="346378E7">
            <w:pPr>
              <w:pStyle w:val="98"/>
              <w:spacing w:line="240" w:lineRule="auto"/>
              <w:rPr>
                <w:rFonts w:hint="default" w:ascii="Arial" w:hAnsi="Arial" w:eastAsia="宋体" w:cs="Arial"/>
                <w:sz w:val="18"/>
                <w:szCs w:val="18"/>
              </w:rPr>
            </w:pPr>
            <w:r>
              <w:rPr>
                <w:rFonts w:hint="default" w:ascii="Arial" w:hAnsi="Arial" w:eastAsia="宋体" w:cs="Arial"/>
                <w:sz w:val="18"/>
                <w:szCs w:val="18"/>
              </w:rPr>
              <w:t>紧邻平湖市规划居住区</w:t>
            </w:r>
          </w:p>
        </w:tc>
      </w:tr>
      <w:tr w14:paraId="64C4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9" w:hRule="atLeast"/>
          <w:jc w:val="center"/>
        </w:trPr>
        <w:tc>
          <w:tcPr>
            <w:tcW w:w="356" w:type="pct"/>
            <w:vMerge w:val="restart"/>
            <w:vAlign w:val="center"/>
          </w:tcPr>
          <w:p w14:paraId="1C502018">
            <w:pPr>
              <w:pStyle w:val="98"/>
              <w:spacing w:line="240" w:lineRule="auto"/>
              <w:rPr>
                <w:rFonts w:hint="default" w:ascii="Arial" w:hAnsi="Arial" w:eastAsia="宋体" w:cs="Arial"/>
                <w:snapToGrid w:val="0"/>
                <w:sz w:val="18"/>
                <w:szCs w:val="18"/>
              </w:rPr>
            </w:pPr>
            <w:r>
              <w:rPr>
                <w:rFonts w:hint="default" w:ascii="Arial" w:hAnsi="Arial" w:eastAsia="宋体" w:cs="Arial"/>
                <w:snapToGrid w:val="0"/>
                <w:sz w:val="18"/>
                <w:szCs w:val="18"/>
              </w:rPr>
              <w:t>基础设施</w:t>
            </w:r>
          </w:p>
        </w:tc>
        <w:tc>
          <w:tcPr>
            <w:tcW w:w="3093" w:type="pct"/>
            <w:vAlign w:val="center"/>
          </w:tcPr>
          <w:p w14:paraId="637F5AE7">
            <w:pPr>
              <w:pStyle w:val="98"/>
              <w:spacing w:line="240" w:lineRule="auto"/>
              <w:jc w:val="both"/>
              <w:rPr>
                <w:rFonts w:hint="default" w:ascii="Arial" w:hAnsi="Arial" w:eastAsia="宋体" w:cs="Arial"/>
                <w:snapToGrid w:val="0"/>
                <w:sz w:val="18"/>
                <w:szCs w:val="18"/>
              </w:rPr>
            </w:pPr>
            <w:r>
              <w:rPr>
                <w:rFonts w:hint="default" w:ascii="Arial" w:hAnsi="Arial" w:eastAsia="宋体" w:cs="Arial"/>
                <w:sz w:val="18"/>
                <w:szCs w:val="18"/>
              </w:rPr>
              <w:t>加强中水回用，推进分质供水。</w:t>
            </w:r>
          </w:p>
        </w:tc>
        <w:tc>
          <w:tcPr>
            <w:tcW w:w="1551" w:type="pct"/>
            <w:vAlign w:val="center"/>
          </w:tcPr>
          <w:p w14:paraId="7682B51B">
            <w:pPr>
              <w:pStyle w:val="98"/>
              <w:spacing w:line="240" w:lineRule="auto"/>
              <w:rPr>
                <w:rFonts w:hint="default" w:ascii="Arial" w:hAnsi="Arial" w:eastAsia="宋体" w:cs="Arial"/>
                <w:snapToGrid w:val="0"/>
                <w:sz w:val="18"/>
                <w:szCs w:val="18"/>
              </w:rPr>
            </w:pPr>
            <w:r>
              <w:rPr>
                <w:rFonts w:hint="default" w:ascii="Arial" w:hAnsi="Arial" w:eastAsia="宋体" w:cs="Arial"/>
                <w:snapToGrid w:val="0"/>
                <w:sz w:val="18"/>
                <w:szCs w:val="18"/>
              </w:rPr>
              <w:t>区域水资源水质型缺水。</w:t>
            </w:r>
          </w:p>
        </w:tc>
      </w:tr>
      <w:tr w14:paraId="2932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6" w:type="pct"/>
            <w:vMerge w:val="continue"/>
            <w:vAlign w:val="center"/>
          </w:tcPr>
          <w:p w14:paraId="5E240134">
            <w:pPr>
              <w:pStyle w:val="98"/>
              <w:spacing w:line="240" w:lineRule="auto"/>
              <w:rPr>
                <w:rFonts w:hint="default" w:ascii="Arial" w:hAnsi="Arial" w:eastAsia="宋体" w:cs="Arial"/>
                <w:snapToGrid w:val="0"/>
                <w:sz w:val="18"/>
                <w:szCs w:val="18"/>
              </w:rPr>
            </w:pPr>
          </w:p>
        </w:tc>
        <w:tc>
          <w:tcPr>
            <w:tcW w:w="3093" w:type="pct"/>
            <w:vAlign w:val="center"/>
          </w:tcPr>
          <w:p w14:paraId="52E4C9C0">
            <w:pPr>
              <w:pStyle w:val="98"/>
              <w:spacing w:line="240" w:lineRule="auto"/>
              <w:jc w:val="both"/>
              <w:rPr>
                <w:rFonts w:hint="default" w:ascii="Arial" w:hAnsi="Arial" w:eastAsia="宋体" w:cs="Arial"/>
                <w:snapToGrid w:val="0"/>
                <w:sz w:val="18"/>
                <w:szCs w:val="18"/>
              </w:rPr>
            </w:pPr>
            <w:r>
              <w:rPr>
                <w:rFonts w:hint="default" w:ascii="Arial" w:hAnsi="Arial" w:eastAsia="宋体" w:cs="Arial"/>
                <w:snapToGrid w:val="0"/>
                <w:sz w:val="18"/>
                <w:szCs w:val="18"/>
              </w:rPr>
              <w:t>加快推进东片污水处理厂扩容工程和嘉兴联合污水处理厂扩建工程。</w:t>
            </w:r>
          </w:p>
        </w:tc>
        <w:tc>
          <w:tcPr>
            <w:tcW w:w="1551" w:type="pct"/>
            <w:vAlign w:val="center"/>
          </w:tcPr>
          <w:p w14:paraId="77DDB9AF">
            <w:pPr>
              <w:pStyle w:val="98"/>
              <w:spacing w:line="240" w:lineRule="auto"/>
              <w:rPr>
                <w:rFonts w:hint="default" w:ascii="Arial" w:hAnsi="Arial" w:eastAsia="宋体" w:cs="Arial"/>
                <w:snapToGrid w:val="0"/>
                <w:sz w:val="18"/>
                <w:szCs w:val="18"/>
              </w:rPr>
            </w:pPr>
            <w:r>
              <w:rPr>
                <w:rFonts w:hint="default" w:ascii="Arial" w:hAnsi="Arial" w:eastAsia="宋体" w:cs="Arial"/>
                <w:snapToGrid w:val="0"/>
                <w:sz w:val="18"/>
                <w:szCs w:val="18"/>
              </w:rPr>
              <w:t>因嘉兴联合污水处理厂扩建工程的不确定因素较多，平湖经济开发区废水东排做为应急方案，需及时扩建东片污水处理厂。</w:t>
            </w:r>
          </w:p>
        </w:tc>
      </w:tr>
    </w:tbl>
    <w:p w14:paraId="3A99E972">
      <w:pPr>
        <w:pStyle w:val="76"/>
        <w:keepNext w:val="0"/>
        <w:keepLines w:val="0"/>
        <w:pageBreakBefore w:val="0"/>
        <w:widowControl w:val="0"/>
        <w:numPr>
          <w:ilvl w:val="3"/>
          <w:numId w:val="4"/>
        </w:numPr>
        <w:kinsoku/>
        <w:wordWrap/>
        <w:overflowPunct/>
        <w:topLinePunct w:val="0"/>
        <w:autoSpaceDE/>
        <w:autoSpaceDN/>
        <w:bidi w:val="0"/>
        <w:adjustRightInd/>
        <w:snapToGrid/>
        <w:spacing w:before="171" w:beforeLines="50"/>
        <w:ind w:left="777" w:leftChars="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平湖经济开发区环境准入负面清单（仅罗列涉及区块内容）</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1177"/>
        <w:gridCol w:w="9208"/>
        <w:gridCol w:w="2094"/>
      </w:tblGrid>
      <w:tr w14:paraId="4A84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Align w:val="center"/>
          </w:tcPr>
          <w:p w14:paraId="45C59227">
            <w:pPr>
              <w:jc w:val="center"/>
              <w:rPr>
                <w:rFonts w:hint="default" w:ascii="Arial" w:hAnsi="Arial" w:eastAsia="宋体" w:cs="Arial"/>
                <w:sz w:val="18"/>
                <w:szCs w:val="18"/>
              </w:rPr>
            </w:pPr>
            <w:r>
              <w:rPr>
                <w:rFonts w:hint="default" w:ascii="Arial" w:hAnsi="Arial" w:eastAsia="宋体" w:cs="Arial"/>
                <w:sz w:val="18"/>
                <w:szCs w:val="18"/>
              </w:rPr>
              <w:t>类别</w:t>
            </w:r>
          </w:p>
        </w:tc>
        <w:tc>
          <w:tcPr>
            <w:tcW w:w="1177" w:type="dxa"/>
            <w:vAlign w:val="center"/>
          </w:tcPr>
          <w:p w14:paraId="5A8FC7DB">
            <w:pPr>
              <w:jc w:val="center"/>
              <w:rPr>
                <w:rFonts w:hint="default" w:ascii="Arial" w:hAnsi="Arial" w:eastAsia="宋体" w:cs="Arial"/>
                <w:sz w:val="18"/>
                <w:szCs w:val="18"/>
              </w:rPr>
            </w:pPr>
            <w:r>
              <w:rPr>
                <w:rFonts w:hint="default" w:ascii="Arial" w:hAnsi="Arial" w:eastAsia="宋体" w:cs="Arial"/>
                <w:sz w:val="18"/>
                <w:szCs w:val="18"/>
              </w:rPr>
              <w:t>执行区域</w:t>
            </w:r>
          </w:p>
        </w:tc>
        <w:tc>
          <w:tcPr>
            <w:tcW w:w="9208" w:type="dxa"/>
            <w:vAlign w:val="center"/>
          </w:tcPr>
          <w:p w14:paraId="31179162">
            <w:pPr>
              <w:jc w:val="center"/>
              <w:rPr>
                <w:rFonts w:hint="default" w:ascii="Arial" w:hAnsi="Arial" w:eastAsia="宋体" w:cs="Arial"/>
                <w:sz w:val="18"/>
                <w:szCs w:val="18"/>
              </w:rPr>
            </w:pPr>
            <w:r>
              <w:rPr>
                <w:rFonts w:hint="default" w:ascii="Arial" w:hAnsi="Arial" w:eastAsia="宋体" w:cs="Arial"/>
                <w:sz w:val="18"/>
                <w:szCs w:val="18"/>
              </w:rPr>
              <w:t>环境准入负面清单</w:t>
            </w:r>
          </w:p>
        </w:tc>
        <w:tc>
          <w:tcPr>
            <w:tcW w:w="2094" w:type="dxa"/>
            <w:vAlign w:val="center"/>
          </w:tcPr>
          <w:p w14:paraId="46F23261">
            <w:pPr>
              <w:jc w:val="center"/>
              <w:rPr>
                <w:rFonts w:hint="default" w:ascii="Arial" w:hAnsi="Arial" w:eastAsia="宋体" w:cs="Arial"/>
                <w:sz w:val="18"/>
                <w:szCs w:val="18"/>
              </w:rPr>
            </w:pPr>
            <w:r>
              <w:rPr>
                <w:rFonts w:hint="default" w:ascii="Arial" w:hAnsi="Arial" w:eastAsia="宋体" w:cs="Arial"/>
                <w:sz w:val="18"/>
                <w:szCs w:val="18"/>
              </w:rPr>
              <w:t>制定依据</w:t>
            </w:r>
          </w:p>
        </w:tc>
      </w:tr>
      <w:tr w14:paraId="0C16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127" w:type="dxa"/>
            <w:vAlign w:val="center"/>
          </w:tcPr>
          <w:p w14:paraId="397B4EDA">
            <w:pPr>
              <w:jc w:val="center"/>
              <w:rPr>
                <w:rFonts w:hint="default" w:ascii="Arial" w:hAnsi="Arial" w:eastAsia="宋体" w:cs="Arial"/>
                <w:sz w:val="18"/>
                <w:szCs w:val="18"/>
              </w:rPr>
            </w:pPr>
            <w:r>
              <w:rPr>
                <w:rFonts w:hint="default" w:ascii="Arial" w:hAnsi="Arial" w:eastAsia="宋体" w:cs="Arial"/>
                <w:sz w:val="18"/>
                <w:szCs w:val="18"/>
              </w:rPr>
              <w:t>行业清单</w:t>
            </w:r>
          </w:p>
        </w:tc>
        <w:tc>
          <w:tcPr>
            <w:tcW w:w="1177" w:type="dxa"/>
            <w:vAlign w:val="center"/>
          </w:tcPr>
          <w:p w14:paraId="501E2F67">
            <w:pPr>
              <w:pStyle w:val="92"/>
              <w:spacing w:before="0" w:line="240" w:lineRule="auto"/>
              <w:ind w:firstLine="0" w:firstLineChars="0"/>
              <w:jc w:val="center"/>
              <w:rPr>
                <w:rFonts w:hint="default" w:ascii="Arial" w:hAnsi="Arial" w:eastAsia="宋体" w:cs="Arial"/>
                <w:bCs/>
                <w:sz w:val="18"/>
                <w:szCs w:val="18"/>
              </w:rPr>
            </w:pPr>
            <w:r>
              <w:rPr>
                <w:rFonts w:hint="default" w:ascii="Arial" w:hAnsi="Arial" w:eastAsia="宋体" w:cs="Arial"/>
                <w:sz w:val="18"/>
                <w:szCs w:val="18"/>
              </w:rPr>
              <w:t>4-1</w:t>
            </w:r>
          </w:p>
        </w:tc>
        <w:tc>
          <w:tcPr>
            <w:tcW w:w="9208" w:type="dxa"/>
            <w:vAlign w:val="center"/>
          </w:tcPr>
          <w:p w14:paraId="04D7A690">
            <w:pPr>
              <w:jc w:val="both"/>
              <w:rPr>
                <w:rFonts w:hint="default" w:ascii="Arial" w:hAnsi="Arial" w:eastAsia="宋体" w:cs="Arial"/>
                <w:sz w:val="18"/>
                <w:szCs w:val="18"/>
              </w:rPr>
            </w:pPr>
            <w:r>
              <w:rPr>
                <w:rFonts w:hint="default" w:ascii="Arial" w:hAnsi="Arial" w:eastAsia="宋体" w:cs="Arial"/>
                <w:sz w:val="18"/>
                <w:szCs w:val="18"/>
              </w:rPr>
              <w:t>①禁止发展三类工业项目及国家和地方产业政策中规定的禁止类项目。</w:t>
            </w:r>
          </w:p>
          <w:p w14:paraId="2FF941E7">
            <w:pPr>
              <w:spacing w:line="270" w:lineRule="exact"/>
              <w:jc w:val="both"/>
              <w:rPr>
                <w:rFonts w:hint="default" w:ascii="Arial" w:hAnsi="Arial" w:eastAsia="宋体" w:cs="Arial"/>
                <w:b/>
                <w:snapToGrid w:val="0"/>
                <w:kern w:val="0"/>
                <w:sz w:val="18"/>
                <w:szCs w:val="18"/>
              </w:rPr>
            </w:pPr>
            <w:r>
              <w:rPr>
                <w:rFonts w:hint="default" w:ascii="Arial" w:hAnsi="Arial" w:eastAsia="宋体" w:cs="Arial"/>
                <w:sz w:val="18"/>
                <w:szCs w:val="18"/>
              </w:rPr>
              <w:t>②</w:t>
            </w:r>
            <w:r>
              <w:rPr>
                <w:rFonts w:hint="default" w:ascii="Arial" w:hAnsi="Arial" w:eastAsia="宋体" w:cs="Arial"/>
                <w:b/>
                <w:snapToGrid w:val="0"/>
                <w:kern w:val="0"/>
                <w:sz w:val="18"/>
                <w:szCs w:val="18"/>
              </w:rPr>
              <w:t>禁止新建、扩建三类工业项目，鼓励对三类工业项目进行淘汰和提升改造。</w:t>
            </w:r>
          </w:p>
          <w:p w14:paraId="562C7B2A">
            <w:pPr>
              <w:jc w:val="both"/>
              <w:rPr>
                <w:rFonts w:hint="default" w:ascii="Arial" w:hAnsi="Arial" w:eastAsia="宋体" w:cs="Arial"/>
                <w:sz w:val="18"/>
                <w:szCs w:val="18"/>
              </w:rPr>
            </w:pPr>
            <w:r>
              <w:rPr>
                <w:rFonts w:hint="default" w:ascii="Arial" w:hAnsi="Arial" w:eastAsia="宋体" w:cs="Arial"/>
                <w:kern w:val="0"/>
                <w:sz w:val="18"/>
                <w:szCs w:val="18"/>
              </w:rPr>
              <w:t>新建二类工业项目污染物排放水平需达到同行业国内先进水平</w:t>
            </w:r>
          </w:p>
        </w:tc>
        <w:tc>
          <w:tcPr>
            <w:tcW w:w="2094" w:type="dxa"/>
            <w:vAlign w:val="center"/>
          </w:tcPr>
          <w:p w14:paraId="558284D4">
            <w:pPr>
              <w:jc w:val="center"/>
              <w:rPr>
                <w:rFonts w:hint="default" w:ascii="Arial" w:hAnsi="Arial" w:eastAsia="宋体" w:cs="Arial"/>
                <w:sz w:val="18"/>
                <w:szCs w:val="18"/>
              </w:rPr>
            </w:pPr>
            <w:r>
              <w:rPr>
                <w:rFonts w:hint="default" w:ascii="Arial" w:hAnsi="Arial" w:eastAsia="宋体" w:cs="Arial"/>
                <w:sz w:val="18"/>
                <w:szCs w:val="18"/>
              </w:rPr>
              <w:t>平湖市环境功能区划及区域</w:t>
            </w:r>
            <w:r>
              <w:rPr>
                <w:rFonts w:hint="default" w:ascii="Arial" w:hAnsi="Arial" w:eastAsia="宋体" w:cs="Arial"/>
                <w:bCs/>
                <w:sz w:val="18"/>
                <w:szCs w:val="18"/>
              </w:rPr>
              <w:t>环境制约因素</w:t>
            </w:r>
          </w:p>
        </w:tc>
      </w:tr>
      <w:tr w14:paraId="7FDD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Align w:val="center"/>
          </w:tcPr>
          <w:p w14:paraId="523A7D14">
            <w:pPr>
              <w:jc w:val="center"/>
              <w:rPr>
                <w:rFonts w:hint="default" w:ascii="Arial" w:hAnsi="Arial" w:eastAsia="宋体" w:cs="Arial"/>
                <w:sz w:val="18"/>
                <w:szCs w:val="18"/>
              </w:rPr>
            </w:pPr>
            <w:r>
              <w:rPr>
                <w:rFonts w:hint="default" w:ascii="Arial" w:hAnsi="Arial" w:eastAsia="宋体" w:cs="Arial"/>
                <w:sz w:val="18"/>
                <w:szCs w:val="18"/>
              </w:rPr>
              <w:t>行业清单否定性指标</w:t>
            </w:r>
          </w:p>
        </w:tc>
        <w:tc>
          <w:tcPr>
            <w:tcW w:w="1177" w:type="dxa"/>
            <w:vAlign w:val="center"/>
          </w:tcPr>
          <w:p w14:paraId="52049BFF">
            <w:pPr>
              <w:jc w:val="center"/>
              <w:rPr>
                <w:rFonts w:hint="default" w:ascii="Arial" w:hAnsi="Arial" w:eastAsia="宋体" w:cs="Arial"/>
                <w:sz w:val="18"/>
                <w:szCs w:val="18"/>
              </w:rPr>
            </w:pPr>
            <w:r>
              <w:rPr>
                <w:rFonts w:hint="default" w:ascii="Arial" w:hAnsi="Arial" w:eastAsia="宋体" w:cs="Arial"/>
                <w:sz w:val="18"/>
                <w:szCs w:val="18"/>
              </w:rPr>
              <w:t>平湖经济开发区全</w:t>
            </w:r>
            <w:r>
              <w:rPr>
                <w:rFonts w:hint="default" w:ascii="Arial" w:hAnsi="Arial" w:eastAsia="宋体" w:cs="Arial"/>
                <w:bCs/>
                <w:sz w:val="18"/>
                <w:szCs w:val="18"/>
              </w:rPr>
              <w:t>域</w:t>
            </w:r>
          </w:p>
        </w:tc>
        <w:tc>
          <w:tcPr>
            <w:tcW w:w="9208" w:type="dxa"/>
            <w:vAlign w:val="center"/>
          </w:tcPr>
          <w:p w14:paraId="3B1B81D3">
            <w:pPr>
              <w:jc w:val="both"/>
              <w:rPr>
                <w:rFonts w:hint="default" w:ascii="Arial" w:hAnsi="Arial" w:eastAsia="宋体" w:cs="Arial"/>
                <w:sz w:val="18"/>
                <w:szCs w:val="18"/>
              </w:rPr>
            </w:pPr>
            <w:r>
              <w:rPr>
                <w:rFonts w:hint="default" w:ascii="Arial" w:hAnsi="Arial" w:eastAsia="宋体" w:cs="Arial"/>
                <w:sz w:val="18"/>
                <w:szCs w:val="18"/>
              </w:rPr>
              <w:t>①项目万元工业增加值综合能耗低于本市“十三五”末控制指标，或低于嘉兴市行业平均水平10%以上；</w:t>
            </w:r>
          </w:p>
          <w:p w14:paraId="0AB9479E">
            <w:pPr>
              <w:jc w:val="both"/>
              <w:rPr>
                <w:rFonts w:hint="default" w:ascii="Arial" w:hAnsi="Arial" w:eastAsia="宋体" w:cs="Arial"/>
                <w:sz w:val="18"/>
                <w:szCs w:val="18"/>
              </w:rPr>
            </w:pPr>
            <w:r>
              <w:rPr>
                <w:rFonts w:hint="default" w:ascii="Arial" w:hAnsi="Arial" w:eastAsia="宋体" w:cs="Arial"/>
                <w:sz w:val="18"/>
                <w:szCs w:val="18"/>
              </w:rPr>
              <w:t>②COD亩均排放量低于全市平均水平，投资排污强度低于全市前两年平均水平；不能符合以上两个条件不能准入。</w:t>
            </w:r>
          </w:p>
        </w:tc>
        <w:tc>
          <w:tcPr>
            <w:tcW w:w="2094" w:type="dxa"/>
            <w:vAlign w:val="center"/>
          </w:tcPr>
          <w:p w14:paraId="3CE5E7D9">
            <w:pPr>
              <w:jc w:val="center"/>
              <w:rPr>
                <w:rFonts w:hint="default" w:ascii="Arial" w:hAnsi="Arial" w:eastAsia="宋体" w:cs="Arial"/>
                <w:sz w:val="18"/>
                <w:szCs w:val="18"/>
              </w:rPr>
            </w:pPr>
            <w:r>
              <w:rPr>
                <w:rFonts w:hint="default" w:ascii="Arial" w:hAnsi="Arial" w:eastAsia="宋体" w:cs="Arial"/>
                <w:sz w:val="18"/>
                <w:szCs w:val="18"/>
              </w:rPr>
              <w:t>平湖市工业投资项目准入评价实施办法（平政发2016〕160号）</w:t>
            </w:r>
          </w:p>
        </w:tc>
      </w:tr>
      <w:tr w14:paraId="6A24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vAlign w:val="center"/>
          </w:tcPr>
          <w:p w14:paraId="1002C537">
            <w:pPr>
              <w:jc w:val="center"/>
              <w:rPr>
                <w:rFonts w:hint="default" w:ascii="Arial" w:hAnsi="Arial" w:eastAsia="宋体" w:cs="Arial"/>
                <w:sz w:val="18"/>
                <w:szCs w:val="18"/>
              </w:rPr>
            </w:pPr>
            <w:r>
              <w:rPr>
                <w:rFonts w:hint="default" w:ascii="Arial" w:hAnsi="Arial" w:eastAsia="宋体" w:cs="Arial"/>
                <w:sz w:val="18"/>
                <w:szCs w:val="18"/>
              </w:rPr>
              <w:t>工艺清单</w:t>
            </w:r>
          </w:p>
        </w:tc>
        <w:tc>
          <w:tcPr>
            <w:tcW w:w="1177" w:type="dxa"/>
            <w:vMerge w:val="restart"/>
            <w:vAlign w:val="center"/>
          </w:tcPr>
          <w:p w14:paraId="71B5A873">
            <w:pPr>
              <w:jc w:val="center"/>
              <w:rPr>
                <w:rFonts w:hint="default" w:ascii="Arial" w:hAnsi="Arial" w:eastAsia="宋体" w:cs="Arial"/>
                <w:sz w:val="18"/>
                <w:szCs w:val="18"/>
              </w:rPr>
            </w:pPr>
            <w:r>
              <w:rPr>
                <w:rFonts w:hint="default" w:ascii="Arial" w:hAnsi="Arial" w:eastAsia="宋体" w:cs="Arial"/>
                <w:sz w:val="18"/>
                <w:szCs w:val="18"/>
              </w:rPr>
              <w:t>平湖经济开发区全</w:t>
            </w:r>
            <w:r>
              <w:rPr>
                <w:rFonts w:hint="default" w:ascii="Arial" w:hAnsi="Arial" w:eastAsia="宋体" w:cs="Arial"/>
                <w:bCs/>
                <w:sz w:val="18"/>
                <w:szCs w:val="18"/>
              </w:rPr>
              <w:t>域</w:t>
            </w:r>
          </w:p>
        </w:tc>
        <w:tc>
          <w:tcPr>
            <w:tcW w:w="9208" w:type="dxa"/>
            <w:vAlign w:val="center"/>
          </w:tcPr>
          <w:p w14:paraId="7AAA8810">
            <w:pPr>
              <w:jc w:val="both"/>
              <w:rPr>
                <w:rFonts w:hint="default" w:ascii="Arial" w:hAnsi="Arial" w:eastAsia="宋体" w:cs="Arial"/>
                <w:sz w:val="18"/>
                <w:szCs w:val="18"/>
              </w:rPr>
            </w:pPr>
            <w:r>
              <w:rPr>
                <w:rFonts w:hint="default" w:ascii="Arial" w:hAnsi="Arial" w:eastAsia="宋体" w:cs="Arial"/>
                <w:sz w:val="18"/>
                <w:szCs w:val="18"/>
              </w:rPr>
              <w:t>印染产业禁止工艺：</w:t>
            </w:r>
          </w:p>
          <w:p w14:paraId="7167FD4E">
            <w:pPr>
              <w:jc w:val="both"/>
              <w:rPr>
                <w:rFonts w:hint="default" w:ascii="Arial" w:hAnsi="Arial" w:eastAsia="宋体" w:cs="Arial"/>
                <w:sz w:val="18"/>
                <w:szCs w:val="18"/>
              </w:rPr>
            </w:pPr>
            <w:r>
              <w:rPr>
                <w:rFonts w:hint="default" w:ascii="Arial" w:hAnsi="Arial" w:eastAsia="宋体" w:cs="Arial"/>
                <w:sz w:val="18"/>
                <w:szCs w:val="18"/>
              </w:rPr>
              <w:t>间歇式染色设备：浴比高于1：8。</w:t>
            </w:r>
          </w:p>
        </w:tc>
        <w:tc>
          <w:tcPr>
            <w:tcW w:w="2094" w:type="dxa"/>
            <w:vAlign w:val="center"/>
          </w:tcPr>
          <w:p w14:paraId="20AF3A55">
            <w:pPr>
              <w:jc w:val="center"/>
              <w:rPr>
                <w:rFonts w:hint="default" w:ascii="Arial" w:hAnsi="Arial" w:eastAsia="宋体" w:cs="Arial"/>
                <w:sz w:val="18"/>
                <w:szCs w:val="18"/>
              </w:rPr>
            </w:pPr>
            <w:r>
              <w:rPr>
                <w:rFonts w:hint="default" w:ascii="Arial" w:hAnsi="Arial" w:eastAsia="宋体" w:cs="Arial"/>
                <w:sz w:val="18"/>
                <w:szCs w:val="18"/>
              </w:rPr>
              <w:t>浙江省印染产业环境准入指导意见（修订）</w:t>
            </w:r>
          </w:p>
        </w:tc>
      </w:tr>
      <w:tr w14:paraId="54E3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14:paraId="030C4278">
            <w:pPr>
              <w:jc w:val="center"/>
              <w:rPr>
                <w:rFonts w:hint="default" w:ascii="Arial" w:hAnsi="Arial" w:eastAsia="宋体" w:cs="Arial"/>
                <w:sz w:val="18"/>
                <w:szCs w:val="18"/>
              </w:rPr>
            </w:pPr>
          </w:p>
        </w:tc>
        <w:tc>
          <w:tcPr>
            <w:tcW w:w="1177" w:type="dxa"/>
            <w:vMerge w:val="continue"/>
            <w:vAlign w:val="center"/>
          </w:tcPr>
          <w:p w14:paraId="1FBC1CCD">
            <w:pPr>
              <w:pStyle w:val="92"/>
              <w:spacing w:before="0" w:line="240" w:lineRule="auto"/>
              <w:ind w:firstLine="0" w:firstLineChars="0"/>
              <w:jc w:val="center"/>
              <w:rPr>
                <w:rFonts w:hint="default" w:ascii="Arial" w:hAnsi="Arial" w:eastAsia="宋体" w:cs="Arial"/>
                <w:bCs/>
                <w:sz w:val="18"/>
                <w:szCs w:val="18"/>
              </w:rPr>
            </w:pPr>
          </w:p>
        </w:tc>
        <w:tc>
          <w:tcPr>
            <w:tcW w:w="9208" w:type="dxa"/>
            <w:vAlign w:val="center"/>
          </w:tcPr>
          <w:p w14:paraId="6702B07C">
            <w:pPr>
              <w:jc w:val="both"/>
              <w:rPr>
                <w:rFonts w:hint="default" w:ascii="Arial" w:hAnsi="Arial" w:eastAsia="宋体" w:cs="Arial"/>
                <w:sz w:val="18"/>
                <w:szCs w:val="18"/>
              </w:rPr>
            </w:pPr>
            <w:r>
              <w:rPr>
                <w:rFonts w:hint="default" w:ascii="Arial" w:hAnsi="Arial" w:eastAsia="宋体" w:cs="Arial"/>
                <w:sz w:val="18"/>
                <w:szCs w:val="18"/>
              </w:rPr>
              <w:t>化纤产业禁止工艺：</w:t>
            </w:r>
          </w:p>
          <w:p w14:paraId="6AFF032A">
            <w:pPr>
              <w:jc w:val="both"/>
              <w:rPr>
                <w:rFonts w:hint="default" w:ascii="Arial" w:hAnsi="Arial" w:eastAsia="宋体" w:cs="Arial"/>
                <w:sz w:val="18"/>
                <w:szCs w:val="18"/>
              </w:rPr>
            </w:pPr>
            <w:r>
              <w:rPr>
                <w:rFonts w:hint="default" w:ascii="Arial" w:hAnsi="Arial" w:eastAsia="宋体" w:cs="Arial"/>
                <w:sz w:val="18"/>
                <w:szCs w:val="18"/>
              </w:rPr>
              <w:t>①间歇法聚合聚酯生产工艺。</w:t>
            </w:r>
          </w:p>
          <w:p w14:paraId="29D7CFA0">
            <w:pPr>
              <w:jc w:val="both"/>
              <w:rPr>
                <w:rFonts w:hint="default" w:ascii="Arial" w:hAnsi="Arial" w:eastAsia="宋体" w:cs="Arial"/>
                <w:sz w:val="18"/>
                <w:szCs w:val="18"/>
              </w:rPr>
            </w:pPr>
            <w:r>
              <w:rPr>
                <w:rFonts w:hint="default" w:ascii="Arial" w:hAnsi="Arial" w:eastAsia="宋体" w:cs="Arial"/>
                <w:sz w:val="18"/>
                <w:szCs w:val="18"/>
              </w:rPr>
              <w:t>②常规聚酯（PET）连续聚合生产装置单线产能不得小于20万吨/年。</w:t>
            </w:r>
          </w:p>
        </w:tc>
        <w:tc>
          <w:tcPr>
            <w:tcW w:w="2094" w:type="dxa"/>
            <w:vAlign w:val="center"/>
          </w:tcPr>
          <w:p w14:paraId="4958EEA6">
            <w:pPr>
              <w:jc w:val="center"/>
              <w:rPr>
                <w:rFonts w:hint="default" w:ascii="Arial" w:hAnsi="Arial" w:eastAsia="宋体" w:cs="Arial"/>
                <w:sz w:val="18"/>
                <w:szCs w:val="18"/>
              </w:rPr>
            </w:pPr>
            <w:r>
              <w:rPr>
                <w:rFonts w:hint="default" w:ascii="Arial" w:hAnsi="Arial" w:eastAsia="宋体" w:cs="Arial"/>
                <w:sz w:val="18"/>
                <w:szCs w:val="18"/>
              </w:rPr>
              <w:t>浙江省涤纶产业环境准入指导意见（修订）</w:t>
            </w:r>
          </w:p>
        </w:tc>
      </w:tr>
      <w:tr w14:paraId="7275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14:paraId="5590759B">
            <w:pPr>
              <w:jc w:val="center"/>
              <w:rPr>
                <w:rFonts w:hint="default" w:ascii="Arial" w:hAnsi="Arial" w:eastAsia="宋体" w:cs="Arial"/>
                <w:sz w:val="18"/>
                <w:szCs w:val="18"/>
              </w:rPr>
            </w:pPr>
          </w:p>
        </w:tc>
        <w:tc>
          <w:tcPr>
            <w:tcW w:w="1177" w:type="dxa"/>
            <w:vMerge w:val="continue"/>
            <w:vAlign w:val="center"/>
          </w:tcPr>
          <w:p w14:paraId="00736E51">
            <w:pPr>
              <w:pStyle w:val="92"/>
              <w:spacing w:before="0" w:line="240" w:lineRule="auto"/>
              <w:ind w:firstLine="0" w:firstLineChars="0"/>
              <w:jc w:val="center"/>
              <w:rPr>
                <w:rFonts w:hint="default" w:ascii="Arial" w:hAnsi="Arial" w:eastAsia="宋体" w:cs="Arial"/>
                <w:bCs/>
                <w:sz w:val="18"/>
                <w:szCs w:val="18"/>
              </w:rPr>
            </w:pPr>
          </w:p>
        </w:tc>
        <w:tc>
          <w:tcPr>
            <w:tcW w:w="9208" w:type="dxa"/>
            <w:vAlign w:val="center"/>
          </w:tcPr>
          <w:p w14:paraId="4BFC3B6F">
            <w:pPr>
              <w:jc w:val="both"/>
              <w:rPr>
                <w:rFonts w:hint="default" w:ascii="Arial" w:hAnsi="Arial" w:eastAsia="宋体" w:cs="Arial"/>
                <w:sz w:val="18"/>
                <w:szCs w:val="18"/>
              </w:rPr>
            </w:pPr>
            <w:r>
              <w:rPr>
                <w:rFonts w:hint="default" w:ascii="Arial" w:hAnsi="Arial" w:eastAsia="宋体" w:cs="Arial"/>
                <w:sz w:val="18"/>
                <w:szCs w:val="18"/>
              </w:rPr>
              <w:t>电镀产业禁止工艺：</w:t>
            </w:r>
          </w:p>
          <w:p w14:paraId="6CEC652D">
            <w:pPr>
              <w:jc w:val="both"/>
              <w:rPr>
                <w:rFonts w:hint="default" w:ascii="Arial" w:hAnsi="Arial" w:eastAsia="宋体" w:cs="Arial"/>
                <w:sz w:val="18"/>
                <w:szCs w:val="18"/>
              </w:rPr>
            </w:pPr>
            <w:r>
              <w:rPr>
                <w:rFonts w:hint="default" w:ascii="Arial" w:hAnsi="Arial" w:eastAsia="宋体" w:cs="Arial"/>
                <w:sz w:val="18"/>
                <w:szCs w:val="18"/>
              </w:rPr>
              <w:t>禁止采用单级漂洗或直接冲洗工艺</w:t>
            </w:r>
          </w:p>
        </w:tc>
        <w:tc>
          <w:tcPr>
            <w:tcW w:w="2094" w:type="dxa"/>
            <w:vAlign w:val="center"/>
          </w:tcPr>
          <w:p w14:paraId="584BB6E3">
            <w:pPr>
              <w:jc w:val="center"/>
              <w:rPr>
                <w:rFonts w:hint="default" w:ascii="Arial" w:hAnsi="Arial" w:eastAsia="宋体" w:cs="Arial"/>
                <w:sz w:val="18"/>
                <w:szCs w:val="18"/>
              </w:rPr>
            </w:pPr>
            <w:r>
              <w:rPr>
                <w:rFonts w:hint="default" w:ascii="Arial" w:hAnsi="Arial" w:eastAsia="宋体" w:cs="Arial"/>
                <w:sz w:val="18"/>
                <w:szCs w:val="18"/>
              </w:rPr>
              <w:t>浙江省电镀产业环境准入指导意见（修订）</w:t>
            </w:r>
          </w:p>
        </w:tc>
      </w:tr>
      <w:tr w14:paraId="74183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14:paraId="5B39447B">
            <w:pPr>
              <w:jc w:val="center"/>
              <w:rPr>
                <w:rFonts w:hint="default" w:ascii="Arial" w:hAnsi="Arial" w:eastAsia="宋体" w:cs="Arial"/>
                <w:sz w:val="18"/>
                <w:szCs w:val="18"/>
              </w:rPr>
            </w:pPr>
          </w:p>
        </w:tc>
        <w:tc>
          <w:tcPr>
            <w:tcW w:w="1177" w:type="dxa"/>
            <w:vMerge w:val="continue"/>
            <w:vAlign w:val="center"/>
          </w:tcPr>
          <w:p w14:paraId="7938E8DB">
            <w:pPr>
              <w:pStyle w:val="92"/>
              <w:spacing w:before="0" w:line="240" w:lineRule="auto"/>
              <w:ind w:firstLine="0" w:firstLineChars="0"/>
              <w:jc w:val="center"/>
              <w:rPr>
                <w:rFonts w:hint="default" w:ascii="Arial" w:hAnsi="Arial" w:eastAsia="宋体" w:cs="Arial"/>
                <w:bCs/>
                <w:sz w:val="18"/>
                <w:szCs w:val="18"/>
              </w:rPr>
            </w:pPr>
          </w:p>
        </w:tc>
        <w:tc>
          <w:tcPr>
            <w:tcW w:w="9208" w:type="dxa"/>
            <w:vAlign w:val="center"/>
          </w:tcPr>
          <w:p w14:paraId="34DD9156">
            <w:pPr>
              <w:jc w:val="both"/>
              <w:rPr>
                <w:rFonts w:hint="default" w:ascii="Arial" w:hAnsi="Arial" w:eastAsia="宋体" w:cs="Arial"/>
                <w:sz w:val="18"/>
                <w:szCs w:val="18"/>
              </w:rPr>
            </w:pPr>
            <w:r>
              <w:rPr>
                <w:rFonts w:hint="default" w:ascii="Arial" w:hAnsi="Arial" w:eastAsia="宋体" w:cs="Arial"/>
                <w:sz w:val="18"/>
                <w:szCs w:val="18"/>
              </w:rPr>
              <w:t>《产业结构调整指导目录(2011本)》(2013年修改)、《外商投资产业指导目录》、《部分工业行业淘汰落后生产工艺装备和产品指导目录（2010年本）》、《浙江省制造业产业发展导向目录》、《浙江省淘汰落后生产能力目录》</w:t>
            </w:r>
          </w:p>
          <w:p w14:paraId="5EEE89FE">
            <w:pPr>
              <w:jc w:val="both"/>
              <w:rPr>
                <w:rFonts w:hint="default" w:ascii="Arial" w:hAnsi="Arial" w:eastAsia="宋体" w:cs="Arial"/>
                <w:sz w:val="18"/>
                <w:szCs w:val="18"/>
              </w:rPr>
            </w:pPr>
            <w:r>
              <w:rPr>
                <w:rFonts w:hint="default" w:ascii="Arial" w:hAnsi="Arial" w:eastAsia="宋体" w:cs="Arial"/>
                <w:sz w:val="18"/>
                <w:szCs w:val="18"/>
              </w:rPr>
              <w:t>等文件限制和禁止的工艺。</w:t>
            </w:r>
          </w:p>
        </w:tc>
        <w:tc>
          <w:tcPr>
            <w:tcW w:w="2094" w:type="dxa"/>
            <w:vAlign w:val="center"/>
          </w:tcPr>
          <w:p w14:paraId="53ADAB73">
            <w:pPr>
              <w:jc w:val="center"/>
              <w:rPr>
                <w:rFonts w:hint="default" w:ascii="Arial" w:hAnsi="Arial" w:eastAsia="宋体" w:cs="Arial"/>
                <w:sz w:val="18"/>
                <w:szCs w:val="18"/>
              </w:rPr>
            </w:pPr>
            <w:r>
              <w:rPr>
                <w:rFonts w:hint="default" w:ascii="Arial" w:hAnsi="Arial" w:eastAsia="宋体" w:cs="Arial"/>
                <w:sz w:val="18"/>
                <w:szCs w:val="18"/>
              </w:rPr>
              <w:t>/</w:t>
            </w:r>
          </w:p>
        </w:tc>
      </w:tr>
      <w:tr w14:paraId="1691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restart"/>
            <w:vAlign w:val="center"/>
          </w:tcPr>
          <w:p w14:paraId="654BA496">
            <w:pPr>
              <w:jc w:val="center"/>
              <w:rPr>
                <w:rFonts w:hint="default" w:ascii="Arial" w:hAnsi="Arial" w:eastAsia="宋体" w:cs="Arial"/>
                <w:sz w:val="18"/>
                <w:szCs w:val="18"/>
              </w:rPr>
            </w:pPr>
            <w:r>
              <w:rPr>
                <w:rFonts w:hint="default" w:ascii="Arial" w:hAnsi="Arial" w:eastAsia="宋体" w:cs="Arial"/>
                <w:sz w:val="18"/>
                <w:szCs w:val="18"/>
              </w:rPr>
              <w:t>工艺装备及产品清单</w:t>
            </w:r>
          </w:p>
        </w:tc>
        <w:tc>
          <w:tcPr>
            <w:tcW w:w="1177" w:type="dxa"/>
            <w:vMerge w:val="restart"/>
            <w:vAlign w:val="center"/>
          </w:tcPr>
          <w:p w14:paraId="4ED8709D">
            <w:pPr>
              <w:jc w:val="center"/>
              <w:rPr>
                <w:rFonts w:hint="default" w:ascii="Arial" w:hAnsi="Arial" w:eastAsia="宋体" w:cs="Arial"/>
                <w:sz w:val="18"/>
                <w:szCs w:val="18"/>
              </w:rPr>
            </w:pPr>
            <w:r>
              <w:rPr>
                <w:rFonts w:hint="default" w:ascii="Arial" w:hAnsi="Arial" w:eastAsia="宋体" w:cs="Arial"/>
                <w:sz w:val="18"/>
                <w:szCs w:val="18"/>
              </w:rPr>
              <w:t>平湖经济开发区全</w:t>
            </w:r>
            <w:r>
              <w:rPr>
                <w:rFonts w:hint="default" w:ascii="Arial" w:hAnsi="Arial" w:eastAsia="宋体" w:cs="Arial"/>
                <w:bCs/>
                <w:sz w:val="18"/>
                <w:szCs w:val="18"/>
              </w:rPr>
              <w:t>域</w:t>
            </w:r>
          </w:p>
        </w:tc>
        <w:tc>
          <w:tcPr>
            <w:tcW w:w="9208" w:type="dxa"/>
            <w:vAlign w:val="center"/>
          </w:tcPr>
          <w:p w14:paraId="5291E8E7">
            <w:pPr>
              <w:jc w:val="both"/>
              <w:rPr>
                <w:rFonts w:hint="default" w:ascii="Arial" w:hAnsi="Arial" w:eastAsia="宋体" w:cs="Arial"/>
                <w:sz w:val="18"/>
                <w:szCs w:val="18"/>
              </w:rPr>
            </w:pPr>
            <w:r>
              <w:rPr>
                <w:rFonts w:hint="default" w:ascii="Arial" w:hAnsi="Arial" w:eastAsia="宋体" w:cs="Arial"/>
                <w:sz w:val="18"/>
                <w:szCs w:val="18"/>
              </w:rPr>
              <w:t>化纤产业禁止设备：</w:t>
            </w:r>
          </w:p>
          <w:p w14:paraId="3EB2A37B">
            <w:pPr>
              <w:jc w:val="both"/>
              <w:rPr>
                <w:rFonts w:hint="default" w:ascii="Arial" w:hAnsi="Arial" w:eastAsia="宋体" w:cs="Arial"/>
                <w:sz w:val="18"/>
                <w:szCs w:val="18"/>
              </w:rPr>
            </w:pPr>
            <w:r>
              <w:rPr>
                <w:rFonts w:hint="default" w:ascii="Arial" w:hAnsi="Arial" w:eastAsia="宋体" w:cs="Arial"/>
                <w:sz w:val="18"/>
                <w:szCs w:val="18"/>
              </w:rPr>
              <w:t>常规化纤长丝用锭使用轴长1200毫米及以下的半自动卷绕设备</w:t>
            </w:r>
          </w:p>
        </w:tc>
        <w:tc>
          <w:tcPr>
            <w:tcW w:w="2094" w:type="dxa"/>
            <w:vAlign w:val="center"/>
          </w:tcPr>
          <w:p w14:paraId="67425D6D">
            <w:pPr>
              <w:jc w:val="center"/>
              <w:rPr>
                <w:rFonts w:hint="default" w:ascii="Arial" w:hAnsi="Arial" w:eastAsia="宋体" w:cs="Arial"/>
                <w:sz w:val="18"/>
                <w:szCs w:val="18"/>
              </w:rPr>
            </w:pPr>
            <w:r>
              <w:rPr>
                <w:rFonts w:hint="default" w:ascii="Arial" w:hAnsi="Arial" w:eastAsia="宋体" w:cs="Arial"/>
                <w:sz w:val="18"/>
                <w:szCs w:val="18"/>
              </w:rPr>
              <w:t>浙江省涤纶产业环境准入指导意见（修订）</w:t>
            </w:r>
          </w:p>
        </w:tc>
      </w:tr>
      <w:tr w14:paraId="7221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7" w:type="dxa"/>
            <w:vMerge w:val="continue"/>
            <w:vAlign w:val="center"/>
          </w:tcPr>
          <w:p w14:paraId="3CEE7634">
            <w:pPr>
              <w:jc w:val="center"/>
              <w:rPr>
                <w:rFonts w:hint="default" w:ascii="Arial" w:hAnsi="Arial" w:eastAsia="宋体" w:cs="Arial"/>
                <w:sz w:val="18"/>
                <w:szCs w:val="18"/>
              </w:rPr>
            </w:pPr>
          </w:p>
        </w:tc>
        <w:tc>
          <w:tcPr>
            <w:tcW w:w="1177" w:type="dxa"/>
            <w:vMerge w:val="continue"/>
            <w:vAlign w:val="center"/>
          </w:tcPr>
          <w:p w14:paraId="665348CB">
            <w:pPr>
              <w:pStyle w:val="92"/>
              <w:spacing w:before="0" w:line="240" w:lineRule="auto"/>
              <w:ind w:firstLine="0" w:firstLineChars="0"/>
              <w:jc w:val="center"/>
              <w:rPr>
                <w:rFonts w:hint="default" w:ascii="Arial" w:hAnsi="Arial" w:eastAsia="宋体" w:cs="Arial"/>
                <w:bCs/>
                <w:sz w:val="18"/>
                <w:szCs w:val="18"/>
              </w:rPr>
            </w:pPr>
          </w:p>
        </w:tc>
        <w:tc>
          <w:tcPr>
            <w:tcW w:w="9208" w:type="dxa"/>
            <w:vAlign w:val="center"/>
          </w:tcPr>
          <w:p w14:paraId="499D5EEB">
            <w:pPr>
              <w:jc w:val="both"/>
              <w:rPr>
                <w:rFonts w:hint="default" w:ascii="Arial" w:hAnsi="Arial" w:eastAsia="宋体" w:cs="Arial"/>
                <w:sz w:val="18"/>
                <w:szCs w:val="18"/>
              </w:rPr>
            </w:pPr>
            <w:r>
              <w:rPr>
                <w:rFonts w:hint="default" w:ascii="Arial" w:hAnsi="Arial" w:eastAsia="宋体" w:cs="Arial"/>
                <w:sz w:val="18"/>
                <w:szCs w:val="18"/>
              </w:rPr>
              <w:t>全行业：</w:t>
            </w:r>
          </w:p>
          <w:p w14:paraId="003F1228">
            <w:pPr>
              <w:jc w:val="both"/>
              <w:rPr>
                <w:rFonts w:hint="default" w:ascii="Arial" w:hAnsi="Arial" w:eastAsia="宋体" w:cs="Arial"/>
                <w:sz w:val="18"/>
                <w:szCs w:val="18"/>
              </w:rPr>
            </w:pPr>
            <w:r>
              <w:rPr>
                <w:rFonts w:hint="default" w:ascii="Arial" w:hAnsi="Arial" w:eastAsia="宋体" w:cs="Arial"/>
                <w:sz w:val="18"/>
                <w:szCs w:val="18"/>
              </w:rPr>
              <w:t>燃煤锅炉窑炉《产业结构调整指导目录(2011本)》(2013年修改)、《外商投资产业指导目录》、《部分工业行业淘汰落后生产工艺装备和产品指导目录（2010年本）》、《浙江省制造业产业发展导向目录》、《浙江省淘汰落后生产能力目录》等文件限制和禁止的产品。</w:t>
            </w:r>
          </w:p>
        </w:tc>
        <w:tc>
          <w:tcPr>
            <w:tcW w:w="2094" w:type="dxa"/>
            <w:vAlign w:val="center"/>
          </w:tcPr>
          <w:p w14:paraId="67D6498A">
            <w:pPr>
              <w:jc w:val="center"/>
              <w:rPr>
                <w:rFonts w:hint="default" w:ascii="Arial" w:hAnsi="Arial" w:eastAsia="宋体" w:cs="Arial"/>
                <w:sz w:val="18"/>
                <w:szCs w:val="18"/>
              </w:rPr>
            </w:pPr>
            <w:r>
              <w:rPr>
                <w:rFonts w:hint="default" w:ascii="Arial" w:hAnsi="Arial" w:eastAsia="宋体" w:cs="Arial"/>
                <w:sz w:val="18"/>
                <w:szCs w:val="18"/>
              </w:rPr>
              <w:t>平湖市工业投资项目准入评价实施办法</w:t>
            </w:r>
          </w:p>
        </w:tc>
      </w:tr>
    </w:tbl>
    <w:p w14:paraId="43E18C0B">
      <w:pPr>
        <w:pStyle w:val="92"/>
        <w:spacing w:line="360" w:lineRule="auto"/>
        <w:ind w:firstLine="480"/>
        <w:rPr>
          <w:rFonts w:hint="default" w:ascii="Arial" w:hAnsi="Arial" w:eastAsia="宋体" w:cs="Arial"/>
        </w:rPr>
        <w:sectPr>
          <w:headerReference r:id="rId9" w:type="default"/>
          <w:pgSz w:w="16838" w:h="11906" w:orient="landscape"/>
          <w:pgMar w:top="1287" w:right="1440" w:bottom="1287" w:left="1440"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p>
    <w:p w14:paraId="1275A00E">
      <w:pPr>
        <w:pStyle w:val="92"/>
        <w:spacing w:line="360" w:lineRule="auto"/>
        <w:ind w:firstLine="480"/>
        <w:rPr>
          <w:rFonts w:hint="default" w:ascii="Arial" w:hAnsi="Arial" w:eastAsia="宋体" w:cs="Arial"/>
        </w:rPr>
      </w:pPr>
      <w:r>
        <w:rPr>
          <w:rFonts w:hint="default" w:ascii="Arial" w:hAnsi="Arial" w:eastAsia="宋体" w:cs="Arial"/>
        </w:rPr>
        <w:t>建设项目拟建地位于本次规划环评中确定的平湖经济技术开发区4-1区域，本项目</w:t>
      </w:r>
      <w:r>
        <w:rPr>
          <w:rFonts w:hint="default" w:ascii="Arial" w:hAnsi="Arial" w:eastAsia="宋体" w:cs="Arial"/>
          <w:lang w:val="en-US" w:eastAsia="zh-CN"/>
        </w:rPr>
        <w:t>为汽车零部件制造</w:t>
      </w:r>
      <w:r>
        <w:rPr>
          <w:rFonts w:hint="default" w:ascii="Arial" w:hAnsi="Arial" w:eastAsia="宋体" w:cs="Arial"/>
        </w:rPr>
        <w:t>，不属于该区域的环境准入负面清单项目，属于《产业结构调整指导目录》（2024年本）中</w:t>
      </w:r>
      <w:r>
        <w:rPr>
          <w:rFonts w:hint="default" w:ascii="Arial" w:hAnsi="Arial" w:eastAsia="宋体" w:cs="Arial"/>
          <w:lang w:val="en-US" w:eastAsia="zh-CN"/>
        </w:rPr>
        <w:t>鼓励类“十六：汽车 1、汽车关键零部件”</w:t>
      </w:r>
      <w:r>
        <w:rPr>
          <w:rFonts w:hint="default" w:ascii="Arial" w:hAnsi="Arial" w:eastAsia="宋体" w:cs="Arial"/>
        </w:rPr>
        <w:t>。本项目建设能符合产业政策、产业发展等相关要求，满足入园准入条件，同时项目各类污染物经妥善治理后能够做到达标排放，能符合规划环评中的各项治理要求，因此项目实施能符合规划环评要求。</w:t>
      </w:r>
    </w:p>
    <w:p w14:paraId="4949008C">
      <w:pPr>
        <w:pStyle w:val="93"/>
        <w:numPr>
          <w:ilvl w:val="0"/>
          <w:numId w:val="5"/>
        </w:numPr>
        <w:adjustRightInd w:val="0"/>
        <w:snapToGrid w:val="0"/>
        <w:spacing w:before="60" w:beforeLines="0" w:line="360" w:lineRule="auto"/>
        <w:ind w:firstLineChars="0"/>
        <w:jc w:val="left"/>
        <w:rPr>
          <w:rFonts w:hint="default" w:ascii="Arial" w:hAnsi="Arial" w:eastAsia="宋体" w:cs="Arial"/>
        </w:rPr>
      </w:pPr>
      <w:r>
        <w:rPr>
          <w:rFonts w:hint="default" w:ascii="Arial" w:hAnsi="Arial" w:eastAsia="宋体" w:cs="Arial"/>
        </w:rPr>
        <w:t>生态空间管控清单符合性</w:t>
      </w:r>
    </w:p>
    <w:p w14:paraId="48B1279D">
      <w:pPr>
        <w:pStyle w:val="93"/>
        <w:adjustRightInd w:val="0"/>
        <w:snapToGrid w:val="0"/>
        <w:spacing w:before="102" w:line="360" w:lineRule="auto"/>
        <w:ind w:firstLine="480"/>
        <w:jc w:val="left"/>
        <w:rPr>
          <w:rFonts w:hint="default" w:ascii="Arial" w:hAnsi="Arial" w:eastAsia="宋体" w:cs="Arial"/>
          <w:color w:val="FF0000"/>
        </w:rPr>
      </w:pPr>
      <w:r>
        <w:rPr>
          <w:rFonts w:hint="default" w:ascii="Arial" w:hAnsi="Arial" w:eastAsia="宋体" w:cs="Arial"/>
          <w:color w:val="auto"/>
        </w:rPr>
        <w:t>本项目为</w:t>
      </w:r>
      <w:r>
        <w:rPr>
          <w:rFonts w:hint="default" w:ascii="Arial" w:hAnsi="Arial" w:eastAsia="宋体" w:cs="Arial"/>
          <w:color w:val="auto"/>
          <w:lang w:val="en-US" w:eastAsia="zh-CN"/>
        </w:rPr>
        <w:t>汽车零部件制造</w:t>
      </w:r>
      <w:r>
        <w:rPr>
          <w:rFonts w:hint="default" w:ascii="Arial" w:hAnsi="Arial" w:eastAsia="宋体" w:cs="Arial"/>
          <w:color w:val="auto"/>
        </w:rPr>
        <w:t>。依据《浙江省生态环境分区管控动态更新方案》（浙环发[2024]18号），本项目属于10</w:t>
      </w:r>
      <w:r>
        <w:rPr>
          <w:rFonts w:hint="default" w:ascii="Arial" w:hAnsi="Arial" w:eastAsia="宋体" w:cs="Arial"/>
          <w:color w:val="auto"/>
          <w:lang w:val="en-US" w:eastAsia="zh-CN"/>
        </w:rPr>
        <w:t>5</w:t>
      </w:r>
      <w:r>
        <w:rPr>
          <w:rFonts w:hint="default" w:ascii="Arial" w:hAnsi="Arial" w:eastAsia="宋体" w:cs="Arial"/>
          <w:color w:val="auto"/>
        </w:rPr>
        <w:t>、</w:t>
      </w:r>
      <w:r>
        <w:rPr>
          <w:rFonts w:hint="default" w:ascii="Arial" w:hAnsi="Arial" w:eastAsia="宋体" w:cs="Arial"/>
          <w:color w:val="auto"/>
          <w:lang w:val="en-US" w:eastAsia="zh-CN"/>
        </w:rPr>
        <w:t>汽车制造</w:t>
      </w:r>
      <w:r>
        <w:rPr>
          <w:rFonts w:hint="default" w:ascii="Arial" w:hAnsi="Arial" w:eastAsia="宋体" w:cs="Arial"/>
          <w:color w:val="auto"/>
        </w:rPr>
        <w:t>业 3</w:t>
      </w:r>
      <w:r>
        <w:rPr>
          <w:rFonts w:hint="default" w:ascii="Arial" w:hAnsi="Arial" w:eastAsia="宋体" w:cs="Arial"/>
          <w:color w:val="auto"/>
          <w:lang w:val="en-US" w:eastAsia="zh-CN"/>
        </w:rPr>
        <w:t>6</w:t>
      </w:r>
      <w:r>
        <w:rPr>
          <w:rFonts w:hint="default" w:ascii="Arial" w:hAnsi="Arial" w:eastAsia="宋体" w:cs="Arial"/>
          <w:color w:val="auto"/>
        </w:rPr>
        <w:t>（除属于一类工业项目外的），属于二类工业项目。项目新增总量可平衡替代，符合总量控制要求，同时项目各类污染物经妥善治理后能够做到达标排放。对照规划中的生态空间清单，本项目建设符合其</w:t>
      </w:r>
      <w:r>
        <w:rPr>
          <w:rFonts w:hint="default" w:ascii="Arial" w:hAnsi="Arial" w:eastAsia="宋体" w:cs="Arial"/>
        </w:rPr>
        <w:t>管控要求。</w:t>
      </w:r>
    </w:p>
    <w:p w14:paraId="7BF3AC89">
      <w:pPr>
        <w:pStyle w:val="93"/>
        <w:numPr>
          <w:ilvl w:val="0"/>
          <w:numId w:val="5"/>
        </w:numPr>
        <w:adjustRightInd w:val="0"/>
        <w:snapToGrid w:val="0"/>
        <w:spacing w:before="60" w:beforeLines="0" w:line="360" w:lineRule="auto"/>
        <w:ind w:firstLineChars="0"/>
        <w:jc w:val="left"/>
        <w:rPr>
          <w:rFonts w:hint="default" w:ascii="Arial" w:hAnsi="Arial" w:eastAsia="宋体" w:cs="Arial"/>
        </w:rPr>
      </w:pPr>
      <w:r>
        <w:rPr>
          <w:rFonts w:hint="default" w:ascii="Arial" w:hAnsi="Arial" w:eastAsia="宋体" w:cs="Arial"/>
        </w:rPr>
        <w:t>现有问题整改措施清单</w:t>
      </w:r>
    </w:p>
    <w:p w14:paraId="27A8D589">
      <w:pPr>
        <w:pStyle w:val="92"/>
        <w:spacing w:before="0" w:line="360" w:lineRule="auto"/>
        <w:ind w:firstLine="480"/>
        <w:rPr>
          <w:rFonts w:hint="default" w:ascii="Arial" w:hAnsi="Arial" w:eastAsia="宋体" w:cs="Arial"/>
        </w:rPr>
      </w:pPr>
      <w:r>
        <w:rPr>
          <w:rFonts w:hint="default" w:ascii="Arial" w:hAnsi="Arial" w:eastAsia="宋体" w:cs="Arial"/>
        </w:rPr>
        <w:t>对照规划环评现有问题清单，针对本项目所在地及建设内容，本环评要求企业做好污染物防治工作，确保新增污染物能达标排放。</w:t>
      </w:r>
    </w:p>
    <w:p w14:paraId="70A80892">
      <w:pPr>
        <w:pStyle w:val="92"/>
        <w:numPr>
          <w:ilvl w:val="0"/>
          <w:numId w:val="5"/>
        </w:numPr>
        <w:spacing w:before="0" w:line="360" w:lineRule="auto"/>
        <w:ind w:firstLineChars="0"/>
        <w:rPr>
          <w:rFonts w:hint="default" w:ascii="Arial" w:hAnsi="Arial" w:eastAsia="宋体" w:cs="Arial"/>
        </w:rPr>
      </w:pPr>
      <w:r>
        <w:rPr>
          <w:rFonts w:hint="default" w:ascii="Arial" w:hAnsi="Arial" w:eastAsia="宋体" w:cs="Arial"/>
        </w:rPr>
        <w:t>污染物排放总量管控限值清单</w:t>
      </w:r>
    </w:p>
    <w:p w14:paraId="5A4A6BFD">
      <w:pPr>
        <w:pStyle w:val="92"/>
        <w:spacing w:before="0" w:line="360" w:lineRule="auto"/>
        <w:ind w:firstLine="480"/>
        <w:rPr>
          <w:rFonts w:hint="default" w:ascii="Arial" w:hAnsi="Arial" w:eastAsia="宋体" w:cs="Arial"/>
        </w:rPr>
      </w:pPr>
      <w:r>
        <w:rPr>
          <w:rFonts w:hint="default" w:ascii="Arial" w:hAnsi="Arial" w:eastAsia="宋体" w:cs="Arial"/>
        </w:rPr>
        <w:t>本项目</w:t>
      </w:r>
      <w:r>
        <w:rPr>
          <w:rFonts w:hint="default" w:ascii="Arial" w:hAnsi="Arial" w:cs="Arial"/>
          <w:lang w:val="en-US" w:eastAsia="zh-CN"/>
        </w:rPr>
        <w:t>污染物排放量在原环评核定范围内，不新增总量，</w:t>
      </w:r>
      <w:r>
        <w:rPr>
          <w:rFonts w:hint="default" w:ascii="Arial" w:hAnsi="Arial" w:eastAsia="宋体" w:cs="Arial"/>
        </w:rPr>
        <w:t>符合污染物排放总量控制要求。</w:t>
      </w:r>
    </w:p>
    <w:p w14:paraId="06C07EA1">
      <w:pPr>
        <w:pStyle w:val="92"/>
        <w:numPr>
          <w:ilvl w:val="0"/>
          <w:numId w:val="5"/>
        </w:numPr>
        <w:spacing w:before="0" w:line="360" w:lineRule="auto"/>
        <w:ind w:firstLineChars="0"/>
        <w:rPr>
          <w:rFonts w:hint="default" w:ascii="Arial" w:hAnsi="Arial" w:eastAsia="宋体" w:cs="Arial"/>
        </w:rPr>
      </w:pPr>
      <w:r>
        <w:rPr>
          <w:rFonts w:hint="default" w:ascii="Arial" w:hAnsi="Arial" w:eastAsia="宋体" w:cs="Arial"/>
        </w:rPr>
        <w:t>规划优化调整建议清单</w:t>
      </w:r>
    </w:p>
    <w:p w14:paraId="56FDA423">
      <w:pPr>
        <w:pStyle w:val="92"/>
        <w:spacing w:before="0" w:line="360" w:lineRule="auto"/>
        <w:ind w:firstLine="480"/>
        <w:rPr>
          <w:rFonts w:hint="default" w:ascii="Arial" w:hAnsi="Arial" w:eastAsia="宋体" w:cs="Arial"/>
        </w:rPr>
      </w:pPr>
      <w:r>
        <w:rPr>
          <w:rFonts w:hint="default" w:ascii="Arial" w:hAnsi="Arial" w:eastAsia="宋体" w:cs="Arial"/>
        </w:rPr>
        <w:t>本项目建设地址不在规划优化调整区域内。</w:t>
      </w:r>
    </w:p>
    <w:p w14:paraId="5659772B">
      <w:pPr>
        <w:pStyle w:val="92"/>
        <w:numPr>
          <w:ilvl w:val="0"/>
          <w:numId w:val="5"/>
        </w:numPr>
        <w:spacing w:before="0" w:line="360" w:lineRule="auto"/>
        <w:ind w:firstLineChars="0"/>
        <w:rPr>
          <w:rFonts w:hint="default" w:ascii="Arial" w:hAnsi="Arial" w:eastAsia="宋体" w:cs="Arial"/>
        </w:rPr>
      </w:pPr>
      <w:r>
        <w:rPr>
          <w:rFonts w:hint="default" w:ascii="Arial" w:hAnsi="Arial" w:eastAsia="宋体" w:cs="Arial"/>
        </w:rPr>
        <w:t>环境准入负面清单</w:t>
      </w:r>
    </w:p>
    <w:p w14:paraId="0DC3F786">
      <w:pPr>
        <w:pStyle w:val="92"/>
        <w:spacing w:before="0" w:line="360" w:lineRule="auto"/>
        <w:ind w:firstLine="480"/>
        <w:rPr>
          <w:rFonts w:hint="default" w:ascii="Arial" w:hAnsi="Arial" w:eastAsia="宋体" w:cs="Arial"/>
        </w:rPr>
      </w:pPr>
      <w:r>
        <w:rPr>
          <w:rFonts w:hint="default" w:ascii="Arial" w:hAnsi="Arial" w:eastAsia="宋体" w:cs="Arial"/>
        </w:rPr>
        <w:t>对照平湖经济开发区环境准入负面清单，本项目不属于区域禁止准入类产业。</w:t>
      </w:r>
    </w:p>
    <w:p w14:paraId="44DD4EBF">
      <w:pPr>
        <w:pStyle w:val="92"/>
        <w:numPr>
          <w:ilvl w:val="0"/>
          <w:numId w:val="5"/>
        </w:numPr>
        <w:spacing w:before="0" w:line="360" w:lineRule="auto"/>
        <w:ind w:firstLineChars="0"/>
        <w:rPr>
          <w:rFonts w:hint="default" w:ascii="Arial" w:hAnsi="Arial" w:eastAsia="宋体" w:cs="Arial"/>
        </w:rPr>
      </w:pPr>
      <w:r>
        <w:rPr>
          <w:rFonts w:hint="default" w:ascii="Arial" w:hAnsi="Arial" w:eastAsia="宋体" w:cs="Arial"/>
        </w:rPr>
        <w:t>环境标准清单</w:t>
      </w:r>
    </w:p>
    <w:p w14:paraId="6B90E76D">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0"/>
        <w:rPr>
          <w:rFonts w:hint="default" w:ascii="Arial" w:hAnsi="Arial" w:eastAsia="宋体" w:cs="Arial"/>
          <w:b/>
          <w:bCs/>
          <w:color w:val="FFFFFF" w:themeColor="background1"/>
          <w:sz w:val="10"/>
          <w:szCs w:val="10"/>
          <w14:textFill>
            <w14:solidFill>
              <w14:schemeClr w14:val="bg1"/>
            </w14:solidFill>
          </w14:textFill>
        </w:rPr>
        <w:sectPr>
          <w:headerReference r:id="rId10" w:type="default"/>
          <w:footerReference r:id="rId11"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sz w:val="24"/>
          <w:szCs w:val="24"/>
        </w:rPr>
        <w:t>综合上述清单符合性分析，本项目建设符合环境标准清单要求</w:t>
      </w:r>
      <w:r>
        <w:rPr>
          <w:rFonts w:hint="default" w:ascii="Arial" w:hAnsi="Arial" w:eastAsia="宋体" w:cs="Arial"/>
        </w:rPr>
        <w:t>。</w:t>
      </w:r>
    </w:p>
    <w:p w14:paraId="150837EA">
      <w:pPr>
        <w:spacing w:line="360" w:lineRule="auto"/>
        <w:rPr>
          <w:rFonts w:hint="default" w:ascii="Arial" w:hAnsi="Arial" w:eastAsia="宋体" w:cs="Arial"/>
          <w:b/>
          <w:bCs/>
          <w:sz w:val="24"/>
          <w:szCs w:val="24"/>
        </w:rPr>
      </w:pPr>
      <w:r>
        <w:rPr>
          <w:rFonts w:hint="default" w:ascii="Arial" w:hAnsi="Arial" w:eastAsia="宋体" w:cs="Arial"/>
          <w:b/>
          <w:bCs/>
          <w:sz w:val="24"/>
          <w:szCs w:val="24"/>
        </w:rPr>
        <w:t>1、审批原则符合性分析</w:t>
      </w:r>
    </w:p>
    <w:p w14:paraId="30F27312">
      <w:pPr>
        <w:spacing w:line="360" w:lineRule="auto"/>
        <w:rPr>
          <w:rFonts w:hint="default" w:ascii="Arial" w:hAnsi="Arial" w:eastAsia="宋体" w:cs="Arial"/>
          <w:b/>
          <w:bCs/>
          <w:sz w:val="24"/>
          <w:szCs w:val="24"/>
        </w:rPr>
      </w:pPr>
      <w:r>
        <w:rPr>
          <w:rFonts w:hint="default" w:ascii="Arial" w:hAnsi="Arial" w:eastAsia="宋体" w:cs="Arial"/>
          <w:b/>
          <w:bCs/>
          <w:sz w:val="24"/>
          <w:szCs w:val="24"/>
        </w:rPr>
        <w:t>（1）生态环境分区管控方案符合性分析</w:t>
      </w:r>
    </w:p>
    <w:p w14:paraId="1D2D3360">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根据平湖市人民政府文件《平湖市人民政府关于印发&lt;平湖市“三线一单”生态环境分区管控</w:t>
      </w:r>
      <w:r>
        <w:rPr>
          <w:rFonts w:hint="default" w:ascii="Arial" w:hAnsi="Arial" w:eastAsia="宋体" w:cs="Arial"/>
          <w:lang w:val="en-US" w:eastAsia="zh-CN"/>
        </w:rPr>
        <w:t>动态更新</w:t>
      </w:r>
      <w:r>
        <w:rPr>
          <w:rFonts w:hint="default" w:ascii="Arial" w:hAnsi="Arial" w:eastAsia="宋体" w:cs="Arial"/>
        </w:rPr>
        <w:t>方案&gt;的通知》（平政发〔202</w:t>
      </w:r>
      <w:r>
        <w:rPr>
          <w:rFonts w:hint="default" w:ascii="Arial" w:hAnsi="Arial" w:eastAsia="宋体" w:cs="Arial"/>
          <w:lang w:val="en-US" w:eastAsia="zh-CN"/>
        </w:rPr>
        <w:t>4</w:t>
      </w:r>
      <w:r>
        <w:rPr>
          <w:rFonts w:hint="default" w:ascii="Arial" w:hAnsi="Arial" w:eastAsia="宋体" w:cs="Arial"/>
        </w:rPr>
        <w:t>〕</w:t>
      </w:r>
      <w:r>
        <w:rPr>
          <w:rFonts w:hint="default" w:ascii="Arial" w:hAnsi="Arial" w:eastAsia="宋体" w:cs="Arial"/>
          <w:lang w:val="en-US" w:eastAsia="zh-CN"/>
        </w:rPr>
        <w:t>23</w:t>
      </w:r>
      <w:r>
        <w:rPr>
          <w:rFonts w:hint="default" w:ascii="Arial" w:hAnsi="Arial" w:eastAsia="宋体" w:cs="Arial"/>
        </w:rPr>
        <w:t>号），平湖市（包含嘉兴港区）共划定环境管控单元22个，其中优先保护单元6个，重点管控单元15个（产业集聚类7个，城镇生活类8个），一般管控区1个。</w:t>
      </w:r>
    </w:p>
    <w:p w14:paraId="20FEA4B9">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根据项目地理位置，本项目属于平湖市钟埭街道产业集聚重点管控单元（ZH33048220006）。</w:t>
      </w:r>
    </w:p>
    <w:p w14:paraId="42609920">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本项目与管控措施的对照分析如表1-</w:t>
      </w:r>
      <w:r>
        <w:rPr>
          <w:rFonts w:hint="default" w:ascii="Arial" w:hAnsi="Arial" w:eastAsia="宋体" w:cs="Arial"/>
          <w:lang w:val="en-US" w:eastAsia="zh-CN"/>
        </w:rPr>
        <w:t>7</w:t>
      </w:r>
      <w:r>
        <w:rPr>
          <w:rFonts w:hint="default" w:ascii="Arial" w:hAnsi="Arial" w:eastAsia="宋体" w:cs="Arial"/>
        </w:rPr>
        <w:t>所示。</w:t>
      </w:r>
    </w:p>
    <w:p w14:paraId="084B1CF0">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本项目与管控措施的对照分析表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3"/>
        <w:gridCol w:w="3973"/>
        <w:gridCol w:w="2657"/>
        <w:gridCol w:w="874"/>
      </w:tblGrid>
      <w:tr w14:paraId="7B6A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Align w:val="center"/>
          </w:tcPr>
          <w:p w14:paraId="63187804">
            <w:pPr>
              <w:rPr>
                <w:rFonts w:hint="default" w:ascii="Arial" w:hAnsi="Arial" w:eastAsia="宋体" w:cs="Arial"/>
              </w:rPr>
            </w:pPr>
            <w:r>
              <w:rPr>
                <w:rFonts w:hint="default" w:ascii="Arial" w:hAnsi="Arial" w:eastAsia="宋体" w:cs="Arial"/>
              </w:rPr>
              <w:t>内容</w:t>
            </w:r>
          </w:p>
        </w:tc>
        <w:tc>
          <w:tcPr>
            <w:tcW w:w="3907" w:type="dxa"/>
            <w:vAlign w:val="center"/>
          </w:tcPr>
          <w:p w14:paraId="1DF7D96F">
            <w:pPr>
              <w:adjustRightInd w:val="0"/>
              <w:snapToGrid w:val="0"/>
              <w:ind w:right="-108"/>
              <w:jc w:val="center"/>
              <w:rPr>
                <w:rFonts w:hint="default" w:ascii="Arial" w:hAnsi="Arial" w:eastAsia="宋体" w:cs="Arial"/>
                <w:szCs w:val="21"/>
              </w:rPr>
            </w:pPr>
            <w:r>
              <w:rPr>
                <w:rFonts w:hint="default" w:ascii="Arial" w:hAnsi="Arial" w:eastAsia="宋体" w:cs="Arial"/>
                <w:szCs w:val="21"/>
              </w:rPr>
              <w:t>准入清单</w:t>
            </w:r>
          </w:p>
        </w:tc>
        <w:tc>
          <w:tcPr>
            <w:tcW w:w="2613" w:type="dxa"/>
            <w:vAlign w:val="center"/>
          </w:tcPr>
          <w:p w14:paraId="122F9AD5">
            <w:pPr>
              <w:adjustRightInd w:val="0"/>
              <w:snapToGrid w:val="0"/>
              <w:ind w:right="-108"/>
              <w:jc w:val="center"/>
              <w:rPr>
                <w:rFonts w:hint="default" w:ascii="Arial" w:hAnsi="Arial" w:eastAsia="宋体" w:cs="Arial"/>
                <w:szCs w:val="21"/>
              </w:rPr>
            </w:pPr>
            <w:r>
              <w:rPr>
                <w:rFonts w:hint="default" w:ascii="Arial" w:hAnsi="Arial" w:eastAsia="宋体" w:cs="Arial"/>
                <w:szCs w:val="21"/>
              </w:rPr>
              <w:t>本项目情况</w:t>
            </w:r>
          </w:p>
        </w:tc>
        <w:tc>
          <w:tcPr>
            <w:tcW w:w="859" w:type="dxa"/>
            <w:vAlign w:val="center"/>
          </w:tcPr>
          <w:p w14:paraId="3612FC61">
            <w:pPr>
              <w:jc w:val="center"/>
              <w:rPr>
                <w:rFonts w:hint="default" w:ascii="Arial" w:hAnsi="Arial" w:eastAsia="宋体" w:cs="Arial"/>
                <w:szCs w:val="21"/>
              </w:rPr>
            </w:pPr>
            <w:r>
              <w:rPr>
                <w:rFonts w:hint="default" w:ascii="Arial" w:hAnsi="Arial" w:eastAsia="宋体" w:cs="Arial"/>
                <w:szCs w:val="21"/>
              </w:rPr>
              <w:t>符合性</w:t>
            </w:r>
          </w:p>
        </w:tc>
      </w:tr>
      <w:tr w14:paraId="6FEC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restart"/>
            <w:vAlign w:val="center"/>
          </w:tcPr>
          <w:p w14:paraId="76C469EC">
            <w:pPr>
              <w:rPr>
                <w:rFonts w:hint="default" w:ascii="Arial" w:hAnsi="Arial" w:eastAsia="宋体" w:cs="Arial"/>
              </w:rPr>
            </w:pPr>
            <w:r>
              <w:rPr>
                <w:rFonts w:hint="default" w:ascii="Arial" w:hAnsi="Arial" w:eastAsia="宋体" w:cs="Arial"/>
              </w:rPr>
              <w:t>空间布局约束</w:t>
            </w:r>
          </w:p>
        </w:tc>
        <w:tc>
          <w:tcPr>
            <w:tcW w:w="3907" w:type="dxa"/>
            <w:vAlign w:val="center"/>
          </w:tcPr>
          <w:p w14:paraId="46A89E3E">
            <w:pPr>
              <w:jc w:val="center"/>
              <w:rPr>
                <w:rFonts w:hint="default" w:ascii="Arial" w:hAnsi="Arial" w:eastAsia="宋体" w:cs="Arial"/>
                <w:szCs w:val="21"/>
              </w:rPr>
            </w:pPr>
            <w:r>
              <w:rPr>
                <w:rFonts w:hint="default" w:ascii="Arial" w:hAnsi="Arial" w:eastAsia="宋体" w:cs="Arial"/>
                <w:szCs w:val="21"/>
              </w:rPr>
              <w:t>1、优化产业布局和结构，实施分区差别化的产业准入条件。</w:t>
            </w:r>
          </w:p>
        </w:tc>
        <w:tc>
          <w:tcPr>
            <w:tcW w:w="2613" w:type="dxa"/>
            <w:vAlign w:val="center"/>
          </w:tcPr>
          <w:p w14:paraId="7CCFB9B9">
            <w:pPr>
              <w:adjustRightInd w:val="0"/>
              <w:snapToGrid w:val="0"/>
              <w:ind w:right="-108"/>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本项目已通过平湖市</w:t>
            </w:r>
            <w:r>
              <w:rPr>
                <w:rFonts w:hint="default" w:ascii="Arial" w:hAnsi="Arial" w:eastAsia="宋体" w:cs="Arial"/>
                <w:color w:val="000000" w:themeColor="text1"/>
                <w:szCs w:val="21"/>
                <w:lang w:val="en-US" w:eastAsia="zh-CN"/>
                <w14:textFill>
                  <w14:solidFill>
                    <w14:schemeClr w14:val="tx1"/>
                  </w14:solidFill>
                </w14:textFill>
              </w:rPr>
              <w:t>发改</w:t>
            </w:r>
            <w:r>
              <w:rPr>
                <w:rFonts w:hint="default" w:ascii="Arial" w:hAnsi="Arial" w:eastAsia="宋体" w:cs="Arial"/>
                <w:color w:val="000000" w:themeColor="text1"/>
                <w:szCs w:val="21"/>
                <w14:textFill>
                  <w14:solidFill>
                    <w14:schemeClr w14:val="tx1"/>
                  </w14:solidFill>
                </w14:textFill>
              </w:rPr>
              <w:t>局备案，项目代码为</w:t>
            </w:r>
            <w:r>
              <w:rPr>
                <w:rFonts w:hint="default" w:ascii="Arial" w:hAnsi="Arial" w:eastAsia="宋体" w:cs="Arial"/>
                <w:color w:val="000000" w:themeColor="text1"/>
                <w:szCs w:val="21"/>
                <w:lang w:val="en-US" w:eastAsia="zh-CN"/>
                <w14:textFill>
                  <w14:solidFill>
                    <w14:schemeClr w14:val="tx1"/>
                  </w14:solidFill>
                </w14:textFill>
              </w:rPr>
              <w:t>2505-330482-04-01-984969</w:t>
            </w:r>
          </w:p>
        </w:tc>
        <w:tc>
          <w:tcPr>
            <w:tcW w:w="859" w:type="dxa"/>
            <w:vAlign w:val="center"/>
          </w:tcPr>
          <w:p w14:paraId="46152E1E">
            <w:pPr>
              <w:jc w:val="center"/>
              <w:rPr>
                <w:rFonts w:hint="default" w:ascii="Arial" w:hAnsi="Arial" w:eastAsia="宋体" w:cs="Arial"/>
                <w:szCs w:val="21"/>
              </w:rPr>
            </w:pPr>
            <w:r>
              <w:rPr>
                <w:rFonts w:hint="default" w:ascii="Arial" w:hAnsi="Arial" w:eastAsia="宋体" w:cs="Arial"/>
                <w:szCs w:val="21"/>
              </w:rPr>
              <w:t>符合</w:t>
            </w:r>
          </w:p>
        </w:tc>
      </w:tr>
      <w:tr w14:paraId="0240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continue"/>
            <w:vAlign w:val="center"/>
          </w:tcPr>
          <w:p w14:paraId="78B57E4B">
            <w:pPr>
              <w:rPr>
                <w:rFonts w:hint="default" w:ascii="Arial" w:hAnsi="Arial" w:eastAsia="宋体" w:cs="Arial"/>
              </w:rPr>
            </w:pPr>
          </w:p>
        </w:tc>
        <w:tc>
          <w:tcPr>
            <w:tcW w:w="3907" w:type="dxa"/>
            <w:vAlign w:val="center"/>
          </w:tcPr>
          <w:p w14:paraId="2606E1E2">
            <w:pPr>
              <w:jc w:val="center"/>
              <w:rPr>
                <w:rFonts w:hint="default" w:ascii="Arial" w:hAnsi="Arial" w:eastAsia="宋体" w:cs="Arial"/>
                <w:szCs w:val="21"/>
              </w:rPr>
            </w:pPr>
            <w:r>
              <w:rPr>
                <w:rFonts w:hint="default" w:ascii="Arial" w:hAnsi="Arial" w:eastAsia="宋体" w:cs="Arial"/>
                <w:szCs w:val="21"/>
              </w:rPr>
              <w:t>2、合理规划布局三类工业项目，控制三类工业项目布局范围和总体规模，对不符合钟平湖市重点支持产业导向的三类工业项目禁止准入，鼓励对现有三类工业项目进行淘汰和提升。</w:t>
            </w:r>
          </w:p>
        </w:tc>
        <w:tc>
          <w:tcPr>
            <w:tcW w:w="2613" w:type="dxa"/>
            <w:vAlign w:val="center"/>
          </w:tcPr>
          <w:p w14:paraId="222DA4B8">
            <w:pPr>
              <w:adjustRightInd w:val="0"/>
              <w:snapToGrid w:val="0"/>
              <w:ind w:right="-108"/>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本项目属于10</w:t>
            </w:r>
            <w:r>
              <w:rPr>
                <w:rFonts w:hint="default" w:ascii="Arial" w:hAnsi="Arial" w:eastAsia="宋体" w:cs="Arial"/>
                <w:color w:val="000000" w:themeColor="text1"/>
                <w:szCs w:val="21"/>
                <w:lang w:val="en-US" w:eastAsia="zh-CN"/>
                <w14:textFill>
                  <w14:solidFill>
                    <w14:schemeClr w14:val="tx1"/>
                  </w14:solidFill>
                </w14:textFill>
              </w:rPr>
              <w:t>5</w:t>
            </w: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汽车</w:t>
            </w:r>
            <w:r>
              <w:rPr>
                <w:rFonts w:hint="default" w:ascii="Arial" w:hAnsi="Arial" w:eastAsia="宋体" w:cs="Arial"/>
                <w:color w:val="000000" w:themeColor="text1"/>
                <w:szCs w:val="21"/>
                <w14:textFill>
                  <w14:solidFill>
                    <w14:schemeClr w14:val="tx1"/>
                  </w14:solidFill>
                </w14:textFill>
              </w:rPr>
              <w:t>制造业 3</w:t>
            </w:r>
            <w:r>
              <w:rPr>
                <w:rFonts w:hint="default" w:ascii="Arial" w:hAnsi="Arial" w:eastAsia="宋体" w:cs="Arial"/>
                <w:color w:val="000000" w:themeColor="text1"/>
                <w:szCs w:val="21"/>
                <w:lang w:val="en-US" w:eastAsia="zh-CN"/>
                <w14:textFill>
                  <w14:solidFill>
                    <w14:schemeClr w14:val="tx1"/>
                  </w14:solidFill>
                </w14:textFill>
              </w:rPr>
              <w:t>6</w:t>
            </w:r>
            <w:r>
              <w:rPr>
                <w:rFonts w:hint="default" w:ascii="Arial" w:hAnsi="Arial" w:eastAsia="宋体" w:cs="Arial"/>
                <w:color w:val="000000" w:themeColor="text1"/>
                <w:szCs w:val="21"/>
                <w14:textFill>
                  <w14:solidFill>
                    <w14:schemeClr w14:val="tx1"/>
                  </w14:solidFill>
                </w14:textFill>
              </w:rPr>
              <w:t>（除属于一类工业项目外的），属于二类工业项目。</w:t>
            </w:r>
          </w:p>
        </w:tc>
        <w:tc>
          <w:tcPr>
            <w:tcW w:w="859" w:type="dxa"/>
            <w:vAlign w:val="center"/>
          </w:tcPr>
          <w:p w14:paraId="47FEF4CF">
            <w:pPr>
              <w:jc w:val="center"/>
              <w:rPr>
                <w:rFonts w:hint="default" w:ascii="Arial" w:hAnsi="Arial" w:eastAsia="宋体" w:cs="Arial"/>
                <w:szCs w:val="21"/>
              </w:rPr>
            </w:pPr>
            <w:r>
              <w:rPr>
                <w:rFonts w:hint="default" w:ascii="Arial" w:hAnsi="Arial" w:eastAsia="宋体" w:cs="Arial"/>
                <w:szCs w:val="21"/>
              </w:rPr>
              <w:t>符合</w:t>
            </w:r>
          </w:p>
        </w:tc>
      </w:tr>
      <w:tr w14:paraId="4EC33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continue"/>
            <w:vAlign w:val="center"/>
          </w:tcPr>
          <w:p w14:paraId="15D9A1C1">
            <w:pPr>
              <w:rPr>
                <w:rFonts w:hint="default" w:ascii="Arial" w:hAnsi="Arial" w:eastAsia="宋体" w:cs="Arial"/>
              </w:rPr>
            </w:pPr>
          </w:p>
        </w:tc>
        <w:tc>
          <w:tcPr>
            <w:tcW w:w="3907" w:type="dxa"/>
            <w:vAlign w:val="center"/>
          </w:tcPr>
          <w:p w14:paraId="2E22438D">
            <w:pPr>
              <w:jc w:val="center"/>
              <w:rPr>
                <w:rFonts w:hint="default" w:ascii="Arial" w:hAnsi="Arial" w:eastAsia="宋体" w:cs="Arial"/>
                <w:szCs w:val="21"/>
              </w:rPr>
            </w:pPr>
            <w:r>
              <w:rPr>
                <w:rFonts w:hint="default" w:ascii="Arial" w:hAnsi="Arial" w:eastAsia="宋体" w:cs="Arial"/>
                <w:szCs w:val="21"/>
              </w:rPr>
              <w:t>3、提高电力、医药、化工、印染、造纸、化纤等重点行业环保准入门槛，控制新增污染物排放量。</w:t>
            </w:r>
          </w:p>
        </w:tc>
        <w:tc>
          <w:tcPr>
            <w:tcW w:w="2613" w:type="dxa"/>
            <w:vAlign w:val="center"/>
          </w:tcPr>
          <w:p w14:paraId="37E03A25">
            <w:pPr>
              <w:adjustRightInd w:val="0"/>
              <w:snapToGrid w:val="0"/>
              <w:ind w:right="-108"/>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本项目不属于上述重点行业</w:t>
            </w:r>
          </w:p>
        </w:tc>
        <w:tc>
          <w:tcPr>
            <w:tcW w:w="859" w:type="dxa"/>
            <w:vAlign w:val="center"/>
          </w:tcPr>
          <w:p w14:paraId="30891AAD">
            <w:pPr>
              <w:jc w:val="center"/>
              <w:rPr>
                <w:rFonts w:hint="default" w:ascii="Arial" w:hAnsi="Arial" w:eastAsia="宋体" w:cs="Arial"/>
                <w:szCs w:val="21"/>
              </w:rPr>
            </w:pPr>
            <w:r>
              <w:rPr>
                <w:rFonts w:hint="default" w:ascii="Arial" w:hAnsi="Arial" w:eastAsia="宋体" w:cs="Arial"/>
                <w:szCs w:val="21"/>
              </w:rPr>
              <w:t>符合</w:t>
            </w:r>
          </w:p>
        </w:tc>
      </w:tr>
      <w:tr w14:paraId="646F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continue"/>
            <w:vAlign w:val="center"/>
          </w:tcPr>
          <w:p w14:paraId="13650573">
            <w:pPr>
              <w:rPr>
                <w:rFonts w:hint="default" w:ascii="Arial" w:hAnsi="Arial" w:eastAsia="宋体" w:cs="Arial"/>
              </w:rPr>
            </w:pPr>
          </w:p>
        </w:tc>
        <w:tc>
          <w:tcPr>
            <w:tcW w:w="3907" w:type="dxa"/>
            <w:vAlign w:val="center"/>
          </w:tcPr>
          <w:p w14:paraId="1235D3BC">
            <w:pPr>
              <w:jc w:val="center"/>
              <w:rPr>
                <w:rFonts w:hint="default" w:ascii="Arial" w:hAnsi="Arial" w:eastAsia="宋体" w:cs="Arial"/>
                <w:szCs w:val="21"/>
              </w:rPr>
            </w:pPr>
            <w:r>
              <w:rPr>
                <w:rFonts w:hint="default" w:ascii="Arial" w:hAnsi="Arial" w:eastAsia="宋体" w:cs="Arial"/>
                <w:szCs w:val="21"/>
              </w:rPr>
              <w:t>4、严格限制新、扩建医药（生物制药和创新中药除外）、印染、化纤、合成革、工业涂装、包装印刷、塑料和橡胶等涉VOCs重污染项目（全部使用新料的塑料制品业、全部使用符合《重点行业挥发性有机物综合治理方案》（环大气〔2019〕53号）文件要求的水性涂料、油墨、胶粘剂等的除外），新建涉VOCs排放的工业企业全部进入工业功能区，严格执行相关污染物排放量削减替代管理要求。</w:t>
            </w:r>
          </w:p>
        </w:tc>
        <w:tc>
          <w:tcPr>
            <w:tcW w:w="2613" w:type="dxa"/>
            <w:vAlign w:val="center"/>
          </w:tcPr>
          <w:p w14:paraId="5AB0EC38">
            <w:pPr>
              <w:adjustRightInd w:val="0"/>
              <w:snapToGrid w:val="0"/>
              <w:ind w:right="-108"/>
              <w:jc w:val="center"/>
              <w:rPr>
                <w:rFonts w:hint="default" w:ascii="Arial" w:hAnsi="Arial" w:eastAsia="宋体" w:cs="Arial"/>
                <w:szCs w:val="21"/>
              </w:rPr>
            </w:pPr>
            <w:r>
              <w:rPr>
                <w:rFonts w:hint="default" w:ascii="Arial" w:hAnsi="Arial" w:eastAsia="宋体" w:cs="Arial"/>
                <w:szCs w:val="21"/>
              </w:rPr>
              <w:t>本项目</w:t>
            </w:r>
            <w:r>
              <w:rPr>
                <w:rFonts w:hint="default" w:ascii="Arial" w:hAnsi="Arial" w:eastAsia="宋体" w:cs="Arial"/>
                <w:szCs w:val="21"/>
                <w:lang w:val="en-US" w:eastAsia="zh-CN"/>
              </w:rPr>
              <w:t>使</w:t>
            </w:r>
            <w:r>
              <w:rPr>
                <w:rFonts w:hint="default" w:ascii="Arial" w:hAnsi="Arial" w:eastAsia="宋体" w:cs="Arial"/>
                <w:szCs w:val="21"/>
              </w:rPr>
              <w:t>用清洗剂符合《清洗剂挥发性有机化合物含量限值》（GB38508-2020）要求。</w:t>
            </w:r>
          </w:p>
        </w:tc>
        <w:tc>
          <w:tcPr>
            <w:tcW w:w="859" w:type="dxa"/>
            <w:vAlign w:val="center"/>
          </w:tcPr>
          <w:p w14:paraId="404E2EF9">
            <w:pPr>
              <w:jc w:val="center"/>
              <w:rPr>
                <w:rFonts w:hint="default" w:ascii="Arial" w:hAnsi="Arial" w:eastAsia="宋体" w:cs="Arial"/>
                <w:szCs w:val="21"/>
              </w:rPr>
            </w:pPr>
            <w:r>
              <w:rPr>
                <w:rFonts w:hint="default" w:ascii="Arial" w:hAnsi="Arial" w:eastAsia="宋体" w:cs="Arial"/>
                <w:szCs w:val="21"/>
              </w:rPr>
              <w:t>符合</w:t>
            </w:r>
          </w:p>
        </w:tc>
      </w:tr>
      <w:tr w14:paraId="369F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424" w:type="dxa"/>
            <w:vMerge w:val="continue"/>
            <w:vAlign w:val="center"/>
          </w:tcPr>
          <w:p w14:paraId="742B3127">
            <w:pPr>
              <w:rPr>
                <w:rFonts w:hint="default" w:ascii="Arial" w:hAnsi="Arial" w:eastAsia="宋体" w:cs="Arial"/>
              </w:rPr>
            </w:pPr>
          </w:p>
        </w:tc>
        <w:tc>
          <w:tcPr>
            <w:tcW w:w="3907" w:type="dxa"/>
            <w:vAlign w:val="center"/>
          </w:tcPr>
          <w:p w14:paraId="1993210A">
            <w:pPr>
              <w:adjustRightInd w:val="0"/>
              <w:snapToGrid w:val="0"/>
              <w:ind w:right="-108"/>
              <w:jc w:val="center"/>
              <w:rPr>
                <w:rFonts w:hint="default" w:ascii="Arial" w:hAnsi="Arial" w:eastAsia="宋体" w:cs="Arial"/>
                <w:szCs w:val="21"/>
              </w:rPr>
            </w:pPr>
            <w:r>
              <w:rPr>
                <w:rFonts w:hint="default" w:ascii="Arial" w:hAnsi="Arial" w:eastAsia="宋体" w:cs="Arial"/>
                <w:szCs w:val="21"/>
              </w:rPr>
              <w:t>5、除热电行业外，禁止新建、改建、扩建使用高污染燃料的项目。</w:t>
            </w:r>
          </w:p>
        </w:tc>
        <w:tc>
          <w:tcPr>
            <w:tcW w:w="2613" w:type="dxa"/>
            <w:vAlign w:val="center"/>
          </w:tcPr>
          <w:p w14:paraId="49A5FAC4">
            <w:pPr>
              <w:adjustRightInd w:val="0"/>
              <w:snapToGrid w:val="0"/>
              <w:ind w:right="-108"/>
              <w:jc w:val="center"/>
              <w:rPr>
                <w:rFonts w:hint="default" w:ascii="Arial" w:hAnsi="Arial" w:eastAsia="宋体" w:cs="Arial"/>
                <w:szCs w:val="21"/>
              </w:rPr>
            </w:pPr>
            <w:r>
              <w:rPr>
                <w:rFonts w:hint="default" w:ascii="Arial" w:hAnsi="Arial" w:eastAsia="宋体" w:cs="Arial"/>
                <w:szCs w:val="21"/>
              </w:rPr>
              <w:t>本项目采用电能，不涉及高污染燃料</w:t>
            </w:r>
          </w:p>
        </w:tc>
        <w:tc>
          <w:tcPr>
            <w:tcW w:w="859" w:type="dxa"/>
            <w:vAlign w:val="center"/>
          </w:tcPr>
          <w:p w14:paraId="46199AA4">
            <w:pPr>
              <w:jc w:val="center"/>
              <w:rPr>
                <w:rFonts w:hint="default" w:ascii="Arial" w:hAnsi="Arial" w:eastAsia="宋体" w:cs="Arial"/>
                <w:szCs w:val="21"/>
              </w:rPr>
            </w:pPr>
            <w:r>
              <w:rPr>
                <w:rFonts w:hint="default" w:ascii="Arial" w:hAnsi="Arial" w:eastAsia="宋体" w:cs="Arial"/>
                <w:szCs w:val="21"/>
              </w:rPr>
              <w:t>符合</w:t>
            </w:r>
          </w:p>
        </w:tc>
      </w:tr>
      <w:tr w14:paraId="4C0D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continue"/>
            <w:vAlign w:val="center"/>
          </w:tcPr>
          <w:p w14:paraId="1F3C991E">
            <w:pPr>
              <w:rPr>
                <w:rFonts w:hint="default" w:ascii="Arial" w:hAnsi="Arial" w:eastAsia="宋体" w:cs="Arial"/>
              </w:rPr>
            </w:pPr>
          </w:p>
        </w:tc>
        <w:tc>
          <w:tcPr>
            <w:tcW w:w="3907" w:type="dxa"/>
            <w:vAlign w:val="center"/>
          </w:tcPr>
          <w:p w14:paraId="065821A5">
            <w:pPr>
              <w:adjustRightInd w:val="0"/>
              <w:snapToGrid w:val="0"/>
              <w:ind w:right="-108"/>
              <w:jc w:val="center"/>
              <w:rPr>
                <w:rFonts w:hint="default" w:ascii="Arial" w:hAnsi="Arial" w:eastAsia="宋体" w:cs="Arial"/>
                <w:szCs w:val="21"/>
              </w:rPr>
            </w:pPr>
            <w:r>
              <w:rPr>
                <w:rFonts w:hint="default" w:ascii="Arial" w:hAnsi="Arial" w:eastAsia="宋体" w:cs="Arial"/>
                <w:szCs w:val="21"/>
              </w:rPr>
              <w:t>6、合理规划居住区与工业功能区，在居住区和工业区、工业企业之间设置防护绿地、生态绿地等隔离带。</w:t>
            </w:r>
          </w:p>
        </w:tc>
        <w:tc>
          <w:tcPr>
            <w:tcW w:w="2613" w:type="dxa"/>
            <w:vAlign w:val="center"/>
          </w:tcPr>
          <w:p w14:paraId="4A17DD02">
            <w:pPr>
              <w:adjustRightInd w:val="0"/>
              <w:snapToGrid w:val="0"/>
              <w:ind w:right="-108"/>
              <w:jc w:val="center"/>
              <w:rPr>
                <w:rFonts w:hint="default" w:ascii="Arial" w:hAnsi="Arial" w:eastAsia="宋体" w:cs="Arial"/>
                <w:szCs w:val="21"/>
              </w:rPr>
            </w:pPr>
            <w:r>
              <w:rPr>
                <w:rFonts w:hint="default" w:ascii="Arial" w:hAnsi="Arial" w:eastAsia="宋体" w:cs="Arial"/>
                <w:szCs w:val="21"/>
              </w:rPr>
              <w:t>本项目位于平湖市经济技术开发区内，最近敏感目标</w:t>
            </w:r>
            <w:r>
              <w:rPr>
                <w:rFonts w:hint="default" w:ascii="Arial" w:hAnsi="Arial" w:eastAsia="宋体" w:cs="Arial"/>
                <w:szCs w:val="21"/>
                <w:lang w:val="en-US" w:eastAsia="zh-CN"/>
              </w:rPr>
              <w:t>南</w:t>
            </w:r>
            <w:r>
              <w:rPr>
                <w:rFonts w:hint="default" w:ascii="Arial" w:hAnsi="Arial" w:eastAsia="宋体" w:cs="Arial"/>
                <w:szCs w:val="21"/>
              </w:rPr>
              <w:t>村距离本项目约</w:t>
            </w:r>
            <w:r>
              <w:rPr>
                <w:rFonts w:hint="default" w:ascii="Arial" w:hAnsi="Arial" w:eastAsia="宋体" w:cs="Arial"/>
                <w:szCs w:val="21"/>
                <w:lang w:val="en-US" w:eastAsia="zh-CN"/>
              </w:rPr>
              <w:t>230</w:t>
            </w:r>
            <w:r>
              <w:rPr>
                <w:rFonts w:hint="default" w:ascii="Arial" w:hAnsi="Arial" w:eastAsia="宋体" w:cs="Arial"/>
                <w:szCs w:val="21"/>
              </w:rPr>
              <w:t>m</w:t>
            </w:r>
          </w:p>
        </w:tc>
        <w:tc>
          <w:tcPr>
            <w:tcW w:w="859" w:type="dxa"/>
            <w:vAlign w:val="center"/>
          </w:tcPr>
          <w:p w14:paraId="65722B8F">
            <w:pPr>
              <w:jc w:val="center"/>
              <w:rPr>
                <w:rFonts w:hint="default" w:ascii="Arial" w:hAnsi="Arial" w:eastAsia="宋体" w:cs="Arial"/>
                <w:szCs w:val="21"/>
              </w:rPr>
            </w:pPr>
            <w:r>
              <w:rPr>
                <w:rFonts w:hint="default" w:ascii="Arial" w:hAnsi="Arial" w:eastAsia="宋体" w:cs="Arial"/>
                <w:szCs w:val="21"/>
              </w:rPr>
              <w:t>符合</w:t>
            </w:r>
          </w:p>
        </w:tc>
      </w:tr>
      <w:tr w14:paraId="2734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restart"/>
            <w:vAlign w:val="center"/>
          </w:tcPr>
          <w:p w14:paraId="099080AE">
            <w:pPr>
              <w:rPr>
                <w:rFonts w:hint="default" w:ascii="Arial" w:hAnsi="Arial" w:eastAsia="宋体" w:cs="Arial"/>
              </w:rPr>
            </w:pPr>
            <w:r>
              <w:rPr>
                <w:rFonts w:hint="default" w:ascii="Arial" w:hAnsi="Arial" w:eastAsia="宋体" w:cs="Arial"/>
              </w:rPr>
              <w:t>污染物排放管控</w:t>
            </w:r>
          </w:p>
        </w:tc>
        <w:tc>
          <w:tcPr>
            <w:tcW w:w="3907" w:type="dxa"/>
            <w:vAlign w:val="center"/>
          </w:tcPr>
          <w:p w14:paraId="1445542C">
            <w:pPr>
              <w:jc w:val="center"/>
              <w:rPr>
                <w:rFonts w:hint="default" w:ascii="Arial" w:hAnsi="Arial" w:eastAsia="宋体" w:cs="Arial"/>
                <w:szCs w:val="21"/>
              </w:rPr>
            </w:pPr>
            <w:r>
              <w:rPr>
                <w:rFonts w:hint="default" w:ascii="Arial" w:hAnsi="Arial" w:eastAsia="宋体" w:cs="Arial"/>
                <w:szCs w:val="21"/>
              </w:rPr>
              <w:t>1、严格实施污染物总量控制制度，根据区域环境质量改善目标，削减污染物排放总量。</w:t>
            </w:r>
          </w:p>
        </w:tc>
        <w:tc>
          <w:tcPr>
            <w:tcW w:w="2613" w:type="dxa"/>
            <w:vAlign w:val="center"/>
          </w:tcPr>
          <w:p w14:paraId="0AF34BFE">
            <w:pPr>
              <w:adjustRightInd w:val="0"/>
              <w:snapToGrid w:val="0"/>
              <w:ind w:right="-108"/>
              <w:jc w:val="center"/>
              <w:rPr>
                <w:rFonts w:hint="default" w:ascii="Arial" w:hAnsi="Arial" w:eastAsia="宋体" w:cs="Arial"/>
                <w:szCs w:val="21"/>
                <w:lang w:val="en-US"/>
              </w:rPr>
            </w:pPr>
            <w:r>
              <w:rPr>
                <w:rFonts w:hint="default" w:ascii="Arial" w:hAnsi="Arial" w:eastAsia="宋体" w:cs="Arial"/>
                <w:szCs w:val="21"/>
              </w:rPr>
              <w:t>本项目</w:t>
            </w:r>
            <w:r>
              <w:rPr>
                <w:rFonts w:hint="default" w:ascii="Arial" w:hAnsi="Arial" w:eastAsia="宋体" w:cs="Arial"/>
                <w:szCs w:val="21"/>
                <w:lang w:val="en-US" w:eastAsia="zh-CN"/>
              </w:rPr>
              <w:t>污染物排放量不增加，无需进行总量平衡</w:t>
            </w:r>
          </w:p>
        </w:tc>
        <w:tc>
          <w:tcPr>
            <w:tcW w:w="859" w:type="dxa"/>
            <w:vAlign w:val="center"/>
          </w:tcPr>
          <w:p w14:paraId="78CBE251">
            <w:pPr>
              <w:jc w:val="center"/>
              <w:rPr>
                <w:rFonts w:hint="default" w:ascii="Arial" w:hAnsi="Arial" w:eastAsia="宋体" w:cs="Arial"/>
                <w:szCs w:val="21"/>
              </w:rPr>
            </w:pPr>
            <w:r>
              <w:rPr>
                <w:rFonts w:hint="default" w:ascii="Arial" w:hAnsi="Arial" w:eastAsia="宋体" w:cs="Arial"/>
                <w:szCs w:val="21"/>
              </w:rPr>
              <w:t>符合</w:t>
            </w:r>
          </w:p>
        </w:tc>
      </w:tr>
      <w:tr w14:paraId="29417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continue"/>
            <w:vAlign w:val="center"/>
          </w:tcPr>
          <w:p w14:paraId="0D008690">
            <w:pPr>
              <w:rPr>
                <w:rFonts w:hint="default" w:ascii="Arial" w:hAnsi="Arial" w:eastAsia="宋体" w:cs="Arial"/>
              </w:rPr>
            </w:pPr>
          </w:p>
        </w:tc>
        <w:tc>
          <w:tcPr>
            <w:tcW w:w="3907" w:type="dxa"/>
            <w:vAlign w:val="center"/>
          </w:tcPr>
          <w:p w14:paraId="00EC58D4">
            <w:pPr>
              <w:jc w:val="center"/>
              <w:rPr>
                <w:rFonts w:hint="default" w:ascii="Arial" w:hAnsi="Arial" w:eastAsia="宋体" w:cs="Arial"/>
                <w:szCs w:val="21"/>
              </w:rPr>
            </w:pPr>
            <w:r>
              <w:rPr>
                <w:rFonts w:hint="default" w:ascii="Arial" w:hAnsi="Arial" w:eastAsia="宋体" w:cs="Arial"/>
                <w:szCs w:val="21"/>
              </w:rPr>
              <w:t>2、新建二类、三类工业项目污染物排放水平要达到同行业国内先进水平。</w:t>
            </w:r>
          </w:p>
        </w:tc>
        <w:tc>
          <w:tcPr>
            <w:tcW w:w="2613" w:type="dxa"/>
            <w:vAlign w:val="center"/>
          </w:tcPr>
          <w:p w14:paraId="2715C592">
            <w:pPr>
              <w:adjustRightInd w:val="0"/>
              <w:snapToGrid w:val="0"/>
              <w:ind w:right="-108"/>
              <w:jc w:val="center"/>
              <w:rPr>
                <w:rFonts w:hint="default" w:ascii="Arial" w:hAnsi="Arial" w:eastAsia="宋体" w:cs="Arial"/>
                <w:szCs w:val="21"/>
              </w:rPr>
            </w:pPr>
            <w:r>
              <w:rPr>
                <w:rFonts w:hint="default" w:ascii="Arial" w:hAnsi="Arial" w:eastAsia="宋体" w:cs="Arial"/>
                <w:szCs w:val="21"/>
              </w:rPr>
              <w:t>本项目</w:t>
            </w:r>
            <w:r>
              <w:rPr>
                <w:rFonts w:hint="default" w:ascii="Arial" w:hAnsi="Arial" w:eastAsia="宋体" w:cs="Arial"/>
                <w:szCs w:val="21"/>
                <w:lang w:val="en-US" w:eastAsia="zh-CN"/>
              </w:rPr>
              <w:t>清洗</w:t>
            </w:r>
            <w:r>
              <w:rPr>
                <w:rFonts w:hint="default" w:ascii="Arial" w:hAnsi="Arial" w:eastAsia="宋体" w:cs="Arial"/>
                <w:szCs w:val="21"/>
              </w:rPr>
              <w:t>废水</w:t>
            </w:r>
            <w:r>
              <w:rPr>
                <w:rFonts w:hint="default" w:ascii="Arial" w:hAnsi="Arial" w:eastAsia="宋体" w:cs="Arial"/>
                <w:szCs w:val="21"/>
                <w:lang w:val="en-US" w:eastAsia="zh-CN"/>
              </w:rPr>
              <w:t>经低温浓缩+膜过滤设备处理后达标纳管排放</w:t>
            </w:r>
            <w:r>
              <w:rPr>
                <w:rFonts w:hint="default" w:ascii="Arial" w:hAnsi="Arial" w:eastAsia="宋体" w:cs="Arial"/>
                <w:szCs w:val="21"/>
              </w:rPr>
              <w:t>，生活污水经化粪池处理达标后纳管排放。污染物排放水平可达到同行业国内先进水平。</w:t>
            </w:r>
          </w:p>
        </w:tc>
        <w:tc>
          <w:tcPr>
            <w:tcW w:w="859" w:type="dxa"/>
            <w:vAlign w:val="center"/>
          </w:tcPr>
          <w:p w14:paraId="726FB28A">
            <w:pPr>
              <w:jc w:val="center"/>
              <w:rPr>
                <w:rFonts w:hint="default" w:ascii="Arial" w:hAnsi="Arial" w:eastAsia="宋体" w:cs="Arial"/>
                <w:szCs w:val="21"/>
              </w:rPr>
            </w:pPr>
            <w:r>
              <w:rPr>
                <w:rFonts w:hint="default" w:ascii="Arial" w:hAnsi="Arial" w:eastAsia="宋体" w:cs="Arial"/>
                <w:szCs w:val="21"/>
              </w:rPr>
              <w:t>符合</w:t>
            </w:r>
          </w:p>
        </w:tc>
      </w:tr>
      <w:tr w14:paraId="780B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continue"/>
            <w:vAlign w:val="center"/>
          </w:tcPr>
          <w:p w14:paraId="7EF73236">
            <w:pPr>
              <w:rPr>
                <w:rFonts w:hint="default" w:ascii="Arial" w:hAnsi="Arial" w:eastAsia="宋体" w:cs="Arial"/>
              </w:rPr>
            </w:pPr>
          </w:p>
        </w:tc>
        <w:tc>
          <w:tcPr>
            <w:tcW w:w="3907" w:type="dxa"/>
            <w:vAlign w:val="center"/>
          </w:tcPr>
          <w:p w14:paraId="009063D4">
            <w:pPr>
              <w:jc w:val="center"/>
              <w:rPr>
                <w:rFonts w:hint="default" w:ascii="Arial" w:hAnsi="Arial" w:eastAsia="宋体" w:cs="Arial"/>
                <w:szCs w:val="21"/>
              </w:rPr>
            </w:pPr>
            <w:r>
              <w:rPr>
                <w:rFonts w:hint="default" w:ascii="Arial" w:hAnsi="Arial" w:eastAsia="宋体" w:cs="Arial"/>
                <w:szCs w:val="21"/>
              </w:rPr>
              <w:t>3、推进工业园区（工业企业）“污水零直排区”建设，所有企业实现雨污分流。</w:t>
            </w:r>
          </w:p>
        </w:tc>
        <w:tc>
          <w:tcPr>
            <w:tcW w:w="2613" w:type="dxa"/>
            <w:vAlign w:val="center"/>
          </w:tcPr>
          <w:p w14:paraId="22D33EBD">
            <w:pPr>
              <w:adjustRightInd w:val="0"/>
              <w:snapToGrid w:val="0"/>
              <w:ind w:right="-108"/>
              <w:jc w:val="center"/>
              <w:rPr>
                <w:rFonts w:hint="default" w:ascii="Arial" w:hAnsi="Arial" w:eastAsia="宋体" w:cs="Arial"/>
                <w:kern w:val="0"/>
                <w:szCs w:val="21"/>
              </w:rPr>
            </w:pPr>
            <w:r>
              <w:rPr>
                <w:rFonts w:hint="default" w:ascii="Arial" w:hAnsi="Arial" w:eastAsia="宋体" w:cs="Arial"/>
                <w:kern w:val="0"/>
                <w:szCs w:val="21"/>
              </w:rPr>
              <w:t>企业应按要求建设雨污管线，</w:t>
            </w:r>
            <w:r>
              <w:rPr>
                <w:rFonts w:hint="default" w:ascii="Arial" w:hAnsi="Arial" w:eastAsia="宋体" w:cs="Arial"/>
                <w:szCs w:val="21"/>
              </w:rPr>
              <w:t>实现雨污分流符合“污水零直排”建设要求</w:t>
            </w:r>
          </w:p>
        </w:tc>
        <w:tc>
          <w:tcPr>
            <w:tcW w:w="859" w:type="dxa"/>
            <w:vAlign w:val="center"/>
          </w:tcPr>
          <w:p w14:paraId="0C79F16E">
            <w:pPr>
              <w:jc w:val="center"/>
              <w:rPr>
                <w:rFonts w:hint="default" w:ascii="Arial" w:hAnsi="Arial" w:eastAsia="宋体" w:cs="Arial"/>
                <w:szCs w:val="21"/>
              </w:rPr>
            </w:pPr>
            <w:r>
              <w:rPr>
                <w:rFonts w:hint="default" w:ascii="Arial" w:hAnsi="Arial" w:eastAsia="宋体" w:cs="Arial"/>
                <w:szCs w:val="21"/>
              </w:rPr>
              <w:t>符合</w:t>
            </w:r>
          </w:p>
        </w:tc>
      </w:tr>
      <w:tr w14:paraId="583D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continue"/>
            <w:vAlign w:val="center"/>
          </w:tcPr>
          <w:p w14:paraId="3BB9437E">
            <w:pPr>
              <w:rPr>
                <w:rFonts w:hint="default" w:ascii="Arial" w:hAnsi="Arial" w:eastAsia="宋体" w:cs="Arial"/>
              </w:rPr>
            </w:pPr>
          </w:p>
        </w:tc>
        <w:tc>
          <w:tcPr>
            <w:tcW w:w="3907" w:type="dxa"/>
            <w:vAlign w:val="center"/>
          </w:tcPr>
          <w:p w14:paraId="1B6C6987">
            <w:pPr>
              <w:jc w:val="center"/>
              <w:rPr>
                <w:rFonts w:hint="default" w:ascii="Arial" w:hAnsi="Arial" w:eastAsia="宋体" w:cs="Arial"/>
                <w:szCs w:val="21"/>
              </w:rPr>
            </w:pPr>
            <w:r>
              <w:rPr>
                <w:rFonts w:hint="default" w:ascii="Arial" w:hAnsi="Arial" w:eastAsia="宋体" w:cs="Arial"/>
                <w:szCs w:val="21"/>
              </w:rPr>
              <w:t>4、加强土壤和地下水污染防治与修复。</w:t>
            </w:r>
          </w:p>
        </w:tc>
        <w:tc>
          <w:tcPr>
            <w:tcW w:w="2613" w:type="dxa"/>
            <w:vAlign w:val="center"/>
          </w:tcPr>
          <w:p w14:paraId="2A561FAC">
            <w:pPr>
              <w:adjustRightInd w:val="0"/>
              <w:snapToGrid w:val="0"/>
              <w:ind w:right="-108"/>
              <w:jc w:val="center"/>
              <w:rPr>
                <w:rFonts w:hint="default" w:ascii="Arial" w:hAnsi="Arial" w:eastAsia="宋体" w:cs="Arial"/>
                <w:kern w:val="0"/>
                <w:szCs w:val="21"/>
              </w:rPr>
            </w:pPr>
            <w:r>
              <w:rPr>
                <w:rFonts w:hint="default" w:ascii="Arial" w:hAnsi="Arial" w:eastAsia="宋体" w:cs="Arial"/>
                <w:kern w:val="0"/>
                <w:szCs w:val="21"/>
              </w:rPr>
              <w:t>本项目应按环评及环保部门相关要求进行防腐、防渗工作，并定期进行检查和修复，减少对周边土壤和地下水造成影响的可能性</w:t>
            </w:r>
          </w:p>
        </w:tc>
        <w:tc>
          <w:tcPr>
            <w:tcW w:w="859" w:type="dxa"/>
            <w:vAlign w:val="center"/>
          </w:tcPr>
          <w:p w14:paraId="0CF768DD">
            <w:pPr>
              <w:jc w:val="center"/>
              <w:rPr>
                <w:rFonts w:hint="default" w:ascii="Arial" w:hAnsi="Arial" w:eastAsia="宋体" w:cs="Arial"/>
                <w:szCs w:val="21"/>
              </w:rPr>
            </w:pPr>
            <w:r>
              <w:rPr>
                <w:rFonts w:hint="default" w:ascii="Arial" w:hAnsi="Arial" w:eastAsia="宋体" w:cs="Arial"/>
                <w:szCs w:val="21"/>
              </w:rPr>
              <w:t>符合</w:t>
            </w:r>
          </w:p>
        </w:tc>
      </w:tr>
      <w:tr w14:paraId="6420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restart"/>
            <w:vAlign w:val="center"/>
          </w:tcPr>
          <w:p w14:paraId="08B72EB4">
            <w:pPr>
              <w:rPr>
                <w:rFonts w:hint="default" w:ascii="Arial" w:hAnsi="Arial" w:eastAsia="宋体" w:cs="Arial"/>
              </w:rPr>
            </w:pPr>
            <w:r>
              <w:rPr>
                <w:rFonts w:hint="default" w:ascii="Arial" w:hAnsi="Arial" w:eastAsia="宋体" w:cs="Arial"/>
              </w:rPr>
              <w:t>环境风险防控</w:t>
            </w:r>
          </w:p>
        </w:tc>
        <w:tc>
          <w:tcPr>
            <w:tcW w:w="3907" w:type="dxa"/>
            <w:vAlign w:val="center"/>
          </w:tcPr>
          <w:p w14:paraId="64DE4A91">
            <w:pPr>
              <w:jc w:val="center"/>
              <w:rPr>
                <w:rFonts w:hint="default" w:ascii="Arial" w:hAnsi="Arial" w:eastAsia="宋体" w:cs="Arial"/>
                <w:szCs w:val="21"/>
              </w:rPr>
            </w:pPr>
            <w:r>
              <w:rPr>
                <w:rFonts w:hint="default" w:ascii="Arial" w:hAnsi="Arial" w:eastAsia="宋体" w:cs="Arial"/>
                <w:szCs w:val="21"/>
              </w:rPr>
              <w:t>1、定期评估沿江河湖库工业企业、工业集聚区环境和健康风险。</w:t>
            </w:r>
          </w:p>
        </w:tc>
        <w:tc>
          <w:tcPr>
            <w:tcW w:w="2613" w:type="dxa"/>
            <w:vMerge w:val="restart"/>
            <w:vAlign w:val="center"/>
          </w:tcPr>
          <w:p w14:paraId="029B0F12">
            <w:pPr>
              <w:adjustRightInd w:val="0"/>
              <w:snapToGrid w:val="0"/>
              <w:ind w:right="-108"/>
              <w:jc w:val="center"/>
              <w:rPr>
                <w:rFonts w:hint="default" w:ascii="Arial" w:hAnsi="Arial" w:eastAsia="宋体" w:cs="Arial"/>
                <w:kern w:val="0"/>
                <w:szCs w:val="21"/>
              </w:rPr>
            </w:pPr>
            <w:r>
              <w:rPr>
                <w:rFonts w:hint="default" w:ascii="Arial" w:hAnsi="Arial" w:eastAsia="宋体" w:cs="Arial"/>
                <w:kern w:val="0"/>
                <w:szCs w:val="21"/>
              </w:rPr>
              <w:t>企业应做好日常管理，建立完善的职业卫生体系、风险管控体系和自查监管机制，按职能部门要求编制应急预案并上报备案，定期进行隐患排查和应急演练。</w:t>
            </w:r>
          </w:p>
        </w:tc>
        <w:tc>
          <w:tcPr>
            <w:tcW w:w="859" w:type="dxa"/>
            <w:vMerge w:val="restart"/>
            <w:vAlign w:val="center"/>
          </w:tcPr>
          <w:p w14:paraId="6BCCE822">
            <w:pPr>
              <w:jc w:val="center"/>
              <w:rPr>
                <w:rFonts w:hint="default" w:ascii="Arial" w:hAnsi="Arial" w:eastAsia="宋体" w:cs="Arial"/>
                <w:szCs w:val="21"/>
              </w:rPr>
            </w:pPr>
            <w:r>
              <w:rPr>
                <w:rFonts w:hint="default" w:ascii="Arial" w:hAnsi="Arial" w:eastAsia="宋体" w:cs="Arial"/>
                <w:szCs w:val="21"/>
              </w:rPr>
              <w:t>符合</w:t>
            </w:r>
          </w:p>
        </w:tc>
      </w:tr>
      <w:tr w14:paraId="3E2A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Merge w:val="continue"/>
            <w:vAlign w:val="center"/>
          </w:tcPr>
          <w:p w14:paraId="653C8B75">
            <w:pPr>
              <w:rPr>
                <w:rFonts w:hint="default" w:ascii="Arial" w:hAnsi="Arial" w:eastAsia="宋体" w:cs="Arial"/>
              </w:rPr>
            </w:pPr>
          </w:p>
        </w:tc>
        <w:tc>
          <w:tcPr>
            <w:tcW w:w="3907" w:type="dxa"/>
            <w:vAlign w:val="center"/>
          </w:tcPr>
          <w:p w14:paraId="33CF43B8">
            <w:pPr>
              <w:jc w:val="center"/>
              <w:rPr>
                <w:rFonts w:hint="default" w:ascii="Arial" w:hAnsi="Arial" w:eastAsia="宋体" w:cs="Arial"/>
                <w:szCs w:val="21"/>
              </w:rPr>
            </w:pPr>
            <w:r>
              <w:rPr>
                <w:rFonts w:hint="default" w:ascii="Arial" w:hAnsi="Arial" w:eastAsia="宋体" w:cs="Arial"/>
                <w:szCs w:val="21"/>
              </w:rPr>
              <w:t>2、强化工业集聚区企业环境风险防范设施设备建设和正常运行监管，加强重点环境风险管控企业应急预案制定，建立常态化的企业隐患排查整治监管机制，加强风险防控体系建设。</w:t>
            </w:r>
          </w:p>
        </w:tc>
        <w:tc>
          <w:tcPr>
            <w:tcW w:w="2613" w:type="dxa"/>
            <w:vMerge w:val="continue"/>
            <w:vAlign w:val="center"/>
          </w:tcPr>
          <w:p w14:paraId="03B2A477">
            <w:pPr>
              <w:adjustRightInd w:val="0"/>
              <w:snapToGrid w:val="0"/>
              <w:ind w:right="-108"/>
              <w:jc w:val="center"/>
              <w:rPr>
                <w:rFonts w:hint="default" w:ascii="Arial" w:hAnsi="Arial" w:eastAsia="宋体" w:cs="Arial"/>
                <w:kern w:val="0"/>
                <w:szCs w:val="21"/>
              </w:rPr>
            </w:pPr>
          </w:p>
        </w:tc>
        <w:tc>
          <w:tcPr>
            <w:tcW w:w="859" w:type="dxa"/>
            <w:vMerge w:val="continue"/>
            <w:vAlign w:val="center"/>
          </w:tcPr>
          <w:p w14:paraId="69130C52">
            <w:pPr>
              <w:jc w:val="center"/>
              <w:rPr>
                <w:rFonts w:hint="default" w:ascii="Arial" w:hAnsi="Arial" w:eastAsia="宋体" w:cs="Arial"/>
                <w:szCs w:val="21"/>
              </w:rPr>
            </w:pPr>
          </w:p>
        </w:tc>
      </w:tr>
      <w:tr w14:paraId="7968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4" w:type="dxa"/>
            <w:vAlign w:val="center"/>
          </w:tcPr>
          <w:p w14:paraId="4452A572">
            <w:pPr>
              <w:rPr>
                <w:rFonts w:hint="default" w:ascii="Arial" w:hAnsi="Arial" w:eastAsia="宋体" w:cs="Arial"/>
              </w:rPr>
            </w:pPr>
            <w:r>
              <w:rPr>
                <w:rFonts w:hint="default" w:ascii="Arial" w:hAnsi="Arial" w:eastAsia="宋体" w:cs="Arial"/>
              </w:rPr>
              <w:t>资源开发效率要求</w:t>
            </w:r>
          </w:p>
        </w:tc>
        <w:tc>
          <w:tcPr>
            <w:tcW w:w="3907" w:type="dxa"/>
            <w:vAlign w:val="center"/>
          </w:tcPr>
          <w:p w14:paraId="01E0D8FD">
            <w:pPr>
              <w:jc w:val="center"/>
              <w:rPr>
                <w:rFonts w:hint="default" w:ascii="Arial" w:hAnsi="Arial" w:eastAsia="宋体" w:cs="Arial"/>
                <w:szCs w:val="21"/>
              </w:rPr>
            </w:pPr>
            <w:r>
              <w:rPr>
                <w:rFonts w:hint="default" w:ascii="Arial" w:hAnsi="Arial" w:eastAsia="宋体" w:cs="Arial"/>
                <w:szCs w:val="21"/>
              </w:rPr>
              <w:t>1、推进工业集聚区生态化改造，强化企业清洁生产改造，推进节水型企业、节水型工业园区建设，落实煤炭消费减量替代要求，提高资源能源利用效率</w:t>
            </w:r>
          </w:p>
        </w:tc>
        <w:tc>
          <w:tcPr>
            <w:tcW w:w="2613" w:type="dxa"/>
            <w:vAlign w:val="center"/>
          </w:tcPr>
          <w:p w14:paraId="001D8128">
            <w:pPr>
              <w:adjustRightInd w:val="0"/>
              <w:snapToGrid w:val="0"/>
              <w:ind w:right="-108"/>
              <w:jc w:val="center"/>
              <w:rPr>
                <w:rFonts w:hint="default" w:ascii="Arial" w:hAnsi="Arial" w:eastAsia="宋体" w:cs="Arial"/>
                <w:kern w:val="0"/>
                <w:szCs w:val="21"/>
              </w:rPr>
            </w:pPr>
            <w:r>
              <w:rPr>
                <w:rFonts w:hint="default" w:ascii="Arial" w:hAnsi="Arial" w:eastAsia="宋体" w:cs="Arial"/>
                <w:kern w:val="0"/>
                <w:szCs w:val="21"/>
              </w:rPr>
              <w:t>企业优先选择能效比高的生产设备。项目实施，企业将积极配合各项建设、改造，进一步提高水资源和能源利用率</w:t>
            </w:r>
          </w:p>
        </w:tc>
        <w:tc>
          <w:tcPr>
            <w:tcW w:w="859" w:type="dxa"/>
            <w:vAlign w:val="center"/>
          </w:tcPr>
          <w:p w14:paraId="6FCC1F5A">
            <w:pPr>
              <w:jc w:val="center"/>
              <w:rPr>
                <w:rFonts w:hint="default" w:ascii="Arial" w:hAnsi="Arial" w:eastAsia="宋体" w:cs="Arial"/>
                <w:szCs w:val="21"/>
              </w:rPr>
            </w:pPr>
            <w:r>
              <w:rPr>
                <w:rFonts w:hint="default" w:ascii="Arial" w:hAnsi="Arial" w:eastAsia="宋体" w:cs="Arial"/>
                <w:szCs w:val="21"/>
              </w:rPr>
              <w:t>符合</w:t>
            </w:r>
          </w:p>
        </w:tc>
      </w:tr>
    </w:tbl>
    <w:p w14:paraId="5F589F2B">
      <w:pPr>
        <w:pStyle w:val="83"/>
        <w:rPr>
          <w:rFonts w:hint="default" w:ascii="Arial" w:hAnsi="Arial" w:eastAsia="宋体" w:cs="Arial"/>
        </w:rPr>
      </w:pPr>
      <w:r>
        <w:rPr>
          <w:rFonts w:hint="default" w:ascii="Arial" w:hAnsi="Arial" w:eastAsia="宋体" w:cs="Arial"/>
        </w:rPr>
        <w:t>本项目</w:t>
      </w:r>
      <w:r>
        <w:rPr>
          <w:rFonts w:hint="default" w:ascii="Arial" w:hAnsi="Arial" w:eastAsia="宋体" w:cs="Arial"/>
          <w:lang w:val="en-US" w:eastAsia="zh-CN"/>
        </w:rPr>
        <w:t>为汽车零部件制造</w:t>
      </w:r>
      <w:r>
        <w:rPr>
          <w:rFonts w:hint="default" w:ascii="Arial" w:hAnsi="Arial" w:eastAsia="宋体" w:cs="Arial"/>
        </w:rPr>
        <w:t>，</w:t>
      </w:r>
      <w:r>
        <w:rPr>
          <w:rFonts w:hint="default" w:ascii="Arial" w:hAnsi="Arial" w:eastAsia="宋体" w:cs="Arial"/>
          <w:lang w:val="en-US" w:eastAsia="zh-CN"/>
        </w:rPr>
        <w:t>属于</w:t>
      </w:r>
      <w:r>
        <w:rPr>
          <w:rFonts w:hint="default" w:ascii="Arial" w:hAnsi="Arial" w:eastAsia="宋体" w:cs="Arial"/>
        </w:rPr>
        <w:t>二类工业项目；</w:t>
      </w:r>
      <w:r>
        <w:rPr>
          <w:rFonts w:hint="default" w:ascii="Arial" w:hAnsi="Arial" w:eastAsia="宋体" w:cs="Arial"/>
          <w:szCs w:val="21"/>
        </w:rPr>
        <w:t>根据项目所在地规划及我单位现场踏查，本项目周边均为农田和闲置土地，为平湖市经济技术开发区内，规划为工业用地，居住区与工业区规划较合理。经对照，</w:t>
      </w:r>
      <w:r>
        <w:rPr>
          <w:rFonts w:hint="default" w:ascii="Arial" w:hAnsi="Arial" w:eastAsia="宋体" w:cs="Arial"/>
        </w:rPr>
        <w:t>本项目符合空间布局约束、污染物排放管控、环境风险管控、资源开发效率要求。因此，项目建设符合平湖市钟埭街道产业集聚重点管控单元（ZH33048220006）相关要求。</w:t>
      </w:r>
    </w:p>
    <w:p w14:paraId="49880101">
      <w:pPr>
        <w:spacing w:line="360" w:lineRule="auto"/>
        <w:rPr>
          <w:rFonts w:hint="default" w:ascii="Arial" w:hAnsi="Arial" w:eastAsia="宋体" w:cs="Arial"/>
          <w:b/>
          <w:bCs/>
          <w:sz w:val="24"/>
          <w:szCs w:val="24"/>
        </w:rPr>
      </w:pPr>
      <w:r>
        <w:rPr>
          <w:rFonts w:hint="default" w:ascii="Arial" w:hAnsi="Arial" w:eastAsia="宋体" w:cs="Arial"/>
          <w:b/>
          <w:bCs/>
          <w:sz w:val="24"/>
          <w:szCs w:val="24"/>
        </w:rPr>
        <w:t>（2）污染物达标性分析</w:t>
      </w:r>
    </w:p>
    <w:p w14:paraId="683AC1D1">
      <w:pPr>
        <w:spacing w:line="360" w:lineRule="auto"/>
        <w:ind w:firstLine="480" w:firstLineChars="200"/>
        <w:rPr>
          <w:rFonts w:hint="default" w:ascii="Arial" w:hAnsi="Arial" w:eastAsia="宋体" w:cs="Arial"/>
          <w:snapToGrid w:val="0"/>
          <w:kern w:val="0"/>
          <w:sz w:val="24"/>
          <w:szCs w:val="24"/>
        </w:rPr>
      </w:pPr>
      <w:r>
        <w:rPr>
          <w:rFonts w:hint="default" w:ascii="Arial" w:hAnsi="Arial" w:eastAsia="宋体" w:cs="Arial"/>
          <w:sz w:val="24"/>
          <w:szCs w:val="24"/>
        </w:rPr>
        <w:t>根据工程分析和影响预测分析，在落实本报告提出的各项污染防治措施的基础上，在正常生产状态下，项目污染物能做到达标排放，因此，只要建设单位加强管理，确实落实污染防治措施，可确保企业废气、废水的达标排放，噪声不会对环境造成不良影响，固体废物得到合理安全处置</w:t>
      </w:r>
      <w:r>
        <w:rPr>
          <w:rFonts w:hint="default" w:ascii="Arial" w:hAnsi="Arial" w:eastAsia="宋体" w:cs="Arial"/>
          <w:snapToGrid w:val="0"/>
          <w:kern w:val="0"/>
          <w:sz w:val="24"/>
        </w:rPr>
        <w:t>。</w:t>
      </w:r>
    </w:p>
    <w:p w14:paraId="6CBFA236">
      <w:pPr>
        <w:spacing w:line="360" w:lineRule="auto"/>
        <w:rPr>
          <w:rFonts w:hint="default" w:ascii="Arial" w:hAnsi="Arial" w:eastAsia="宋体" w:cs="Arial"/>
          <w:b/>
          <w:bCs/>
          <w:sz w:val="24"/>
          <w:szCs w:val="24"/>
        </w:rPr>
      </w:pPr>
      <w:r>
        <w:rPr>
          <w:rFonts w:hint="default" w:ascii="Arial" w:hAnsi="Arial" w:eastAsia="宋体" w:cs="Arial"/>
          <w:b/>
          <w:bCs/>
          <w:sz w:val="24"/>
          <w:szCs w:val="24"/>
        </w:rPr>
        <w:t>（3）总量控制符合性分析</w:t>
      </w:r>
    </w:p>
    <w:p w14:paraId="7FE3781D">
      <w:pPr>
        <w:keepNext w:val="0"/>
        <w:keepLines w:val="0"/>
        <w:pageBreakBefore w:val="0"/>
        <w:widowControl w:val="0"/>
        <w:kinsoku/>
        <w:wordWrap/>
        <w:overflowPunct/>
        <w:topLinePunct w:val="0"/>
        <w:autoSpaceDE/>
        <w:autoSpaceDN/>
        <w:bidi w:val="0"/>
        <w:adjustRightInd/>
        <w:snapToGrid/>
        <w:spacing w:before="171" w:beforeLines="50" w:line="360" w:lineRule="auto"/>
        <w:ind w:firstLine="480" w:firstLineChars="200"/>
        <w:textAlignment w:val="auto"/>
        <w:rPr>
          <w:rFonts w:hint="default" w:ascii="Arial" w:hAnsi="Arial" w:eastAsia="宋体" w:cs="Arial"/>
          <w:b w:val="0"/>
          <w:bCs w:val="0"/>
          <w:sz w:val="24"/>
          <w:szCs w:val="24"/>
          <w:lang w:val="en-US" w:eastAsia="zh-CN"/>
        </w:rPr>
      </w:pPr>
      <w:r>
        <w:rPr>
          <w:rFonts w:hint="default" w:ascii="Arial" w:hAnsi="Arial" w:eastAsia="宋体" w:cs="Arial"/>
          <w:sz w:val="24"/>
          <w:lang w:val="en-US" w:eastAsia="zh-CN"/>
        </w:rPr>
        <w:t>本项目新增总量通平衡后符合总量控制要求</w:t>
      </w:r>
      <w:r>
        <w:rPr>
          <w:rFonts w:hint="default" w:ascii="Arial" w:hAnsi="Arial" w:eastAsia="宋体" w:cs="Arial"/>
          <w:b w:val="0"/>
          <w:bCs w:val="0"/>
          <w:sz w:val="24"/>
          <w:szCs w:val="24"/>
          <w:lang w:val="en-US" w:eastAsia="zh-CN"/>
        </w:rPr>
        <w:t>。</w:t>
      </w:r>
    </w:p>
    <w:p w14:paraId="00F4171C">
      <w:pPr>
        <w:spacing w:line="360" w:lineRule="auto"/>
        <w:rPr>
          <w:rFonts w:hint="default" w:ascii="Arial" w:hAnsi="Arial" w:eastAsia="宋体" w:cs="Arial"/>
          <w:b/>
          <w:bCs/>
          <w:sz w:val="24"/>
          <w:szCs w:val="24"/>
        </w:rPr>
      </w:pPr>
      <w:r>
        <w:rPr>
          <w:rFonts w:hint="default" w:ascii="Arial" w:hAnsi="Arial" w:eastAsia="宋体" w:cs="Arial"/>
          <w:b/>
          <w:bCs/>
          <w:sz w:val="24"/>
          <w:szCs w:val="24"/>
        </w:rPr>
        <w:t>（4）环境功能符合性分析</w:t>
      </w:r>
    </w:p>
    <w:p w14:paraId="1775D0DC">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根据空气、水和声环境质量影响分析，本项目建成后，项目周边空气环境质量、水环境和声环境质量基本可维持环境质量等级现状。</w:t>
      </w:r>
    </w:p>
    <w:p w14:paraId="55490CE2">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根据以上分析，本项目的建设从环保角度而言是可行的。</w:t>
      </w:r>
    </w:p>
    <w:p w14:paraId="49F0B02E">
      <w:pPr>
        <w:keepNext/>
        <w:keepLines w:val="0"/>
        <w:pageBreakBefore w:val="0"/>
        <w:widowControl w:val="0"/>
        <w:kinsoku/>
        <w:wordWrap/>
        <w:overflowPunct/>
        <w:topLinePunct w:val="0"/>
        <w:autoSpaceDE/>
        <w:autoSpaceDN/>
        <w:bidi w:val="0"/>
        <w:spacing w:line="360" w:lineRule="auto"/>
        <w:textAlignment w:val="auto"/>
        <w:rPr>
          <w:rFonts w:hint="default" w:ascii="Arial" w:hAnsi="Arial" w:eastAsia="宋体" w:cs="Arial"/>
          <w:b/>
          <w:bCs/>
          <w:sz w:val="24"/>
          <w:szCs w:val="24"/>
        </w:rPr>
      </w:pPr>
      <w:r>
        <w:rPr>
          <w:rFonts w:hint="default" w:ascii="Arial" w:hAnsi="Arial" w:eastAsia="宋体" w:cs="Arial"/>
          <w:b/>
          <w:bCs/>
          <w:sz w:val="24"/>
          <w:szCs w:val="24"/>
        </w:rPr>
        <w:t>2、其他符合性分析</w:t>
      </w:r>
    </w:p>
    <w:p w14:paraId="7EC9FDEA">
      <w:pPr>
        <w:keepNext/>
        <w:keepLines w:val="0"/>
        <w:pageBreakBefore w:val="0"/>
        <w:widowControl w:val="0"/>
        <w:kinsoku/>
        <w:wordWrap/>
        <w:overflowPunct/>
        <w:topLinePunct w:val="0"/>
        <w:autoSpaceDE/>
        <w:autoSpaceDN/>
        <w:bidi w:val="0"/>
        <w:spacing w:line="360" w:lineRule="auto"/>
        <w:textAlignment w:val="auto"/>
        <w:rPr>
          <w:rFonts w:hint="default" w:ascii="Arial" w:hAnsi="Arial" w:eastAsia="宋体" w:cs="Arial"/>
          <w:b/>
          <w:bCs/>
          <w:sz w:val="24"/>
          <w:szCs w:val="24"/>
        </w:rPr>
      </w:pPr>
      <w:r>
        <w:rPr>
          <w:rFonts w:hint="default" w:ascii="Arial" w:hAnsi="Arial" w:eastAsia="宋体" w:cs="Arial"/>
          <w:b/>
          <w:bCs/>
          <w:sz w:val="24"/>
          <w:szCs w:val="24"/>
        </w:rPr>
        <w:t>（1）“三线一单”符合性分析</w:t>
      </w:r>
    </w:p>
    <w:p w14:paraId="088C3BC1">
      <w:pPr>
        <w:pStyle w:val="93"/>
        <w:keepNext/>
        <w:keepLines w:val="0"/>
        <w:pageBreakBefore w:val="0"/>
        <w:widowControl w:val="0"/>
        <w:kinsoku/>
        <w:wordWrap/>
        <w:overflowPunct/>
        <w:topLinePunct w:val="0"/>
        <w:autoSpaceDE/>
        <w:autoSpaceDN/>
        <w:bidi w:val="0"/>
        <w:adjustRightInd w:val="0"/>
        <w:snapToGrid w:val="0"/>
        <w:spacing w:before="60" w:beforeLines="0" w:line="360" w:lineRule="auto"/>
        <w:ind w:firstLine="480"/>
        <w:jc w:val="left"/>
        <w:textAlignment w:val="auto"/>
        <w:rPr>
          <w:rFonts w:hint="default" w:ascii="Arial" w:hAnsi="Arial" w:eastAsia="宋体" w:cs="Arial"/>
        </w:rPr>
      </w:pPr>
      <w:r>
        <w:rPr>
          <w:rFonts w:hint="default" w:ascii="Arial" w:hAnsi="Arial" w:eastAsia="宋体" w:cs="Arial"/>
        </w:rPr>
        <w:t>①生态保护红线：</w:t>
      </w:r>
    </w:p>
    <w:p w14:paraId="59B6D011">
      <w:pPr>
        <w:wordWrap w:val="0"/>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根据《浙江省生态保护红线分布图》划定，平湖区域内共划定2个自然生态红线区，分别为广陈塘饮用水水源保护区和九龙山国家森林公园。该类功能区主要分布于广陈镇和乍浦镇。本项目位于浙江省嘉兴市平湖市五洲路</w:t>
      </w:r>
      <w:r>
        <w:rPr>
          <w:rFonts w:hint="default" w:ascii="Arial" w:hAnsi="Arial" w:eastAsia="宋体" w:cs="Arial"/>
          <w:sz w:val="24"/>
          <w:szCs w:val="24"/>
          <w:lang w:val="en-US" w:eastAsia="zh-CN"/>
        </w:rPr>
        <w:t>1268</w:t>
      </w:r>
      <w:r>
        <w:rPr>
          <w:rFonts w:hint="default" w:ascii="Arial" w:hAnsi="Arial" w:eastAsia="宋体" w:cs="Arial"/>
          <w:sz w:val="24"/>
          <w:szCs w:val="24"/>
        </w:rPr>
        <w:t>号，处于平湖市钟埭街道产业集聚重点管控单元（ZH33048220006），不在生态保护红线范围内。</w:t>
      </w:r>
    </w:p>
    <w:p w14:paraId="35DD3E12">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②环境质量底线：</w:t>
      </w:r>
    </w:p>
    <w:p w14:paraId="232051D1">
      <w:pPr>
        <w:pStyle w:val="93"/>
        <w:adjustRightInd w:val="0"/>
        <w:snapToGrid w:val="0"/>
        <w:spacing w:before="60" w:beforeLines="0" w:line="360" w:lineRule="auto"/>
        <w:ind w:firstLine="480"/>
        <w:jc w:val="left"/>
        <w:rPr>
          <w:rFonts w:hint="default" w:ascii="Arial" w:hAnsi="Arial" w:eastAsia="宋体" w:cs="Arial"/>
          <w:bCs/>
          <w:color w:val="FF0000"/>
          <w:sz w:val="24"/>
          <w:szCs w:val="24"/>
        </w:rPr>
      </w:pPr>
      <w:r>
        <w:rPr>
          <w:rFonts w:hint="default" w:ascii="Arial" w:hAnsi="Arial" w:eastAsia="宋体" w:cs="Arial"/>
          <w:color w:val="000000"/>
          <w:kern w:val="0"/>
          <w:sz w:val="24"/>
          <w:szCs w:val="24"/>
          <w:lang w:val="en-US" w:eastAsia="zh-CN" w:bidi="ar"/>
        </w:rPr>
        <w:t>项目所在区域的环境质量底线为：环境空气质量目标为《环境空气质量标准》（GB3095-2012）二级标准，水环境质量目标为《地表水环境质量标准》（GB3838-2002）Ⅲ类标准，声环境质量目标为《声环境质量标准》（GB3096-2008）3类标准。项目对产生的废水、废气、噪声经治理之后能做到达标排放，固废可做到无害化处置。采取本环评提出的相关防治措施后，本项目排放的污染物不会对区域环境质量底线造成冲击。</w:t>
      </w:r>
    </w:p>
    <w:p w14:paraId="55CF9DC0">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综上，根据环境影响分析，采取相应的措施后，建设项目污染物排放对周围环境影响不大，基本不改变环境功能区要求，能维持环境功能区现状，不会明显改变区域环境质量现状。因此，项目建设不会突破环境质量底线。</w:t>
      </w:r>
    </w:p>
    <w:p w14:paraId="22BC310A">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③资源利用上线：</w:t>
      </w:r>
    </w:p>
    <w:p w14:paraId="25288D4A">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建设项目用水、用电量均在区域水、电资源量范围内，不会超出资源利用上线。</w:t>
      </w:r>
    </w:p>
    <w:p w14:paraId="37E2E6C4">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④环境准入负面清单：</w:t>
      </w:r>
    </w:p>
    <w:p w14:paraId="187A6709">
      <w:pPr>
        <w:wordWrap w:val="0"/>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经对照，本项目建设符合平湖市钟埭街道产业集聚重点管控单元（ZH33048220006）中空间布局约束、污染物排放管控、环境风险管控、资源开发效率四项要求。同时根据《平湖经济开发区（钟埭街道）总体规划环境影响跟踪评价报告书》，项目能符合规划环评中的环境准入及各项环保治理要求，符合规划环评要求。</w:t>
      </w:r>
    </w:p>
    <w:p w14:paraId="74CA5114">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综上，项目符合“三线一单”相关要求。</w:t>
      </w:r>
    </w:p>
    <w:p w14:paraId="11E21DAC">
      <w:pPr>
        <w:spacing w:line="360" w:lineRule="auto"/>
        <w:rPr>
          <w:rFonts w:hint="default" w:ascii="Arial" w:hAnsi="Arial" w:eastAsia="宋体" w:cs="Arial"/>
          <w:b/>
          <w:bCs/>
          <w:sz w:val="24"/>
          <w:szCs w:val="24"/>
        </w:rPr>
      </w:pPr>
      <w:r>
        <w:rPr>
          <w:rFonts w:hint="default" w:ascii="Arial" w:hAnsi="Arial" w:eastAsia="宋体" w:cs="Arial"/>
          <w:b/>
          <w:bCs/>
          <w:sz w:val="24"/>
          <w:szCs w:val="24"/>
        </w:rPr>
        <w:t>（2）产业政策符合性分析</w:t>
      </w:r>
    </w:p>
    <w:p w14:paraId="643DCF53">
      <w:pPr>
        <w:pStyle w:val="93"/>
        <w:adjustRightInd w:val="0"/>
        <w:snapToGrid w:val="0"/>
        <w:spacing w:before="60" w:beforeLines="0" w:line="360" w:lineRule="auto"/>
        <w:ind w:firstLine="480"/>
        <w:jc w:val="left"/>
        <w:rPr>
          <w:rFonts w:hint="default" w:ascii="Arial" w:hAnsi="Arial" w:eastAsia="宋体" w:cs="Arial"/>
        </w:rPr>
      </w:pPr>
      <w:r>
        <w:rPr>
          <w:rFonts w:hint="default" w:ascii="Arial" w:hAnsi="Arial" w:eastAsia="宋体" w:cs="Arial"/>
        </w:rPr>
        <w:t>本项目主要</w:t>
      </w:r>
      <w:r>
        <w:rPr>
          <w:rFonts w:hint="default" w:ascii="Arial" w:hAnsi="Arial" w:eastAsia="宋体" w:cs="Arial"/>
          <w:lang w:val="en-US" w:eastAsia="zh-CN"/>
        </w:rPr>
        <w:t>进行汽车零部件制造</w:t>
      </w:r>
      <w:r>
        <w:rPr>
          <w:rFonts w:hint="default" w:ascii="Arial" w:hAnsi="Arial" w:eastAsia="宋体" w:cs="Arial"/>
        </w:rPr>
        <w:t>，根据《产业结构调整指导目录（2024年本）》的相关规定，本项目属于《产业结构调整指导目录》（2024年本）中</w:t>
      </w:r>
      <w:r>
        <w:rPr>
          <w:rFonts w:hint="default" w:ascii="Arial" w:hAnsi="Arial" w:eastAsia="宋体" w:cs="Arial"/>
          <w:lang w:val="en-US" w:eastAsia="zh-CN"/>
        </w:rPr>
        <w:t>鼓励</w:t>
      </w:r>
      <w:r>
        <w:rPr>
          <w:rFonts w:hint="default" w:ascii="Arial" w:hAnsi="Arial" w:eastAsia="宋体" w:cs="Arial"/>
        </w:rPr>
        <w:t>类产业。</w:t>
      </w:r>
    </w:p>
    <w:p w14:paraId="757ECD71">
      <w:pPr>
        <w:spacing w:line="360" w:lineRule="auto"/>
        <w:rPr>
          <w:rFonts w:hint="default" w:ascii="Arial" w:hAnsi="Arial" w:eastAsia="宋体" w:cs="Arial"/>
          <w:b/>
          <w:sz w:val="24"/>
          <w:szCs w:val="24"/>
        </w:rPr>
      </w:pPr>
      <w:r>
        <w:rPr>
          <w:rFonts w:hint="default" w:ascii="Arial" w:hAnsi="Arial" w:eastAsia="宋体" w:cs="Arial"/>
          <w:b/>
          <w:sz w:val="24"/>
          <w:szCs w:val="24"/>
        </w:rPr>
        <w:t>（</w:t>
      </w:r>
      <w:r>
        <w:rPr>
          <w:rFonts w:hint="default" w:ascii="Arial" w:hAnsi="Arial" w:eastAsia="宋体" w:cs="Arial"/>
          <w:b/>
          <w:sz w:val="24"/>
          <w:szCs w:val="24"/>
          <w:lang w:val="en-US" w:eastAsia="zh-CN"/>
        </w:rPr>
        <w:t>3</w:t>
      </w:r>
      <w:r>
        <w:rPr>
          <w:rFonts w:hint="default" w:ascii="Arial" w:hAnsi="Arial" w:eastAsia="宋体" w:cs="Arial"/>
          <w:b/>
          <w:sz w:val="24"/>
          <w:szCs w:val="24"/>
        </w:rPr>
        <w:t>）与长江经济带负面清单指南（试行，2022年版）》浙江省实施细则符合性分析</w:t>
      </w:r>
    </w:p>
    <w:p w14:paraId="63229AF1">
      <w:pPr>
        <w:pStyle w:val="76"/>
        <w:numPr>
          <w:ilvl w:val="3"/>
          <w:numId w:val="4"/>
        </w:numPr>
        <w:ind w:left="636" w:leftChars="0" w:firstLineChars="0"/>
        <w:jc w:val="center"/>
        <w:rPr>
          <w:rFonts w:hint="default" w:ascii="Arial" w:hAnsi="Arial" w:eastAsia="宋体" w:cs="Arial"/>
          <w:b/>
          <w:bCs/>
          <w:sz w:val="24"/>
          <w:szCs w:val="24"/>
        </w:rPr>
      </w:pPr>
      <w:r>
        <w:rPr>
          <w:rFonts w:hint="default" w:ascii="Arial" w:hAnsi="Arial" w:eastAsia="宋体" w:cs="Arial"/>
          <w:b/>
          <w:bCs/>
          <w:sz w:val="24"/>
          <w:szCs w:val="24"/>
        </w:rPr>
        <w:t xml:space="preserve">  项目与长江经济带负面清单指南（试行，2022年版）》浙江省实施细则符合性分析</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4034"/>
        <w:gridCol w:w="2239"/>
        <w:gridCol w:w="799"/>
      </w:tblGrid>
      <w:tr w14:paraId="7C4D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25E82158">
            <w:pPr>
              <w:jc w:val="center"/>
              <w:rPr>
                <w:rFonts w:hint="default" w:ascii="Arial" w:hAnsi="Arial" w:eastAsia="宋体" w:cs="Arial"/>
                <w:sz w:val="18"/>
                <w:szCs w:val="18"/>
              </w:rPr>
            </w:pPr>
            <w:r>
              <w:rPr>
                <w:rFonts w:hint="default" w:ascii="Arial" w:hAnsi="Arial" w:eastAsia="宋体" w:cs="Arial"/>
                <w:sz w:val="18"/>
                <w:szCs w:val="18"/>
              </w:rPr>
              <w:t>序号</w:t>
            </w:r>
          </w:p>
        </w:tc>
        <w:tc>
          <w:tcPr>
            <w:tcW w:w="2540" w:type="pct"/>
            <w:vAlign w:val="center"/>
          </w:tcPr>
          <w:p w14:paraId="7CF27A81">
            <w:pPr>
              <w:jc w:val="center"/>
              <w:rPr>
                <w:rFonts w:hint="default" w:ascii="Arial" w:hAnsi="Arial" w:eastAsia="宋体" w:cs="Arial"/>
                <w:sz w:val="18"/>
                <w:szCs w:val="18"/>
              </w:rPr>
            </w:pPr>
            <w:r>
              <w:rPr>
                <w:rFonts w:hint="default" w:ascii="Arial" w:hAnsi="Arial" w:eastAsia="宋体" w:cs="Arial"/>
                <w:sz w:val="18"/>
                <w:szCs w:val="18"/>
              </w:rPr>
              <w:t>环境管控单元</w:t>
            </w:r>
          </w:p>
        </w:tc>
        <w:tc>
          <w:tcPr>
            <w:tcW w:w="1410" w:type="pct"/>
            <w:vAlign w:val="center"/>
          </w:tcPr>
          <w:p w14:paraId="20D871AF">
            <w:pPr>
              <w:jc w:val="center"/>
              <w:rPr>
                <w:rFonts w:hint="default" w:ascii="Arial" w:hAnsi="Arial" w:eastAsia="宋体" w:cs="Arial"/>
                <w:sz w:val="18"/>
                <w:szCs w:val="18"/>
              </w:rPr>
            </w:pPr>
            <w:r>
              <w:rPr>
                <w:rFonts w:hint="default" w:ascii="Arial" w:hAnsi="Arial" w:eastAsia="宋体" w:cs="Arial"/>
                <w:sz w:val="18"/>
                <w:szCs w:val="18"/>
              </w:rPr>
              <w:t>本项目情况</w:t>
            </w:r>
          </w:p>
        </w:tc>
        <w:tc>
          <w:tcPr>
            <w:tcW w:w="503" w:type="pct"/>
            <w:vAlign w:val="center"/>
          </w:tcPr>
          <w:p w14:paraId="16A53772">
            <w:pPr>
              <w:jc w:val="center"/>
              <w:rPr>
                <w:rFonts w:hint="default" w:ascii="Arial" w:hAnsi="Arial" w:eastAsia="宋体" w:cs="Arial"/>
                <w:sz w:val="18"/>
                <w:szCs w:val="18"/>
              </w:rPr>
            </w:pPr>
            <w:r>
              <w:rPr>
                <w:rFonts w:hint="default" w:ascii="Arial" w:hAnsi="Arial" w:eastAsia="宋体" w:cs="Arial"/>
                <w:sz w:val="18"/>
                <w:szCs w:val="18"/>
              </w:rPr>
              <w:t>是否符合要求</w:t>
            </w:r>
          </w:p>
        </w:tc>
      </w:tr>
      <w:tr w14:paraId="68A6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1ECD5EA1">
            <w:pPr>
              <w:jc w:val="center"/>
              <w:rPr>
                <w:rFonts w:hint="default" w:ascii="Arial" w:hAnsi="Arial" w:eastAsia="宋体" w:cs="Arial"/>
                <w:sz w:val="18"/>
                <w:szCs w:val="18"/>
              </w:rPr>
            </w:pPr>
            <w:r>
              <w:rPr>
                <w:rFonts w:hint="default" w:ascii="Arial" w:hAnsi="Arial" w:eastAsia="宋体" w:cs="Arial"/>
                <w:sz w:val="18"/>
                <w:szCs w:val="18"/>
              </w:rPr>
              <w:t>1</w:t>
            </w:r>
          </w:p>
        </w:tc>
        <w:tc>
          <w:tcPr>
            <w:tcW w:w="2540" w:type="pct"/>
            <w:vAlign w:val="center"/>
          </w:tcPr>
          <w:p w14:paraId="23D7F6F4">
            <w:pPr>
              <w:ind w:firstLine="420"/>
              <w:rPr>
                <w:rFonts w:hint="default" w:ascii="Arial" w:hAnsi="Arial" w:eastAsia="宋体" w:cs="Arial"/>
                <w:sz w:val="18"/>
                <w:szCs w:val="18"/>
              </w:rPr>
            </w:pPr>
            <w:r>
              <w:rPr>
                <w:rFonts w:hint="default" w:ascii="Arial" w:hAnsi="Arial" w:eastAsia="宋体" w:cs="Arial"/>
                <w:sz w:val="18"/>
                <w:szCs w:val="18"/>
              </w:rPr>
              <w:t>港口码头项目建设必须严格遵守《中华人民共和国港口法》、交通运输部《港口规划管理规定》、《港口工程建设管理规定》以及《浙江省港口管理条例》的规定。</w:t>
            </w:r>
          </w:p>
        </w:tc>
        <w:tc>
          <w:tcPr>
            <w:tcW w:w="1410" w:type="pct"/>
            <w:vAlign w:val="center"/>
          </w:tcPr>
          <w:p w14:paraId="3C81C918">
            <w:pPr>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64F2A6CA">
            <w:pPr>
              <w:jc w:val="center"/>
              <w:rPr>
                <w:rFonts w:hint="default" w:ascii="Arial" w:hAnsi="Arial" w:eastAsia="宋体" w:cs="Arial"/>
                <w:sz w:val="18"/>
                <w:szCs w:val="18"/>
              </w:rPr>
            </w:pPr>
            <w:r>
              <w:rPr>
                <w:rFonts w:hint="default" w:ascii="Arial" w:hAnsi="Arial" w:eastAsia="宋体" w:cs="Arial"/>
                <w:sz w:val="18"/>
                <w:szCs w:val="18"/>
              </w:rPr>
              <w:t>符合</w:t>
            </w:r>
          </w:p>
        </w:tc>
      </w:tr>
      <w:tr w14:paraId="741A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5BA2CC9C">
            <w:pPr>
              <w:jc w:val="center"/>
              <w:rPr>
                <w:rFonts w:hint="default" w:ascii="Arial" w:hAnsi="Arial" w:eastAsia="宋体" w:cs="Arial"/>
                <w:sz w:val="18"/>
                <w:szCs w:val="18"/>
              </w:rPr>
            </w:pPr>
            <w:r>
              <w:rPr>
                <w:rFonts w:hint="default" w:ascii="Arial" w:hAnsi="Arial" w:eastAsia="宋体" w:cs="Arial"/>
                <w:sz w:val="18"/>
                <w:szCs w:val="18"/>
              </w:rPr>
              <w:t>2</w:t>
            </w:r>
          </w:p>
        </w:tc>
        <w:tc>
          <w:tcPr>
            <w:tcW w:w="2540" w:type="pct"/>
            <w:vAlign w:val="center"/>
          </w:tcPr>
          <w:p w14:paraId="3D74D115">
            <w:pPr>
              <w:ind w:firstLine="420"/>
              <w:rPr>
                <w:rFonts w:hint="default" w:ascii="Arial" w:hAnsi="Arial" w:eastAsia="宋体" w:cs="Arial"/>
                <w:sz w:val="18"/>
                <w:szCs w:val="18"/>
              </w:rPr>
            </w:pPr>
            <w:r>
              <w:rPr>
                <w:rFonts w:hint="default" w:ascii="Arial" w:hAnsi="Arial" w:eastAsia="宋体" w:cs="Arial"/>
                <w:sz w:val="18"/>
                <w:szCs w:val="18"/>
              </w:rPr>
              <w:t>禁止建设不符合《全国沿海港口布局规划》、《全国内河航道与港口布局规划》、《浙江省沿海港口布局规划》、《浙江省内河航运发展规划》以及项目所在地港口总体规划、国土空间规划的港口码头项目。</w:t>
            </w:r>
          </w:p>
          <w:p w14:paraId="35E93AF8">
            <w:pPr>
              <w:ind w:firstLine="420"/>
              <w:rPr>
                <w:rFonts w:hint="default" w:ascii="Arial" w:hAnsi="Arial" w:eastAsia="宋体" w:cs="Arial"/>
                <w:sz w:val="18"/>
                <w:szCs w:val="18"/>
              </w:rPr>
            </w:pPr>
            <w:r>
              <w:rPr>
                <w:rFonts w:hint="default" w:ascii="Arial" w:hAnsi="Arial" w:eastAsia="宋体" w:cs="Arial"/>
                <w:sz w:val="18"/>
                <w:szCs w:val="18"/>
              </w:rPr>
              <w:t>经国务院或国家发展改革委审批、核准的港口码头项目，军事和渔业港口码头项目，按照国家有关规定执行。城市休闲旅游配套码头、陆岛交通码头等涉及民生的港口码头项目，结合国土空间规划和督导交通专项规划等另行研究执行。</w:t>
            </w:r>
          </w:p>
        </w:tc>
        <w:tc>
          <w:tcPr>
            <w:tcW w:w="1410" w:type="pct"/>
            <w:vAlign w:val="center"/>
          </w:tcPr>
          <w:p w14:paraId="3B591143">
            <w:pPr>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0FD7C82D">
            <w:pPr>
              <w:jc w:val="center"/>
              <w:rPr>
                <w:rFonts w:hint="default" w:ascii="Arial" w:hAnsi="Arial" w:eastAsia="宋体" w:cs="Arial"/>
                <w:sz w:val="18"/>
                <w:szCs w:val="18"/>
              </w:rPr>
            </w:pPr>
            <w:r>
              <w:rPr>
                <w:rFonts w:hint="default" w:ascii="Arial" w:hAnsi="Arial" w:eastAsia="宋体" w:cs="Arial"/>
                <w:sz w:val="18"/>
                <w:szCs w:val="18"/>
              </w:rPr>
              <w:t>符合</w:t>
            </w:r>
          </w:p>
        </w:tc>
      </w:tr>
      <w:tr w14:paraId="16D7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64F9CD84">
            <w:pPr>
              <w:jc w:val="center"/>
              <w:rPr>
                <w:rFonts w:hint="default" w:ascii="Arial" w:hAnsi="Arial" w:eastAsia="宋体" w:cs="Arial"/>
                <w:sz w:val="18"/>
                <w:szCs w:val="18"/>
              </w:rPr>
            </w:pPr>
            <w:r>
              <w:rPr>
                <w:rFonts w:hint="default" w:ascii="Arial" w:hAnsi="Arial" w:eastAsia="宋体" w:cs="Arial"/>
                <w:sz w:val="18"/>
                <w:szCs w:val="18"/>
              </w:rPr>
              <w:t>3</w:t>
            </w:r>
          </w:p>
        </w:tc>
        <w:tc>
          <w:tcPr>
            <w:tcW w:w="2540" w:type="pct"/>
            <w:vAlign w:val="center"/>
          </w:tcPr>
          <w:p w14:paraId="7F579CFD">
            <w:pPr>
              <w:autoSpaceDE w:val="0"/>
              <w:autoSpaceDN w:val="0"/>
              <w:ind w:firstLine="420"/>
              <w:rPr>
                <w:rFonts w:hint="default" w:ascii="Arial" w:hAnsi="Arial" w:eastAsia="宋体" w:cs="Arial"/>
                <w:sz w:val="18"/>
                <w:szCs w:val="18"/>
              </w:rPr>
            </w:pPr>
            <w:r>
              <w:rPr>
                <w:rFonts w:hint="default" w:ascii="Arial" w:hAnsi="Arial" w:eastAsia="宋体" w:cs="Arial"/>
                <w:sz w:val="18"/>
                <w:szCs w:val="18"/>
              </w:rPr>
              <w:t>禁止在自然保护地的岸线和河段范围内投资建设不符合《浙江省自然保护地建设项目准入负面清单(试行)》的项目。</w:t>
            </w:r>
          </w:p>
          <w:p w14:paraId="3C30E0F8">
            <w:pPr>
              <w:autoSpaceDE w:val="0"/>
              <w:autoSpaceDN w:val="0"/>
              <w:ind w:firstLine="420"/>
              <w:rPr>
                <w:rFonts w:hint="default" w:ascii="Arial" w:hAnsi="Arial" w:eastAsia="宋体" w:cs="Arial"/>
                <w:sz w:val="18"/>
                <w:szCs w:val="18"/>
              </w:rPr>
            </w:pPr>
            <w:r>
              <w:rPr>
                <w:rFonts w:hint="default" w:ascii="Arial" w:hAnsi="Arial" w:eastAsia="宋体" w:cs="Arial"/>
                <w:sz w:val="18"/>
                <w:szCs w:val="18"/>
              </w:rPr>
              <w:t>禁止在自然保护地的岸线和河段范围内采石、采砂、采土、砍伐及其他严重改变地形地貌、破坏自然生态、影响自然景观的开发利用行为。</w:t>
            </w:r>
          </w:p>
          <w:p w14:paraId="240F262A">
            <w:pPr>
              <w:autoSpaceDE w:val="0"/>
              <w:autoSpaceDN w:val="0"/>
              <w:ind w:firstLine="420"/>
              <w:rPr>
                <w:rFonts w:hint="default" w:ascii="Arial" w:hAnsi="Arial" w:eastAsia="宋体" w:cs="Arial"/>
                <w:sz w:val="18"/>
                <w:szCs w:val="18"/>
              </w:rPr>
            </w:pPr>
            <w:r>
              <w:rPr>
                <w:rFonts w:hint="default" w:ascii="Arial" w:hAnsi="Arial" w:eastAsia="宋体" w:cs="Arial"/>
                <w:sz w:val="18"/>
                <w:szCs w:val="18"/>
              </w:rPr>
              <w:t>禁止在Ⅰ级林地、一级国家级公益林内建设项目。</w:t>
            </w:r>
          </w:p>
          <w:p w14:paraId="79FDC765">
            <w:pPr>
              <w:autoSpaceDE w:val="0"/>
              <w:autoSpaceDN w:val="0"/>
              <w:ind w:firstLine="420"/>
              <w:rPr>
                <w:rFonts w:hint="default" w:ascii="Arial" w:hAnsi="Arial" w:eastAsia="宋体" w:cs="Arial"/>
                <w:sz w:val="18"/>
                <w:szCs w:val="18"/>
              </w:rPr>
            </w:pPr>
            <w:r>
              <w:rPr>
                <w:rFonts w:hint="default" w:ascii="Arial" w:hAnsi="Arial" w:eastAsia="宋体" w:cs="Arial"/>
                <w:sz w:val="18"/>
                <w:szCs w:val="18"/>
              </w:rPr>
              <w:t>自然保护地由省林业局会同相关管理机构界定。</w:t>
            </w:r>
          </w:p>
        </w:tc>
        <w:tc>
          <w:tcPr>
            <w:tcW w:w="1410" w:type="pct"/>
            <w:vAlign w:val="center"/>
          </w:tcPr>
          <w:p w14:paraId="7FA282D7">
            <w:pPr>
              <w:jc w:val="center"/>
              <w:rPr>
                <w:rFonts w:hint="default" w:ascii="Arial" w:hAnsi="Arial" w:eastAsia="宋体" w:cs="Arial"/>
                <w:sz w:val="18"/>
                <w:szCs w:val="18"/>
              </w:rPr>
            </w:pPr>
            <w:r>
              <w:rPr>
                <w:rFonts w:hint="default" w:ascii="Arial" w:hAnsi="Arial" w:eastAsia="宋体" w:cs="Arial"/>
                <w:sz w:val="18"/>
                <w:szCs w:val="18"/>
              </w:rPr>
              <w:t>非自然保护区、森林公园、地质公园、Ⅰ级林地、一级国家级公益林。</w:t>
            </w:r>
          </w:p>
        </w:tc>
        <w:tc>
          <w:tcPr>
            <w:tcW w:w="503" w:type="pct"/>
            <w:vAlign w:val="center"/>
          </w:tcPr>
          <w:p w14:paraId="665F55CD">
            <w:pPr>
              <w:jc w:val="center"/>
              <w:rPr>
                <w:rFonts w:hint="default" w:ascii="Arial" w:hAnsi="Arial" w:eastAsia="宋体" w:cs="Arial"/>
                <w:sz w:val="18"/>
                <w:szCs w:val="18"/>
              </w:rPr>
            </w:pPr>
            <w:r>
              <w:rPr>
                <w:rFonts w:hint="default" w:ascii="Arial" w:hAnsi="Arial" w:eastAsia="宋体" w:cs="Arial"/>
                <w:sz w:val="18"/>
                <w:szCs w:val="18"/>
              </w:rPr>
              <w:t>符合</w:t>
            </w:r>
          </w:p>
        </w:tc>
      </w:tr>
      <w:tr w14:paraId="25FB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7979A0AB">
            <w:pPr>
              <w:jc w:val="center"/>
              <w:rPr>
                <w:rFonts w:hint="default" w:ascii="Arial" w:hAnsi="Arial" w:eastAsia="宋体" w:cs="Arial"/>
                <w:sz w:val="18"/>
                <w:szCs w:val="18"/>
              </w:rPr>
            </w:pPr>
            <w:r>
              <w:rPr>
                <w:rFonts w:hint="default" w:ascii="Arial" w:hAnsi="Arial" w:eastAsia="宋体" w:cs="Arial"/>
                <w:sz w:val="18"/>
                <w:szCs w:val="18"/>
              </w:rPr>
              <w:t>4</w:t>
            </w:r>
          </w:p>
        </w:tc>
        <w:tc>
          <w:tcPr>
            <w:tcW w:w="2540" w:type="pct"/>
            <w:vAlign w:val="center"/>
          </w:tcPr>
          <w:p w14:paraId="3015E8B1">
            <w:pPr>
              <w:autoSpaceDE w:val="0"/>
              <w:autoSpaceDN w:val="0"/>
              <w:rPr>
                <w:rFonts w:hint="default" w:ascii="Arial" w:hAnsi="Arial" w:eastAsia="宋体" w:cs="Arial"/>
                <w:sz w:val="18"/>
                <w:szCs w:val="18"/>
              </w:rPr>
            </w:pPr>
            <w:r>
              <w:rPr>
                <w:rFonts w:hint="default" w:ascii="Arial" w:hAnsi="Arial" w:eastAsia="宋体" w:cs="Arial"/>
                <w:sz w:val="18"/>
                <w:szCs w:val="18"/>
              </w:rPr>
              <w:t>禁止在饮用水水源一级保护区、二级保护区、准保护区的岸线和河段范围内投资建设不符合《浙江省饮用水源保护条例》的项目。</w:t>
            </w:r>
          </w:p>
          <w:p w14:paraId="25A02008">
            <w:pPr>
              <w:autoSpaceDE w:val="0"/>
              <w:autoSpaceDN w:val="0"/>
              <w:rPr>
                <w:rFonts w:hint="default" w:ascii="Arial" w:hAnsi="Arial" w:eastAsia="宋体" w:cs="Arial"/>
                <w:sz w:val="18"/>
                <w:szCs w:val="18"/>
              </w:rPr>
            </w:pPr>
            <w:r>
              <w:rPr>
                <w:rFonts w:hint="default" w:ascii="Arial" w:hAnsi="Arial" w:eastAsia="宋体" w:cs="Arial"/>
                <w:sz w:val="18"/>
                <w:szCs w:val="18"/>
              </w:rPr>
              <w:t>饮用水水源一级保护区、二级保护区、准保护区由省生态环境厅会同相关管理机构界定。</w:t>
            </w:r>
          </w:p>
        </w:tc>
        <w:tc>
          <w:tcPr>
            <w:tcW w:w="1410" w:type="pct"/>
            <w:vAlign w:val="center"/>
          </w:tcPr>
          <w:p w14:paraId="4DD96458">
            <w:pPr>
              <w:jc w:val="center"/>
              <w:rPr>
                <w:rFonts w:hint="default" w:ascii="Arial" w:hAnsi="Arial" w:eastAsia="宋体" w:cs="Arial"/>
                <w:sz w:val="18"/>
                <w:szCs w:val="18"/>
              </w:rPr>
            </w:pPr>
            <w:r>
              <w:rPr>
                <w:rFonts w:hint="default" w:ascii="Arial" w:hAnsi="Arial" w:eastAsia="宋体" w:cs="Arial"/>
                <w:sz w:val="18"/>
                <w:szCs w:val="18"/>
              </w:rPr>
              <w:t>不在饮用水水源一级保护区、二级保护区、准保护区的岸线和河段范围内。</w:t>
            </w:r>
          </w:p>
        </w:tc>
        <w:tc>
          <w:tcPr>
            <w:tcW w:w="503" w:type="pct"/>
            <w:vAlign w:val="center"/>
          </w:tcPr>
          <w:p w14:paraId="2A57C010">
            <w:pPr>
              <w:jc w:val="center"/>
              <w:rPr>
                <w:rFonts w:hint="default" w:ascii="Arial" w:hAnsi="Arial" w:eastAsia="宋体" w:cs="Arial"/>
                <w:sz w:val="18"/>
                <w:szCs w:val="18"/>
              </w:rPr>
            </w:pPr>
            <w:r>
              <w:rPr>
                <w:rFonts w:hint="default" w:ascii="Arial" w:hAnsi="Arial" w:eastAsia="宋体" w:cs="Arial"/>
                <w:sz w:val="18"/>
                <w:szCs w:val="18"/>
              </w:rPr>
              <w:t>符合</w:t>
            </w:r>
          </w:p>
        </w:tc>
      </w:tr>
      <w:tr w14:paraId="627B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182F0A43">
            <w:pPr>
              <w:jc w:val="center"/>
              <w:rPr>
                <w:rFonts w:hint="default" w:ascii="Arial" w:hAnsi="Arial" w:eastAsia="宋体" w:cs="Arial"/>
                <w:sz w:val="18"/>
                <w:szCs w:val="18"/>
              </w:rPr>
            </w:pPr>
            <w:r>
              <w:rPr>
                <w:rFonts w:hint="default" w:ascii="Arial" w:hAnsi="Arial" w:eastAsia="宋体" w:cs="Arial"/>
                <w:sz w:val="18"/>
                <w:szCs w:val="18"/>
              </w:rPr>
              <w:t>5</w:t>
            </w:r>
          </w:p>
        </w:tc>
        <w:tc>
          <w:tcPr>
            <w:tcW w:w="2540" w:type="pct"/>
            <w:vAlign w:val="center"/>
          </w:tcPr>
          <w:p w14:paraId="7C4849E6">
            <w:pPr>
              <w:autoSpaceDE w:val="0"/>
              <w:autoSpaceDN w:val="0"/>
              <w:rPr>
                <w:rFonts w:hint="default" w:ascii="Arial" w:hAnsi="Arial" w:eastAsia="宋体" w:cs="Arial"/>
                <w:sz w:val="18"/>
                <w:szCs w:val="18"/>
              </w:rPr>
            </w:pPr>
            <w:r>
              <w:rPr>
                <w:rFonts w:hint="default" w:ascii="Arial" w:hAnsi="Arial" w:eastAsia="宋体" w:cs="Arial"/>
                <w:sz w:val="18"/>
                <w:szCs w:val="18"/>
              </w:rPr>
              <w:t>禁止在水产种质资源保护区的岸线和河段范围内新建围湖造田、围海造地或围填海等投资建设项目。</w:t>
            </w:r>
          </w:p>
          <w:p w14:paraId="5EBC271B">
            <w:pPr>
              <w:rPr>
                <w:rFonts w:hint="default" w:ascii="Arial" w:hAnsi="Arial" w:eastAsia="宋体" w:cs="Arial"/>
                <w:sz w:val="18"/>
                <w:szCs w:val="18"/>
              </w:rPr>
            </w:pPr>
            <w:r>
              <w:rPr>
                <w:rFonts w:hint="default" w:ascii="Arial" w:hAnsi="Arial" w:eastAsia="宋体" w:cs="Arial"/>
                <w:sz w:val="18"/>
                <w:szCs w:val="18"/>
              </w:rPr>
              <w:t>水产种质资源保护区由省农业农村厅会同相关管理机构界定。</w:t>
            </w:r>
          </w:p>
        </w:tc>
        <w:tc>
          <w:tcPr>
            <w:tcW w:w="1410" w:type="pct"/>
            <w:vAlign w:val="center"/>
          </w:tcPr>
          <w:p w14:paraId="36B97FA2">
            <w:pPr>
              <w:autoSpaceDE w:val="0"/>
              <w:autoSpaceDN w:val="0"/>
              <w:rPr>
                <w:rFonts w:hint="default" w:ascii="Arial" w:hAnsi="Arial" w:eastAsia="宋体" w:cs="Arial"/>
                <w:sz w:val="18"/>
                <w:szCs w:val="18"/>
              </w:rPr>
            </w:pPr>
            <w:r>
              <w:rPr>
                <w:rFonts w:hint="default" w:ascii="Arial" w:hAnsi="Arial" w:eastAsia="宋体" w:cs="Arial"/>
                <w:sz w:val="18"/>
                <w:szCs w:val="18"/>
              </w:rPr>
              <w:t>不在水产种质资源保护区的岸线和河段范围内。</w:t>
            </w:r>
          </w:p>
        </w:tc>
        <w:tc>
          <w:tcPr>
            <w:tcW w:w="503" w:type="pct"/>
            <w:vAlign w:val="center"/>
          </w:tcPr>
          <w:p w14:paraId="374483E1">
            <w:pPr>
              <w:jc w:val="center"/>
              <w:rPr>
                <w:rFonts w:hint="default" w:ascii="Arial" w:hAnsi="Arial" w:eastAsia="宋体" w:cs="Arial"/>
                <w:sz w:val="18"/>
                <w:szCs w:val="18"/>
              </w:rPr>
            </w:pPr>
            <w:r>
              <w:rPr>
                <w:rFonts w:hint="default" w:ascii="Arial" w:hAnsi="Arial" w:eastAsia="宋体" w:cs="Arial"/>
                <w:sz w:val="18"/>
                <w:szCs w:val="18"/>
              </w:rPr>
              <w:t>符合</w:t>
            </w:r>
          </w:p>
        </w:tc>
      </w:tr>
      <w:tr w14:paraId="2E49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1421C626">
            <w:pPr>
              <w:jc w:val="center"/>
              <w:rPr>
                <w:rFonts w:hint="default" w:ascii="Arial" w:hAnsi="Arial" w:eastAsia="宋体" w:cs="Arial"/>
                <w:sz w:val="18"/>
                <w:szCs w:val="18"/>
              </w:rPr>
            </w:pPr>
            <w:r>
              <w:rPr>
                <w:rFonts w:hint="default" w:ascii="Arial" w:hAnsi="Arial" w:eastAsia="宋体" w:cs="Arial"/>
                <w:sz w:val="18"/>
                <w:szCs w:val="18"/>
              </w:rPr>
              <w:t>6</w:t>
            </w:r>
          </w:p>
        </w:tc>
        <w:tc>
          <w:tcPr>
            <w:tcW w:w="2540" w:type="pct"/>
            <w:vAlign w:val="center"/>
          </w:tcPr>
          <w:p w14:paraId="3F5C5B75">
            <w:pPr>
              <w:autoSpaceDE w:val="0"/>
              <w:autoSpaceDN w:val="0"/>
              <w:rPr>
                <w:rFonts w:hint="default" w:ascii="Arial" w:hAnsi="Arial" w:eastAsia="宋体" w:cs="Arial"/>
                <w:sz w:val="18"/>
                <w:szCs w:val="18"/>
              </w:rPr>
            </w:pPr>
            <w:r>
              <w:rPr>
                <w:rFonts w:hint="default" w:ascii="Arial" w:hAnsi="Arial" w:eastAsia="宋体" w:cs="Arial"/>
                <w:sz w:val="18"/>
                <w:szCs w:val="18"/>
              </w:rPr>
              <w:t>在国家湿地公园的岸线和河段范围内：</w:t>
            </w:r>
          </w:p>
          <w:p w14:paraId="553F0988">
            <w:pPr>
              <w:autoSpaceDE w:val="0"/>
              <w:autoSpaceDN w:val="0"/>
              <w:rPr>
                <w:rFonts w:hint="default" w:ascii="Arial" w:hAnsi="Arial" w:eastAsia="宋体" w:cs="Arial"/>
                <w:sz w:val="18"/>
                <w:szCs w:val="18"/>
              </w:rPr>
            </w:pPr>
            <w:r>
              <w:rPr>
                <w:rFonts w:hint="default" w:ascii="Arial" w:hAnsi="Arial" w:eastAsia="宋体" w:cs="Arial"/>
                <w:sz w:val="18"/>
                <w:szCs w:val="18"/>
              </w:rPr>
              <w:t>(一）禁止挖沙、采矿；</w:t>
            </w:r>
          </w:p>
          <w:p w14:paraId="44CC784A">
            <w:pPr>
              <w:autoSpaceDE w:val="0"/>
              <w:autoSpaceDN w:val="0"/>
              <w:rPr>
                <w:rFonts w:hint="default" w:ascii="Arial" w:hAnsi="Arial" w:eastAsia="宋体" w:cs="Arial"/>
                <w:sz w:val="18"/>
                <w:szCs w:val="18"/>
              </w:rPr>
            </w:pPr>
            <w:r>
              <w:rPr>
                <w:rFonts w:hint="default" w:ascii="Arial" w:hAnsi="Arial" w:eastAsia="宋体" w:cs="Arial"/>
                <w:sz w:val="18"/>
                <w:szCs w:val="18"/>
              </w:rPr>
              <w:t>(二）禁止任何不符合主体功能定位的投资建设项目；</w:t>
            </w:r>
          </w:p>
          <w:p w14:paraId="4F6E22B5">
            <w:pPr>
              <w:autoSpaceDE w:val="0"/>
              <w:autoSpaceDN w:val="0"/>
              <w:rPr>
                <w:rFonts w:hint="default" w:ascii="Arial" w:hAnsi="Arial" w:eastAsia="宋体" w:cs="Arial"/>
                <w:sz w:val="18"/>
                <w:szCs w:val="18"/>
              </w:rPr>
            </w:pPr>
            <w:r>
              <w:rPr>
                <w:rFonts w:hint="default" w:ascii="Arial" w:hAnsi="Arial" w:eastAsia="宋体" w:cs="Arial"/>
                <w:sz w:val="18"/>
                <w:szCs w:val="18"/>
              </w:rPr>
              <w:t>(三）禁止开（围）垦、填埋或者排干湿地；</w:t>
            </w:r>
          </w:p>
          <w:p w14:paraId="13DEA5CA">
            <w:pPr>
              <w:autoSpaceDE w:val="0"/>
              <w:autoSpaceDN w:val="0"/>
              <w:rPr>
                <w:rFonts w:hint="default" w:ascii="Arial" w:hAnsi="Arial" w:eastAsia="宋体" w:cs="Arial"/>
                <w:sz w:val="18"/>
                <w:szCs w:val="18"/>
              </w:rPr>
            </w:pPr>
            <w:r>
              <w:rPr>
                <w:rFonts w:hint="default" w:ascii="Arial" w:hAnsi="Arial" w:eastAsia="宋体" w:cs="Arial"/>
                <w:sz w:val="18"/>
                <w:szCs w:val="18"/>
              </w:rPr>
              <w:t>(四）禁止截断湿地水源；</w:t>
            </w:r>
          </w:p>
          <w:p w14:paraId="32E78A81">
            <w:pPr>
              <w:autoSpaceDE w:val="0"/>
              <w:autoSpaceDN w:val="0"/>
              <w:rPr>
                <w:rFonts w:hint="default" w:ascii="Arial" w:hAnsi="Arial" w:eastAsia="宋体" w:cs="Arial"/>
                <w:sz w:val="18"/>
                <w:szCs w:val="18"/>
              </w:rPr>
            </w:pPr>
            <w:r>
              <w:rPr>
                <w:rFonts w:hint="default" w:ascii="Arial" w:hAnsi="Arial" w:eastAsia="宋体" w:cs="Arial"/>
                <w:sz w:val="18"/>
                <w:szCs w:val="18"/>
              </w:rPr>
              <w:t>(五）禁止倾倒有毒有害物质、废弃物、垃圾；</w:t>
            </w:r>
          </w:p>
          <w:p w14:paraId="498FD26E">
            <w:pPr>
              <w:autoSpaceDE w:val="0"/>
              <w:autoSpaceDN w:val="0"/>
              <w:rPr>
                <w:rFonts w:hint="default" w:ascii="Arial" w:hAnsi="Arial" w:eastAsia="宋体" w:cs="Arial"/>
                <w:sz w:val="18"/>
                <w:szCs w:val="18"/>
              </w:rPr>
            </w:pPr>
            <w:r>
              <w:rPr>
                <w:rFonts w:hint="default" w:ascii="Arial" w:hAnsi="Arial" w:eastAsia="宋体" w:cs="Arial"/>
                <w:sz w:val="18"/>
                <w:szCs w:val="18"/>
              </w:rPr>
              <w:t>(六)禁止破坏野生动物栖息地和迁徙通道、鱼类徊游通道，禁止滥采滥捕野生动植物；</w:t>
            </w:r>
          </w:p>
          <w:p w14:paraId="763238A3">
            <w:pPr>
              <w:autoSpaceDE w:val="0"/>
              <w:autoSpaceDN w:val="0"/>
              <w:rPr>
                <w:rFonts w:hint="default" w:ascii="Arial" w:hAnsi="Arial" w:eastAsia="宋体" w:cs="Arial"/>
                <w:sz w:val="18"/>
                <w:szCs w:val="18"/>
              </w:rPr>
            </w:pPr>
            <w:r>
              <w:rPr>
                <w:rFonts w:hint="default" w:ascii="Arial" w:hAnsi="Arial" w:eastAsia="宋体" w:cs="Arial"/>
                <w:sz w:val="18"/>
                <w:szCs w:val="18"/>
              </w:rPr>
              <w:t>(七）禁止引入外来物种；</w:t>
            </w:r>
          </w:p>
          <w:p w14:paraId="29938F1E">
            <w:pPr>
              <w:autoSpaceDE w:val="0"/>
              <w:autoSpaceDN w:val="0"/>
              <w:rPr>
                <w:rFonts w:hint="default" w:ascii="Arial" w:hAnsi="Arial" w:eastAsia="宋体" w:cs="Arial"/>
                <w:sz w:val="18"/>
                <w:szCs w:val="18"/>
              </w:rPr>
            </w:pPr>
            <w:r>
              <w:rPr>
                <w:rFonts w:hint="default" w:ascii="Arial" w:hAnsi="Arial" w:eastAsia="宋体" w:cs="Arial"/>
                <w:sz w:val="18"/>
                <w:szCs w:val="18"/>
              </w:rPr>
              <w:t>(八）禁止擅自放牧、捕捞、取土、取水、排污、放生；</w:t>
            </w:r>
          </w:p>
          <w:p w14:paraId="20968720">
            <w:pPr>
              <w:autoSpaceDE w:val="0"/>
              <w:autoSpaceDN w:val="0"/>
              <w:rPr>
                <w:rFonts w:hint="default" w:ascii="Arial" w:hAnsi="Arial" w:eastAsia="宋体" w:cs="Arial"/>
                <w:sz w:val="18"/>
                <w:szCs w:val="18"/>
              </w:rPr>
            </w:pPr>
            <w:r>
              <w:rPr>
                <w:rFonts w:hint="default" w:ascii="Arial" w:hAnsi="Arial" w:eastAsia="宋体" w:cs="Arial"/>
                <w:sz w:val="18"/>
                <w:szCs w:val="18"/>
              </w:rPr>
              <w:t>（九）禁止其他破坏湿地及其生态功能的活动。</w:t>
            </w:r>
          </w:p>
          <w:p w14:paraId="693B0ED9">
            <w:pPr>
              <w:autoSpaceDE w:val="0"/>
              <w:autoSpaceDN w:val="0"/>
              <w:rPr>
                <w:rFonts w:hint="default" w:ascii="Arial" w:hAnsi="Arial" w:eastAsia="宋体" w:cs="Arial"/>
                <w:sz w:val="18"/>
                <w:szCs w:val="18"/>
              </w:rPr>
            </w:pPr>
            <w:r>
              <w:rPr>
                <w:rFonts w:hint="default" w:ascii="Arial" w:hAnsi="Arial" w:eastAsia="宋体" w:cs="Arial"/>
                <w:sz w:val="18"/>
                <w:szCs w:val="18"/>
              </w:rPr>
              <w:t>国家湿地公园由省林业局会同相关管理机构界定。</w:t>
            </w:r>
          </w:p>
        </w:tc>
        <w:tc>
          <w:tcPr>
            <w:tcW w:w="1410" w:type="pct"/>
            <w:vAlign w:val="center"/>
          </w:tcPr>
          <w:p w14:paraId="7E1B0D75">
            <w:pPr>
              <w:jc w:val="center"/>
              <w:rPr>
                <w:rFonts w:hint="default" w:ascii="Arial" w:hAnsi="Arial" w:eastAsia="宋体" w:cs="Arial"/>
                <w:sz w:val="18"/>
                <w:szCs w:val="18"/>
              </w:rPr>
            </w:pPr>
            <w:r>
              <w:rPr>
                <w:rFonts w:hint="default" w:ascii="Arial" w:hAnsi="Arial" w:eastAsia="宋体" w:cs="Arial"/>
                <w:sz w:val="18"/>
                <w:szCs w:val="18"/>
              </w:rPr>
              <w:t>不在国家湿地公园的岸线和河段范围内。</w:t>
            </w:r>
          </w:p>
        </w:tc>
        <w:tc>
          <w:tcPr>
            <w:tcW w:w="503" w:type="pct"/>
            <w:vAlign w:val="center"/>
          </w:tcPr>
          <w:p w14:paraId="2E592A64">
            <w:pPr>
              <w:jc w:val="center"/>
              <w:rPr>
                <w:rFonts w:hint="default" w:ascii="Arial" w:hAnsi="Arial" w:eastAsia="宋体" w:cs="Arial"/>
                <w:sz w:val="18"/>
                <w:szCs w:val="18"/>
              </w:rPr>
            </w:pPr>
            <w:r>
              <w:rPr>
                <w:rFonts w:hint="default" w:ascii="Arial" w:hAnsi="Arial" w:eastAsia="宋体" w:cs="Arial"/>
                <w:sz w:val="18"/>
                <w:szCs w:val="18"/>
              </w:rPr>
              <w:t>符合</w:t>
            </w:r>
          </w:p>
        </w:tc>
      </w:tr>
      <w:tr w14:paraId="4251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428E0BE6">
            <w:pPr>
              <w:jc w:val="center"/>
              <w:rPr>
                <w:rFonts w:hint="default" w:ascii="Arial" w:hAnsi="Arial" w:eastAsia="宋体" w:cs="Arial"/>
                <w:sz w:val="18"/>
                <w:szCs w:val="18"/>
              </w:rPr>
            </w:pPr>
            <w:r>
              <w:rPr>
                <w:rFonts w:hint="default" w:ascii="Arial" w:hAnsi="Arial" w:eastAsia="宋体" w:cs="Arial"/>
                <w:sz w:val="18"/>
                <w:szCs w:val="18"/>
              </w:rPr>
              <w:t>7</w:t>
            </w:r>
          </w:p>
        </w:tc>
        <w:tc>
          <w:tcPr>
            <w:tcW w:w="2540" w:type="pct"/>
            <w:vAlign w:val="center"/>
          </w:tcPr>
          <w:p w14:paraId="6C771A0E">
            <w:pPr>
              <w:autoSpaceDE w:val="0"/>
              <w:autoSpaceDN w:val="0"/>
              <w:rPr>
                <w:rFonts w:hint="default" w:ascii="Arial" w:hAnsi="Arial" w:eastAsia="宋体" w:cs="Arial"/>
                <w:sz w:val="18"/>
                <w:szCs w:val="18"/>
              </w:rPr>
            </w:pPr>
            <w:r>
              <w:rPr>
                <w:rFonts w:hint="default" w:ascii="Arial" w:hAnsi="Arial" w:eastAsia="宋体" w:cs="Arial"/>
                <w:sz w:val="18"/>
                <w:szCs w:val="18"/>
              </w:rPr>
              <w:t>禁止违法利用、占用长江流域河湖岸线。</w:t>
            </w:r>
          </w:p>
        </w:tc>
        <w:tc>
          <w:tcPr>
            <w:tcW w:w="1410" w:type="pct"/>
            <w:vAlign w:val="center"/>
          </w:tcPr>
          <w:p w14:paraId="4D1A38B3">
            <w:pPr>
              <w:jc w:val="center"/>
              <w:rPr>
                <w:rFonts w:hint="default" w:ascii="Arial" w:hAnsi="Arial" w:eastAsia="宋体" w:cs="Arial"/>
                <w:sz w:val="18"/>
                <w:szCs w:val="18"/>
              </w:rPr>
            </w:pPr>
            <w:r>
              <w:rPr>
                <w:rFonts w:hint="default" w:ascii="Arial" w:hAnsi="Arial" w:eastAsia="宋体" w:cs="Arial"/>
                <w:sz w:val="18"/>
                <w:szCs w:val="18"/>
              </w:rPr>
              <w:t>不涉及长江流域河湖岸线。</w:t>
            </w:r>
          </w:p>
        </w:tc>
        <w:tc>
          <w:tcPr>
            <w:tcW w:w="503" w:type="pct"/>
            <w:vAlign w:val="center"/>
          </w:tcPr>
          <w:p w14:paraId="49CCFBCC">
            <w:pPr>
              <w:jc w:val="center"/>
              <w:rPr>
                <w:rFonts w:hint="default" w:ascii="Arial" w:hAnsi="Arial" w:eastAsia="宋体" w:cs="Arial"/>
                <w:sz w:val="18"/>
                <w:szCs w:val="18"/>
              </w:rPr>
            </w:pPr>
            <w:r>
              <w:rPr>
                <w:rFonts w:hint="default" w:ascii="Arial" w:hAnsi="Arial" w:eastAsia="宋体" w:cs="Arial"/>
                <w:sz w:val="18"/>
                <w:szCs w:val="18"/>
              </w:rPr>
              <w:t>符合</w:t>
            </w:r>
          </w:p>
        </w:tc>
      </w:tr>
      <w:tr w14:paraId="7B60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45" w:type="pct"/>
            <w:vAlign w:val="center"/>
          </w:tcPr>
          <w:p w14:paraId="6EC97C72">
            <w:pPr>
              <w:jc w:val="center"/>
              <w:rPr>
                <w:rFonts w:hint="default" w:ascii="Arial" w:hAnsi="Arial" w:eastAsia="宋体" w:cs="Arial"/>
                <w:sz w:val="18"/>
                <w:szCs w:val="18"/>
              </w:rPr>
            </w:pPr>
            <w:r>
              <w:rPr>
                <w:rFonts w:hint="default" w:ascii="Arial" w:hAnsi="Arial" w:eastAsia="宋体" w:cs="Arial"/>
                <w:sz w:val="18"/>
                <w:szCs w:val="18"/>
              </w:rPr>
              <w:t>8</w:t>
            </w:r>
          </w:p>
        </w:tc>
        <w:tc>
          <w:tcPr>
            <w:tcW w:w="2540" w:type="pct"/>
            <w:vAlign w:val="center"/>
          </w:tcPr>
          <w:p w14:paraId="54B918A8">
            <w:pPr>
              <w:autoSpaceDE w:val="0"/>
              <w:autoSpaceDN w:val="0"/>
              <w:rPr>
                <w:rFonts w:hint="default" w:ascii="Arial" w:hAnsi="Arial" w:eastAsia="宋体" w:cs="Arial"/>
                <w:sz w:val="18"/>
                <w:szCs w:val="18"/>
              </w:rPr>
            </w:pPr>
            <w:r>
              <w:rPr>
                <w:rFonts w:hint="default" w:ascii="Arial" w:hAnsi="Arial" w:eastAsia="宋体" w:cs="Arial"/>
                <w:sz w:val="18"/>
                <w:szCs w:val="18"/>
              </w:rPr>
              <w:t>禁止在《长江岸线保护和开发利用总体规划》划定的岸线保护区和保留区内投资建设除事关公共安全及公众利益的防洪护岸、河道治理、供水、生态环境保护、国家重要基础设施以外的项目。</w:t>
            </w:r>
          </w:p>
        </w:tc>
        <w:tc>
          <w:tcPr>
            <w:tcW w:w="1410" w:type="pct"/>
            <w:vAlign w:val="center"/>
          </w:tcPr>
          <w:p w14:paraId="2C7A0F4D">
            <w:pPr>
              <w:autoSpaceDE w:val="0"/>
              <w:autoSpaceDN w:val="0"/>
              <w:rPr>
                <w:rFonts w:hint="default" w:ascii="Arial" w:hAnsi="Arial" w:eastAsia="宋体" w:cs="Arial"/>
                <w:sz w:val="18"/>
                <w:szCs w:val="18"/>
              </w:rPr>
            </w:pPr>
            <w:r>
              <w:rPr>
                <w:rFonts w:hint="default" w:ascii="Arial" w:hAnsi="Arial" w:eastAsia="宋体" w:cs="Arial"/>
                <w:sz w:val="18"/>
                <w:szCs w:val="18"/>
              </w:rPr>
              <w:t>不在《长江岸线保护和开发利用总体规划》划定的岸线保护区和保留区。</w:t>
            </w:r>
          </w:p>
        </w:tc>
        <w:tc>
          <w:tcPr>
            <w:tcW w:w="503" w:type="pct"/>
            <w:vAlign w:val="center"/>
          </w:tcPr>
          <w:p w14:paraId="1B6205C6">
            <w:pPr>
              <w:jc w:val="center"/>
              <w:rPr>
                <w:rFonts w:hint="default" w:ascii="Arial" w:hAnsi="Arial" w:eastAsia="宋体" w:cs="Arial"/>
                <w:sz w:val="18"/>
                <w:szCs w:val="18"/>
              </w:rPr>
            </w:pPr>
            <w:r>
              <w:rPr>
                <w:rFonts w:hint="default" w:ascii="Arial" w:hAnsi="Arial" w:eastAsia="宋体" w:cs="Arial"/>
                <w:sz w:val="18"/>
                <w:szCs w:val="18"/>
              </w:rPr>
              <w:t>符合</w:t>
            </w:r>
          </w:p>
        </w:tc>
      </w:tr>
      <w:tr w14:paraId="1B73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505040C3">
            <w:pPr>
              <w:jc w:val="center"/>
              <w:rPr>
                <w:rFonts w:hint="default" w:ascii="Arial" w:hAnsi="Arial" w:eastAsia="宋体" w:cs="Arial"/>
                <w:sz w:val="18"/>
                <w:szCs w:val="18"/>
              </w:rPr>
            </w:pPr>
            <w:r>
              <w:rPr>
                <w:rFonts w:hint="default" w:ascii="Arial" w:hAnsi="Arial" w:eastAsia="宋体" w:cs="Arial"/>
                <w:sz w:val="18"/>
                <w:szCs w:val="18"/>
              </w:rPr>
              <w:t>9</w:t>
            </w:r>
          </w:p>
        </w:tc>
        <w:tc>
          <w:tcPr>
            <w:tcW w:w="2540" w:type="pct"/>
            <w:vAlign w:val="center"/>
          </w:tcPr>
          <w:p w14:paraId="1C82F757">
            <w:pPr>
              <w:jc w:val="left"/>
              <w:rPr>
                <w:rFonts w:hint="default" w:ascii="Arial" w:hAnsi="Arial" w:eastAsia="宋体" w:cs="Arial"/>
                <w:sz w:val="18"/>
                <w:szCs w:val="18"/>
              </w:rPr>
            </w:pPr>
            <w:r>
              <w:rPr>
                <w:rFonts w:hint="default" w:ascii="Arial" w:hAnsi="Arial" w:eastAsia="宋体" w:cs="Arial"/>
                <w:sz w:val="18"/>
                <w:szCs w:val="18"/>
              </w:rPr>
              <w:t>禁止在《全国重要江河湖泊水功能区划》划定的河段及湖泊保护区、保留区内投资建设不利于水资源及自然生态保护的项目。</w:t>
            </w:r>
          </w:p>
        </w:tc>
        <w:tc>
          <w:tcPr>
            <w:tcW w:w="1410" w:type="pct"/>
            <w:vAlign w:val="center"/>
          </w:tcPr>
          <w:p w14:paraId="407E49EF">
            <w:pPr>
              <w:jc w:val="center"/>
              <w:rPr>
                <w:rFonts w:hint="default" w:ascii="Arial" w:hAnsi="Arial" w:eastAsia="宋体" w:cs="Arial"/>
                <w:sz w:val="18"/>
                <w:szCs w:val="18"/>
              </w:rPr>
            </w:pPr>
            <w:r>
              <w:rPr>
                <w:rFonts w:hint="default" w:ascii="Arial" w:hAnsi="Arial" w:eastAsia="宋体" w:cs="Arial"/>
                <w:sz w:val="18"/>
                <w:szCs w:val="18"/>
              </w:rPr>
              <w:t>不在《全国重要江河湖泊水功能区划》划定的河段及湖泊保护区、保留区范围内。</w:t>
            </w:r>
          </w:p>
        </w:tc>
        <w:tc>
          <w:tcPr>
            <w:tcW w:w="503" w:type="pct"/>
            <w:vAlign w:val="center"/>
          </w:tcPr>
          <w:p w14:paraId="2B4DB2D0">
            <w:pPr>
              <w:jc w:val="center"/>
              <w:rPr>
                <w:rFonts w:hint="default" w:ascii="Arial" w:hAnsi="Arial" w:eastAsia="宋体" w:cs="Arial"/>
                <w:sz w:val="18"/>
                <w:szCs w:val="18"/>
              </w:rPr>
            </w:pPr>
            <w:r>
              <w:rPr>
                <w:rFonts w:hint="default" w:ascii="Arial" w:hAnsi="Arial" w:eastAsia="宋体" w:cs="Arial"/>
                <w:sz w:val="18"/>
                <w:szCs w:val="18"/>
              </w:rPr>
              <w:t>符合</w:t>
            </w:r>
          </w:p>
        </w:tc>
      </w:tr>
      <w:tr w14:paraId="3965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52D74B49">
            <w:pPr>
              <w:jc w:val="center"/>
              <w:rPr>
                <w:rFonts w:hint="default" w:ascii="Arial" w:hAnsi="Arial" w:eastAsia="宋体" w:cs="Arial"/>
                <w:sz w:val="18"/>
                <w:szCs w:val="18"/>
              </w:rPr>
            </w:pPr>
            <w:r>
              <w:rPr>
                <w:rFonts w:hint="default" w:ascii="Arial" w:hAnsi="Arial" w:eastAsia="宋体" w:cs="Arial"/>
                <w:sz w:val="18"/>
                <w:szCs w:val="18"/>
              </w:rPr>
              <w:t>10</w:t>
            </w:r>
          </w:p>
        </w:tc>
        <w:tc>
          <w:tcPr>
            <w:tcW w:w="2540" w:type="pct"/>
            <w:vAlign w:val="center"/>
          </w:tcPr>
          <w:p w14:paraId="600341F3">
            <w:pPr>
              <w:autoSpaceDE w:val="0"/>
              <w:autoSpaceDN w:val="0"/>
              <w:rPr>
                <w:rFonts w:hint="default" w:ascii="Arial" w:hAnsi="Arial" w:eastAsia="宋体" w:cs="Arial"/>
                <w:sz w:val="18"/>
                <w:szCs w:val="18"/>
              </w:rPr>
            </w:pPr>
            <w:r>
              <w:rPr>
                <w:rFonts w:hint="default" w:ascii="Arial" w:hAnsi="Arial" w:eastAsia="宋体" w:cs="Arial"/>
                <w:sz w:val="18"/>
                <w:szCs w:val="18"/>
              </w:rPr>
              <w:t>禁止未经许可在长江支流及湖泊新设、改设或扩大排污口。</w:t>
            </w:r>
          </w:p>
        </w:tc>
        <w:tc>
          <w:tcPr>
            <w:tcW w:w="1410" w:type="pct"/>
            <w:vAlign w:val="center"/>
          </w:tcPr>
          <w:p w14:paraId="14849524">
            <w:pPr>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11DD920D">
            <w:pPr>
              <w:jc w:val="center"/>
              <w:rPr>
                <w:rFonts w:hint="default" w:ascii="Arial" w:hAnsi="Arial" w:eastAsia="宋体" w:cs="Arial"/>
                <w:sz w:val="18"/>
                <w:szCs w:val="18"/>
              </w:rPr>
            </w:pPr>
            <w:r>
              <w:rPr>
                <w:rFonts w:hint="default" w:ascii="Arial" w:hAnsi="Arial" w:eastAsia="宋体" w:cs="Arial"/>
                <w:sz w:val="18"/>
                <w:szCs w:val="18"/>
              </w:rPr>
              <w:t>符合</w:t>
            </w:r>
          </w:p>
        </w:tc>
      </w:tr>
      <w:tr w14:paraId="65CA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5" w:type="pct"/>
            <w:vAlign w:val="center"/>
          </w:tcPr>
          <w:p w14:paraId="3BA87F40">
            <w:pPr>
              <w:jc w:val="center"/>
              <w:rPr>
                <w:rFonts w:hint="default" w:ascii="Arial" w:hAnsi="Arial" w:eastAsia="宋体" w:cs="Arial"/>
                <w:sz w:val="18"/>
                <w:szCs w:val="18"/>
              </w:rPr>
            </w:pPr>
            <w:r>
              <w:rPr>
                <w:rFonts w:hint="default" w:ascii="Arial" w:hAnsi="Arial" w:eastAsia="宋体" w:cs="Arial"/>
                <w:sz w:val="18"/>
                <w:szCs w:val="18"/>
              </w:rPr>
              <w:t>11</w:t>
            </w:r>
          </w:p>
        </w:tc>
        <w:tc>
          <w:tcPr>
            <w:tcW w:w="2540" w:type="pct"/>
            <w:vAlign w:val="center"/>
          </w:tcPr>
          <w:p w14:paraId="72E4E503">
            <w:pPr>
              <w:autoSpaceDE w:val="0"/>
              <w:autoSpaceDN w:val="0"/>
              <w:rPr>
                <w:rFonts w:hint="default" w:ascii="Arial" w:hAnsi="Arial" w:eastAsia="宋体" w:cs="Arial"/>
                <w:sz w:val="18"/>
                <w:szCs w:val="18"/>
              </w:rPr>
            </w:pPr>
            <w:r>
              <w:rPr>
                <w:rFonts w:hint="default" w:ascii="Arial" w:hAnsi="Arial" w:eastAsia="宋体" w:cs="Arial"/>
                <w:sz w:val="18"/>
                <w:szCs w:val="18"/>
              </w:rPr>
              <w:t>禁止在长江支流、太湖等重要岸线一公里范围内新建、扩建化工园区和化工项目。</w:t>
            </w:r>
          </w:p>
        </w:tc>
        <w:tc>
          <w:tcPr>
            <w:tcW w:w="1410" w:type="pct"/>
            <w:vMerge w:val="restart"/>
            <w:vAlign w:val="center"/>
          </w:tcPr>
          <w:p w14:paraId="0291A0F7">
            <w:pPr>
              <w:jc w:val="center"/>
              <w:rPr>
                <w:rFonts w:hint="default" w:ascii="Arial" w:hAnsi="Arial" w:eastAsia="宋体" w:cs="Arial"/>
                <w:sz w:val="18"/>
                <w:szCs w:val="18"/>
              </w:rPr>
            </w:pPr>
            <w:r>
              <w:rPr>
                <w:rFonts w:hint="default" w:ascii="Arial" w:hAnsi="Arial" w:eastAsia="宋体" w:cs="Arial"/>
                <w:sz w:val="18"/>
                <w:szCs w:val="18"/>
              </w:rPr>
              <w:t>不在长江重要支流岸线一公里范围内，也不涉及尾矿库、冶炼渣库和磷石膏库。</w:t>
            </w:r>
          </w:p>
        </w:tc>
        <w:tc>
          <w:tcPr>
            <w:tcW w:w="503" w:type="pct"/>
            <w:vMerge w:val="restart"/>
            <w:vAlign w:val="center"/>
          </w:tcPr>
          <w:p w14:paraId="4023536A">
            <w:pPr>
              <w:jc w:val="center"/>
              <w:rPr>
                <w:rFonts w:hint="default" w:ascii="Arial" w:hAnsi="Arial" w:eastAsia="宋体" w:cs="Arial"/>
                <w:sz w:val="18"/>
                <w:szCs w:val="18"/>
              </w:rPr>
            </w:pPr>
            <w:r>
              <w:rPr>
                <w:rFonts w:hint="default" w:ascii="Arial" w:hAnsi="Arial" w:eastAsia="宋体" w:cs="Arial"/>
                <w:sz w:val="18"/>
                <w:szCs w:val="18"/>
              </w:rPr>
              <w:t>符合</w:t>
            </w:r>
          </w:p>
        </w:tc>
      </w:tr>
      <w:tr w14:paraId="2D18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35B077BD">
            <w:pPr>
              <w:jc w:val="center"/>
              <w:rPr>
                <w:rFonts w:hint="default" w:ascii="Arial" w:hAnsi="Arial" w:eastAsia="宋体" w:cs="Arial"/>
                <w:sz w:val="18"/>
                <w:szCs w:val="18"/>
              </w:rPr>
            </w:pPr>
            <w:r>
              <w:rPr>
                <w:rFonts w:hint="default" w:ascii="Arial" w:hAnsi="Arial" w:eastAsia="宋体" w:cs="Arial"/>
                <w:sz w:val="18"/>
                <w:szCs w:val="18"/>
              </w:rPr>
              <w:t>12</w:t>
            </w:r>
          </w:p>
        </w:tc>
        <w:tc>
          <w:tcPr>
            <w:tcW w:w="2540" w:type="pct"/>
            <w:vAlign w:val="center"/>
          </w:tcPr>
          <w:p w14:paraId="7F3D465C">
            <w:pPr>
              <w:autoSpaceDE w:val="0"/>
              <w:autoSpaceDN w:val="0"/>
              <w:rPr>
                <w:rFonts w:hint="default" w:ascii="Arial" w:hAnsi="Arial" w:eastAsia="宋体" w:cs="Arial"/>
                <w:sz w:val="18"/>
                <w:szCs w:val="18"/>
              </w:rPr>
            </w:pPr>
            <w:r>
              <w:rPr>
                <w:rFonts w:hint="default" w:ascii="Arial" w:hAnsi="Arial" w:eastAsia="宋体" w:cs="Arial"/>
                <w:sz w:val="18"/>
                <w:szCs w:val="18"/>
              </w:rPr>
              <w:t>禁止在长江重要支流岸线一公里范围内新建、改建、扩建尾矿库、冶炼渣库和磷石膏库，以提升安全、生态环境保护水平为目的的改扩建除外。</w:t>
            </w:r>
          </w:p>
        </w:tc>
        <w:tc>
          <w:tcPr>
            <w:tcW w:w="1410" w:type="pct"/>
            <w:vMerge w:val="continue"/>
            <w:vAlign w:val="center"/>
          </w:tcPr>
          <w:p w14:paraId="3FB83AAE">
            <w:pPr>
              <w:jc w:val="center"/>
              <w:rPr>
                <w:rFonts w:hint="default" w:ascii="Arial" w:hAnsi="Arial" w:eastAsia="宋体" w:cs="Arial"/>
                <w:sz w:val="18"/>
                <w:szCs w:val="18"/>
              </w:rPr>
            </w:pPr>
          </w:p>
        </w:tc>
        <w:tc>
          <w:tcPr>
            <w:tcW w:w="503" w:type="pct"/>
            <w:vMerge w:val="continue"/>
            <w:vAlign w:val="center"/>
          </w:tcPr>
          <w:p w14:paraId="4A16F876">
            <w:pPr>
              <w:jc w:val="center"/>
              <w:rPr>
                <w:rFonts w:hint="default" w:ascii="Arial" w:hAnsi="Arial" w:eastAsia="宋体" w:cs="Arial"/>
                <w:sz w:val="18"/>
                <w:szCs w:val="18"/>
              </w:rPr>
            </w:pPr>
          </w:p>
        </w:tc>
      </w:tr>
      <w:tr w14:paraId="233F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69F6AE6E">
            <w:pPr>
              <w:jc w:val="center"/>
              <w:rPr>
                <w:rFonts w:hint="default" w:ascii="Arial" w:hAnsi="Arial" w:eastAsia="宋体" w:cs="Arial"/>
                <w:sz w:val="18"/>
                <w:szCs w:val="18"/>
              </w:rPr>
            </w:pPr>
            <w:r>
              <w:rPr>
                <w:rFonts w:hint="default" w:ascii="Arial" w:hAnsi="Arial" w:eastAsia="宋体" w:cs="Arial"/>
                <w:sz w:val="18"/>
                <w:szCs w:val="18"/>
              </w:rPr>
              <w:t>13</w:t>
            </w:r>
          </w:p>
        </w:tc>
        <w:tc>
          <w:tcPr>
            <w:tcW w:w="2540" w:type="pct"/>
            <w:vAlign w:val="center"/>
          </w:tcPr>
          <w:p w14:paraId="09533D2B">
            <w:pPr>
              <w:autoSpaceDE w:val="0"/>
              <w:autoSpaceDN w:val="0"/>
              <w:rPr>
                <w:rFonts w:hint="default" w:ascii="Arial" w:hAnsi="Arial" w:eastAsia="宋体" w:cs="Arial"/>
                <w:sz w:val="18"/>
                <w:szCs w:val="18"/>
              </w:rPr>
            </w:pPr>
            <w:r>
              <w:rPr>
                <w:rFonts w:hint="default" w:ascii="Arial" w:hAnsi="Arial" w:eastAsia="宋体" w:cs="Arial"/>
                <w:sz w:val="18"/>
                <w:szCs w:val="18"/>
              </w:rPr>
              <w:t>禁止在合规园区外新建、扩建钢铁、石化、化工、焦化、建材、有色、制浆造纸等高污染项目。高污染项目清单参照生态环境部《环境保护综合目录》中的高污染产品目录执行。</w:t>
            </w:r>
          </w:p>
        </w:tc>
        <w:tc>
          <w:tcPr>
            <w:tcW w:w="1410" w:type="pct"/>
            <w:vAlign w:val="center"/>
          </w:tcPr>
          <w:p w14:paraId="23E31785">
            <w:pPr>
              <w:jc w:val="center"/>
              <w:rPr>
                <w:rFonts w:hint="default" w:ascii="Arial" w:hAnsi="Arial" w:eastAsia="宋体" w:cs="Arial"/>
                <w:sz w:val="18"/>
                <w:szCs w:val="18"/>
              </w:rPr>
            </w:pPr>
            <w:r>
              <w:rPr>
                <w:rFonts w:hint="default" w:ascii="Arial" w:hAnsi="Arial" w:eastAsia="宋体" w:cs="Arial"/>
                <w:sz w:val="18"/>
                <w:szCs w:val="18"/>
              </w:rPr>
              <w:t>不属于钢铁、石化、化工、焦化、建材、有色、制浆造纸等高污染项目。</w:t>
            </w:r>
          </w:p>
        </w:tc>
        <w:tc>
          <w:tcPr>
            <w:tcW w:w="503" w:type="pct"/>
            <w:vAlign w:val="center"/>
          </w:tcPr>
          <w:p w14:paraId="1A9978CC">
            <w:pPr>
              <w:jc w:val="center"/>
              <w:rPr>
                <w:rFonts w:hint="default" w:ascii="Arial" w:hAnsi="Arial" w:eastAsia="宋体" w:cs="Arial"/>
                <w:sz w:val="18"/>
                <w:szCs w:val="18"/>
              </w:rPr>
            </w:pPr>
            <w:r>
              <w:rPr>
                <w:rFonts w:hint="default" w:ascii="Arial" w:hAnsi="Arial" w:eastAsia="宋体" w:cs="Arial"/>
                <w:sz w:val="18"/>
                <w:szCs w:val="18"/>
              </w:rPr>
              <w:t>符合</w:t>
            </w:r>
          </w:p>
        </w:tc>
      </w:tr>
      <w:tr w14:paraId="1675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615FAC64">
            <w:pPr>
              <w:jc w:val="center"/>
              <w:rPr>
                <w:rFonts w:hint="default" w:ascii="Arial" w:hAnsi="Arial" w:eastAsia="宋体" w:cs="Arial"/>
                <w:sz w:val="18"/>
                <w:szCs w:val="18"/>
              </w:rPr>
            </w:pPr>
            <w:r>
              <w:rPr>
                <w:rFonts w:hint="default" w:ascii="Arial" w:hAnsi="Arial" w:eastAsia="宋体" w:cs="Arial"/>
                <w:sz w:val="18"/>
                <w:szCs w:val="18"/>
              </w:rPr>
              <w:t>14</w:t>
            </w:r>
          </w:p>
        </w:tc>
        <w:tc>
          <w:tcPr>
            <w:tcW w:w="2540" w:type="pct"/>
            <w:vAlign w:val="center"/>
          </w:tcPr>
          <w:p w14:paraId="189639C9">
            <w:pPr>
              <w:autoSpaceDE w:val="0"/>
              <w:autoSpaceDN w:val="0"/>
              <w:rPr>
                <w:rFonts w:hint="default" w:ascii="Arial" w:hAnsi="Arial" w:eastAsia="宋体" w:cs="Arial"/>
                <w:sz w:val="18"/>
                <w:szCs w:val="18"/>
              </w:rPr>
            </w:pPr>
            <w:r>
              <w:rPr>
                <w:rFonts w:hint="default" w:ascii="Arial" w:hAnsi="Arial" w:eastAsia="宋体" w:cs="Arial"/>
                <w:sz w:val="18"/>
                <w:szCs w:val="18"/>
              </w:rPr>
              <w:t>禁止新建、扩建不符合国家石化、现代煤化工等产业布局规划的项目。</w:t>
            </w:r>
          </w:p>
        </w:tc>
        <w:tc>
          <w:tcPr>
            <w:tcW w:w="1410" w:type="pct"/>
            <w:vAlign w:val="center"/>
          </w:tcPr>
          <w:p w14:paraId="018362BE">
            <w:pPr>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3D540074">
            <w:pPr>
              <w:jc w:val="center"/>
              <w:rPr>
                <w:rFonts w:hint="default" w:ascii="Arial" w:hAnsi="Arial" w:eastAsia="宋体" w:cs="Arial"/>
                <w:sz w:val="18"/>
                <w:szCs w:val="18"/>
              </w:rPr>
            </w:pPr>
            <w:r>
              <w:rPr>
                <w:rFonts w:hint="default" w:ascii="Arial" w:hAnsi="Arial" w:eastAsia="宋体" w:cs="Arial"/>
                <w:sz w:val="18"/>
                <w:szCs w:val="18"/>
              </w:rPr>
              <w:t>符合</w:t>
            </w:r>
          </w:p>
        </w:tc>
      </w:tr>
      <w:tr w14:paraId="366D9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5" w:type="pct"/>
            <w:vAlign w:val="center"/>
          </w:tcPr>
          <w:p w14:paraId="5751B433">
            <w:pPr>
              <w:jc w:val="center"/>
              <w:rPr>
                <w:rFonts w:hint="default" w:ascii="Arial" w:hAnsi="Arial" w:eastAsia="宋体" w:cs="Arial"/>
                <w:sz w:val="18"/>
                <w:szCs w:val="18"/>
              </w:rPr>
            </w:pPr>
            <w:r>
              <w:rPr>
                <w:rFonts w:hint="default" w:ascii="Arial" w:hAnsi="Arial" w:eastAsia="宋体" w:cs="Arial"/>
                <w:sz w:val="18"/>
                <w:szCs w:val="18"/>
              </w:rPr>
              <w:t>15</w:t>
            </w:r>
          </w:p>
        </w:tc>
        <w:tc>
          <w:tcPr>
            <w:tcW w:w="2540" w:type="pct"/>
            <w:vAlign w:val="center"/>
          </w:tcPr>
          <w:p w14:paraId="4F977A44">
            <w:pPr>
              <w:autoSpaceDE w:val="0"/>
              <w:autoSpaceDN w:val="0"/>
              <w:rPr>
                <w:rFonts w:hint="default" w:ascii="Arial" w:hAnsi="Arial" w:eastAsia="宋体" w:cs="Arial"/>
                <w:sz w:val="18"/>
                <w:szCs w:val="18"/>
              </w:rPr>
            </w:pPr>
            <w:r>
              <w:rPr>
                <w:rFonts w:hint="default" w:ascii="Arial" w:hAnsi="Arial" w:eastAsia="宋体" w:cs="Arial"/>
                <w:sz w:val="18"/>
                <w:szCs w:val="18"/>
              </w:rPr>
              <w:t>禁止新建、扩建法律法规和相关政策明令禁止的落后产能项目，对列入《产业结构调整指导目录》淘汰类中的落后生产工艺装备、落后产品投资项目，列入《外商投资准入特别管理措施(负面清单)》的外商投资项目，一律不得核准、备案。禁止向落后产能项目和严重过剩产能行业项目供应土地。</w:t>
            </w:r>
          </w:p>
        </w:tc>
        <w:tc>
          <w:tcPr>
            <w:tcW w:w="1410" w:type="pct"/>
            <w:vAlign w:val="center"/>
          </w:tcPr>
          <w:p w14:paraId="0BF29B38">
            <w:pPr>
              <w:jc w:val="center"/>
              <w:rPr>
                <w:rFonts w:hint="default" w:ascii="Arial" w:hAnsi="Arial" w:eastAsia="宋体" w:cs="Arial"/>
                <w:sz w:val="18"/>
                <w:szCs w:val="18"/>
              </w:rPr>
            </w:pPr>
            <w:r>
              <w:rPr>
                <w:rFonts w:hint="default" w:ascii="Arial" w:hAnsi="Arial" w:eastAsia="宋体" w:cs="Arial"/>
                <w:sz w:val="18"/>
                <w:szCs w:val="18"/>
              </w:rPr>
              <w:t>不属于《产业结构调整指导目录》淘汰类中的落后生产工艺装备、落后产品投资项目以及《外商投资准入特别管理措施(负面清单)》的项目，也不属于落后产能项目和严重过剩产能行业项目。</w:t>
            </w:r>
          </w:p>
        </w:tc>
        <w:tc>
          <w:tcPr>
            <w:tcW w:w="503" w:type="pct"/>
            <w:vAlign w:val="center"/>
          </w:tcPr>
          <w:p w14:paraId="6D55D051">
            <w:pPr>
              <w:jc w:val="center"/>
              <w:rPr>
                <w:rFonts w:hint="default" w:ascii="Arial" w:hAnsi="Arial" w:eastAsia="宋体" w:cs="Arial"/>
                <w:sz w:val="18"/>
                <w:szCs w:val="18"/>
              </w:rPr>
            </w:pPr>
            <w:r>
              <w:rPr>
                <w:rFonts w:hint="default" w:ascii="Arial" w:hAnsi="Arial" w:eastAsia="宋体" w:cs="Arial"/>
                <w:sz w:val="18"/>
                <w:szCs w:val="18"/>
              </w:rPr>
              <w:t>符合</w:t>
            </w:r>
          </w:p>
        </w:tc>
      </w:tr>
      <w:tr w14:paraId="3AE1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6CE98763">
            <w:pPr>
              <w:jc w:val="center"/>
              <w:rPr>
                <w:rFonts w:hint="default" w:ascii="Arial" w:hAnsi="Arial" w:eastAsia="宋体" w:cs="Arial"/>
                <w:sz w:val="18"/>
                <w:szCs w:val="18"/>
              </w:rPr>
            </w:pPr>
            <w:r>
              <w:rPr>
                <w:rFonts w:hint="default" w:ascii="Arial" w:hAnsi="Arial" w:eastAsia="宋体" w:cs="Arial"/>
                <w:sz w:val="18"/>
                <w:szCs w:val="18"/>
              </w:rPr>
              <w:t>16</w:t>
            </w:r>
          </w:p>
        </w:tc>
        <w:tc>
          <w:tcPr>
            <w:tcW w:w="2540" w:type="pct"/>
            <w:vAlign w:val="center"/>
          </w:tcPr>
          <w:p w14:paraId="15EEB66A">
            <w:pPr>
              <w:autoSpaceDE w:val="0"/>
              <w:autoSpaceDN w:val="0"/>
              <w:rPr>
                <w:rFonts w:hint="default" w:ascii="Arial" w:hAnsi="Arial" w:eastAsia="宋体" w:cs="Arial"/>
                <w:sz w:val="18"/>
                <w:szCs w:val="18"/>
              </w:rPr>
            </w:pPr>
            <w:r>
              <w:rPr>
                <w:rFonts w:hint="default" w:ascii="Arial" w:hAnsi="Arial" w:eastAsia="宋体" w:cs="Arial"/>
                <w:sz w:val="18"/>
                <w:szCs w:val="18"/>
              </w:rPr>
              <w:t>禁止新建、扩建不符合国家产能置换要求的严重过剩产能行业的项目。部门、机构禁止办理相关的土地(海域)供应、能评、环评审批和新增授信支持等业务。</w:t>
            </w:r>
          </w:p>
        </w:tc>
        <w:tc>
          <w:tcPr>
            <w:tcW w:w="1410" w:type="pct"/>
            <w:vAlign w:val="center"/>
          </w:tcPr>
          <w:p w14:paraId="42B7E833">
            <w:pPr>
              <w:jc w:val="center"/>
              <w:rPr>
                <w:rFonts w:hint="default" w:ascii="Arial" w:hAnsi="Arial" w:eastAsia="宋体" w:cs="Arial"/>
                <w:sz w:val="18"/>
                <w:szCs w:val="18"/>
              </w:rPr>
            </w:pPr>
            <w:r>
              <w:rPr>
                <w:rFonts w:hint="default" w:ascii="Arial" w:hAnsi="Arial" w:eastAsia="宋体" w:cs="Arial"/>
                <w:sz w:val="18"/>
                <w:szCs w:val="18"/>
              </w:rPr>
              <w:t>不属于国家产能置换要求的严重过剩产能行业的项目。</w:t>
            </w:r>
          </w:p>
        </w:tc>
        <w:tc>
          <w:tcPr>
            <w:tcW w:w="503" w:type="pct"/>
            <w:vAlign w:val="center"/>
          </w:tcPr>
          <w:p w14:paraId="2DE9E637">
            <w:pPr>
              <w:jc w:val="center"/>
              <w:rPr>
                <w:rFonts w:hint="default" w:ascii="Arial" w:hAnsi="Arial" w:eastAsia="宋体" w:cs="Arial"/>
                <w:sz w:val="18"/>
                <w:szCs w:val="18"/>
              </w:rPr>
            </w:pPr>
            <w:r>
              <w:rPr>
                <w:rFonts w:hint="default" w:ascii="Arial" w:hAnsi="Arial" w:eastAsia="宋体" w:cs="Arial"/>
                <w:sz w:val="18"/>
                <w:szCs w:val="18"/>
              </w:rPr>
              <w:t>符合</w:t>
            </w:r>
          </w:p>
        </w:tc>
      </w:tr>
      <w:tr w14:paraId="0017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0803685B">
            <w:pPr>
              <w:jc w:val="center"/>
              <w:rPr>
                <w:rFonts w:hint="default" w:ascii="Arial" w:hAnsi="Arial" w:eastAsia="宋体" w:cs="Arial"/>
                <w:sz w:val="18"/>
                <w:szCs w:val="18"/>
              </w:rPr>
            </w:pPr>
            <w:r>
              <w:rPr>
                <w:rFonts w:hint="default" w:ascii="Arial" w:hAnsi="Arial" w:eastAsia="宋体" w:cs="Arial"/>
                <w:sz w:val="18"/>
                <w:szCs w:val="18"/>
              </w:rPr>
              <w:t>17</w:t>
            </w:r>
          </w:p>
        </w:tc>
        <w:tc>
          <w:tcPr>
            <w:tcW w:w="2540" w:type="pct"/>
            <w:vAlign w:val="center"/>
          </w:tcPr>
          <w:p w14:paraId="6FA0D398">
            <w:pPr>
              <w:autoSpaceDE w:val="0"/>
              <w:autoSpaceDN w:val="0"/>
              <w:rPr>
                <w:rFonts w:hint="default" w:ascii="Arial" w:hAnsi="Arial" w:eastAsia="宋体" w:cs="Arial"/>
                <w:sz w:val="18"/>
                <w:szCs w:val="18"/>
              </w:rPr>
            </w:pPr>
            <w:r>
              <w:rPr>
                <w:rFonts w:hint="default" w:ascii="Arial" w:hAnsi="Arial" w:eastAsia="宋体" w:cs="Arial"/>
                <w:sz w:val="18"/>
                <w:szCs w:val="18"/>
              </w:rPr>
              <w:t>禁止新建、扩建不符合要求的高耗能高排放项目。</w:t>
            </w:r>
          </w:p>
        </w:tc>
        <w:tc>
          <w:tcPr>
            <w:tcW w:w="1410" w:type="pct"/>
            <w:vAlign w:val="center"/>
          </w:tcPr>
          <w:p w14:paraId="7AB36088">
            <w:pPr>
              <w:jc w:val="center"/>
              <w:rPr>
                <w:rFonts w:hint="default" w:ascii="Arial" w:hAnsi="Arial" w:eastAsia="宋体" w:cs="Arial"/>
                <w:sz w:val="18"/>
                <w:szCs w:val="18"/>
              </w:rPr>
            </w:pPr>
            <w:r>
              <w:rPr>
                <w:rFonts w:hint="default" w:ascii="Arial" w:hAnsi="Arial" w:eastAsia="宋体" w:cs="Arial"/>
                <w:sz w:val="18"/>
                <w:szCs w:val="18"/>
              </w:rPr>
              <w:t>不属于高耗能高排放项目。</w:t>
            </w:r>
          </w:p>
        </w:tc>
        <w:tc>
          <w:tcPr>
            <w:tcW w:w="503" w:type="pct"/>
            <w:vAlign w:val="center"/>
          </w:tcPr>
          <w:p w14:paraId="5B55885E">
            <w:pPr>
              <w:jc w:val="center"/>
              <w:rPr>
                <w:rFonts w:hint="default" w:ascii="Arial" w:hAnsi="Arial" w:eastAsia="宋体" w:cs="Arial"/>
                <w:sz w:val="18"/>
                <w:szCs w:val="18"/>
              </w:rPr>
            </w:pPr>
            <w:r>
              <w:rPr>
                <w:rFonts w:hint="default" w:ascii="Arial" w:hAnsi="Arial" w:eastAsia="宋体" w:cs="Arial"/>
                <w:sz w:val="18"/>
                <w:szCs w:val="18"/>
              </w:rPr>
              <w:t>符合</w:t>
            </w:r>
          </w:p>
        </w:tc>
      </w:tr>
      <w:tr w14:paraId="55B5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5" w:type="pct"/>
            <w:vAlign w:val="center"/>
          </w:tcPr>
          <w:p w14:paraId="65984B6B">
            <w:pPr>
              <w:jc w:val="center"/>
              <w:rPr>
                <w:rFonts w:hint="default" w:ascii="Arial" w:hAnsi="Arial" w:eastAsia="宋体" w:cs="Arial"/>
                <w:sz w:val="18"/>
                <w:szCs w:val="18"/>
              </w:rPr>
            </w:pPr>
            <w:r>
              <w:rPr>
                <w:rFonts w:hint="default" w:ascii="Arial" w:hAnsi="Arial" w:eastAsia="宋体" w:cs="Arial"/>
                <w:sz w:val="18"/>
                <w:szCs w:val="18"/>
              </w:rPr>
              <w:t>18</w:t>
            </w:r>
          </w:p>
        </w:tc>
        <w:tc>
          <w:tcPr>
            <w:tcW w:w="2540" w:type="pct"/>
            <w:vAlign w:val="center"/>
          </w:tcPr>
          <w:p w14:paraId="025BC1F9">
            <w:pPr>
              <w:autoSpaceDE w:val="0"/>
              <w:autoSpaceDN w:val="0"/>
              <w:rPr>
                <w:rFonts w:hint="default" w:ascii="Arial" w:hAnsi="Arial" w:eastAsia="宋体" w:cs="Arial"/>
                <w:sz w:val="18"/>
                <w:szCs w:val="18"/>
              </w:rPr>
            </w:pPr>
            <w:r>
              <w:rPr>
                <w:rFonts w:hint="default" w:ascii="Arial" w:hAnsi="Arial" w:eastAsia="宋体" w:cs="Arial"/>
                <w:sz w:val="18"/>
                <w:szCs w:val="18"/>
              </w:rPr>
              <w:t>禁止在水库和河湖等水利工程管理范围内堆放物料，倾倒土、石、矿渣、垃圾等物质。</w:t>
            </w:r>
          </w:p>
        </w:tc>
        <w:tc>
          <w:tcPr>
            <w:tcW w:w="1410" w:type="pct"/>
            <w:vAlign w:val="center"/>
          </w:tcPr>
          <w:p w14:paraId="56192C87">
            <w:pPr>
              <w:jc w:val="center"/>
              <w:rPr>
                <w:rFonts w:hint="default" w:ascii="Arial" w:hAnsi="Arial" w:eastAsia="宋体" w:cs="Arial"/>
                <w:sz w:val="18"/>
                <w:szCs w:val="18"/>
              </w:rPr>
            </w:pPr>
            <w:r>
              <w:rPr>
                <w:rFonts w:hint="default" w:ascii="Arial" w:hAnsi="Arial" w:eastAsia="宋体" w:cs="Arial"/>
                <w:sz w:val="18"/>
                <w:szCs w:val="18"/>
              </w:rPr>
              <w:t>不涉及。</w:t>
            </w:r>
          </w:p>
        </w:tc>
        <w:tc>
          <w:tcPr>
            <w:tcW w:w="503" w:type="pct"/>
            <w:vAlign w:val="center"/>
          </w:tcPr>
          <w:p w14:paraId="45A4F91E">
            <w:pPr>
              <w:jc w:val="center"/>
              <w:rPr>
                <w:rFonts w:hint="default" w:ascii="Arial" w:hAnsi="Arial" w:eastAsia="宋体" w:cs="Arial"/>
                <w:sz w:val="18"/>
                <w:szCs w:val="18"/>
              </w:rPr>
            </w:pPr>
            <w:r>
              <w:rPr>
                <w:rFonts w:hint="default" w:ascii="Arial" w:hAnsi="Arial" w:eastAsia="宋体" w:cs="Arial"/>
                <w:sz w:val="18"/>
                <w:szCs w:val="18"/>
              </w:rPr>
              <w:t>符合</w:t>
            </w:r>
          </w:p>
        </w:tc>
      </w:tr>
    </w:tbl>
    <w:p w14:paraId="108841A7">
      <w:pPr>
        <w:pStyle w:val="233"/>
        <w:numPr>
          <w:ilvl w:val="2"/>
          <w:numId w:val="0"/>
        </w:numPr>
        <w:ind w:left="284"/>
        <w:rPr>
          <w:rFonts w:hint="default" w:ascii="Arial" w:hAnsi="Arial" w:eastAsia="宋体" w:cs="Arial"/>
          <w:color w:val="000000"/>
        </w:rPr>
      </w:pPr>
      <w:r>
        <w:rPr>
          <w:rFonts w:hint="default" w:ascii="Arial" w:hAnsi="Arial" w:eastAsia="宋体" w:cs="Arial"/>
          <w:color w:val="000000"/>
        </w:rPr>
        <w:t>（</w:t>
      </w:r>
      <w:r>
        <w:rPr>
          <w:rFonts w:hint="default" w:ascii="Arial" w:hAnsi="Arial" w:eastAsia="宋体" w:cs="Arial"/>
          <w:color w:val="000000"/>
          <w:lang w:val="en-US" w:eastAsia="zh-CN"/>
        </w:rPr>
        <w:t>4</w:t>
      </w:r>
      <w:r>
        <w:rPr>
          <w:rFonts w:hint="default" w:ascii="Arial" w:hAnsi="Arial" w:eastAsia="宋体" w:cs="Arial"/>
          <w:color w:val="000000"/>
        </w:rPr>
        <w:t>）《浙江省环境保护厅关于印发浙江省金属表面处理（电镀除外）、有色金属、农副食品加工、砂洗、氮肥、废塑料行业污染整治提升技术规范的通知》符合性分析</w:t>
      </w:r>
    </w:p>
    <w:p w14:paraId="2B1F741B">
      <w:pPr>
        <w:adjustRightInd w:val="0"/>
        <w:snapToGrid w:val="0"/>
        <w:spacing w:before="60" w:line="360" w:lineRule="auto"/>
        <w:ind w:firstLine="480" w:firstLineChars="200"/>
        <w:jc w:val="left"/>
        <w:rPr>
          <w:rFonts w:hint="default" w:ascii="Arial" w:hAnsi="Arial" w:eastAsia="宋体" w:cs="Arial"/>
          <w:snapToGrid w:val="0"/>
          <w:color w:val="000000"/>
          <w:kern w:val="0"/>
          <w:sz w:val="24"/>
          <w:szCs w:val="24"/>
        </w:rPr>
      </w:pPr>
      <w:r>
        <w:rPr>
          <w:rFonts w:hint="default" w:ascii="Arial" w:hAnsi="Arial" w:eastAsia="宋体" w:cs="Arial"/>
          <w:snapToGrid w:val="0"/>
          <w:color w:val="000000"/>
          <w:kern w:val="0"/>
          <w:sz w:val="24"/>
          <w:szCs w:val="24"/>
        </w:rPr>
        <w:t>根据《浙江省环境保护厅关于印发浙江省金属表面处理（电镀除外）、有色金属、农副食品加工、砂洗、氮肥、废塑料行业污染整治提升技术规范的通知》（浙</w:t>
      </w:r>
      <w:r>
        <w:rPr>
          <w:rFonts w:hint="default" w:ascii="Arial" w:hAnsi="Arial" w:eastAsia="宋体" w:cs="Arial"/>
          <w:snapToGrid w:val="0"/>
          <w:color w:val="000000"/>
          <w:kern w:val="0"/>
          <w:sz w:val="24"/>
          <w:szCs w:val="24"/>
          <w:lang w:val="en-US" w:eastAsia="zh-CN"/>
        </w:rPr>
        <w:t>环发</w:t>
      </w:r>
      <w:r>
        <w:rPr>
          <w:rFonts w:hint="default" w:ascii="Arial" w:hAnsi="Arial" w:eastAsia="宋体" w:cs="Arial"/>
          <w:snapToGrid w:val="0"/>
          <w:color w:val="000000"/>
          <w:kern w:val="0"/>
          <w:sz w:val="24"/>
          <w:szCs w:val="24"/>
        </w:rPr>
        <w:t>[20</w:t>
      </w:r>
      <w:r>
        <w:rPr>
          <w:rFonts w:hint="default" w:ascii="Arial" w:hAnsi="Arial" w:eastAsia="宋体" w:cs="Arial"/>
          <w:snapToGrid w:val="0"/>
          <w:color w:val="000000"/>
          <w:kern w:val="0"/>
          <w:sz w:val="24"/>
          <w:szCs w:val="24"/>
          <w:lang w:val="en-US" w:eastAsia="zh-CN"/>
        </w:rPr>
        <w:t>18</w:t>
      </w:r>
      <w:r>
        <w:rPr>
          <w:rFonts w:hint="default" w:ascii="Arial" w:hAnsi="Arial" w:eastAsia="宋体" w:cs="Arial"/>
          <w:snapToGrid w:val="0"/>
          <w:color w:val="000000"/>
          <w:kern w:val="0"/>
          <w:sz w:val="24"/>
          <w:szCs w:val="24"/>
        </w:rPr>
        <w:t>]</w:t>
      </w:r>
      <w:r>
        <w:rPr>
          <w:rFonts w:hint="default" w:ascii="Arial" w:hAnsi="Arial" w:eastAsia="宋体" w:cs="Arial"/>
          <w:snapToGrid w:val="0"/>
          <w:color w:val="000000"/>
          <w:kern w:val="0"/>
          <w:sz w:val="24"/>
          <w:szCs w:val="24"/>
          <w:lang w:val="en-US" w:eastAsia="zh-CN"/>
        </w:rPr>
        <w:t>19</w:t>
      </w:r>
      <w:r>
        <w:rPr>
          <w:rFonts w:hint="default" w:ascii="Arial" w:hAnsi="Arial" w:eastAsia="宋体" w:cs="Arial"/>
          <w:snapToGrid w:val="0"/>
          <w:color w:val="000000"/>
          <w:kern w:val="0"/>
          <w:sz w:val="24"/>
          <w:szCs w:val="24"/>
        </w:rPr>
        <w:t>号）</w:t>
      </w:r>
      <w:r>
        <w:rPr>
          <w:rFonts w:hint="default" w:ascii="Arial" w:hAnsi="Arial" w:eastAsia="宋体" w:cs="Arial"/>
          <w:snapToGrid w:val="0"/>
          <w:color w:val="000000"/>
          <w:kern w:val="0"/>
          <w:sz w:val="24"/>
          <w:szCs w:val="24"/>
          <w:lang w:val="en-US" w:eastAsia="zh-CN"/>
        </w:rPr>
        <w:t>附表1：浙江省金属表面处理（电镀除外）行业污染整治提升技术规范</w:t>
      </w:r>
      <w:r>
        <w:rPr>
          <w:rFonts w:hint="default" w:ascii="Arial" w:hAnsi="Arial" w:eastAsia="宋体" w:cs="Arial"/>
          <w:snapToGrid w:val="0"/>
          <w:color w:val="000000"/>
          <w:kern w:val="0"/>
          <w:sz w:val="24"/>
          <w:szCs w:val="24"/>
        </w:rPr>
        <w:t>，对本项目的符合性分析如下：</w:t>
      </w:r>
    </w:p>
    <w:p w14:paraId="085F56F3">
      <w:pPr>
        <w:pStyle w:val="910"/>
        <w:keepNext w:val="0"/>
        <w:keepLines w:val="0"/>
        <w:pageBreakBefore w:val="0"/>
        <w:widowControl w:val="0"/>
        <w:numPr>
          <w:ilvl w:val="3"/>
          <w:numId w:val="4"/>
        </w:numPr>
        <w:kinsoku/>
        <w:wordWrap/>
        <w:overflowPunct/>
        <w:topLinePunct w:val="0"/>
        <w:autoSpaceDE/>
        <w:autoSpaceDN/>
        <w:bidi w:val="0"/>
        <w:adjustRightInd w:val="0"/>
        <w:snapToGrid w:val="0"/>
        <w:spacing w:before="171" w:beforeLines="50"/>
        <w:ind w:left="777" w:leftChars="0" w:right="0" w:rightChars="0" w:firstLine="0" w:firstLineChars="0"/>
        <w:textAlignment w:val="auto"/>
        <w:rPr>
          <w:rFonts w:hint="default" w:ascii="Arial" w:hAnsi="Arial" w:eastAsia="宋体" w:cs="Arial"/>
          <w:color w:val="000000"/>
        </w:rPr>
      </w:pPr>
      <w:r>
        <w:rPr>
          <w:rFonts w:hint="default" w:ascii="Arial" w:hAnsi="Arial" w:eastAsia="宋体" w:cs="Arial"/>
          <w:color w:val="000000"/>
        </w:rPr>
        <w:t>浙江省金属表面处理（电镀除外）行业污染整治提升技术规范</w:t>
      </w:r>
      <w:r>
        <w:rPr>
          <w:rFonts w:hint="default" w:ascii="Arial" w:hAnsi="Arial" w:eastAsia="宋体" w:cs="Arial"/>
          <w:color w:val="000000"/>
          <w:lang w:val="en-US" w:eastAsia="zh-CN"/>
        </w:rPr>
        <w:t>符合性</w:t>
      </w:r>
      <w:r>
        <w:rPr>
          <w:rFonts w:hint="default" w:ascii="Arial" w:hAnsi="Arial" w:eastAsia="宋体" w:cs="Arial"/>
          <w:color w:val="000000"/>
        </w:rPr>
        <w:t>分析</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751"/>
        <w:gridCol w:w="581"/>
        <w:gridCol w:w="2665"/>
        <w:gridCol w:w="2755"/>
        <w:gridCol w:w="645"/>
      </w:tblGrid>
      <w:tr w14:paraId="5D9C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shd w:val="clear" w:color="auto" w:fill="FFFFFF"/>
            <w:noWrap w:val="0"/>
            <w:vAlign w:val="center"/>
          </w:tcPr>
          <w:p w14:paraId="7EB3FE24">
            <w:pPr>
              <w:keepNext w:val="0"/>
              <w:keepLines w:val="0"/>
              <w:widowControl/>
              <w:suppressLineNumbers w:val="0"/>
              <w:jc w:val="center"/>
              <w:rPr>
                <w:rFonts w:hint="default" w:ascii="Arial" w:hAnsi="Arial" w:eastAsia="宋体" w:cs="Arial"/>
                <w:b w:val="0"/>
                <w:bCs/>
                <w:color w:val="000000"/>
                <w:sz w:val="18"/>
                <w:szCs w:val="18"/>
              </w:rPr>
            </w:pPr>
            <w:r>
              <w:rPr>
                <w:rStyle w:val="59"/>
                <w:rFonts w:hint="default" w:ascii="Arial" w:hAnsi="Arial" w:eastAsia="宋体" w:cs="Arial"/>
                <w:b w:val="0"/>
                <w:bCs/>
                <w:i w:val="0"/>
                <w:iCs w:val="0"/>
                <w:caps w:val="0"/>
                <w:color w:val="404040"/>
                <w:spacing w:val="0"/>
                <w:kern w:val="0"/>
                <w:sz w:val="18"/>
                <w:szCs w:val="18"/>
                <w:lang w:val="en-US" w:eastAsia="zh-CN" w:bidi="ar"/>
              </w:rPr>
              <w:t>类别</w:t>
            </w:r>
          </w:p>
        </w:tc>
        <w:tc>
          <w:tcPr>
            <w:tcW w:w="473" w:type="pct"/>
            <w:shd w:val="clear" w:color="auto" w:fill="FFFFFF"/>
            <w:noWrap w:val="0"/>
            <w:vAlign w:val="center"/>
          </w:tcPr>
          <w:p w14:paraId="14CE07E3">
            <w:pPr>
              <w:keepNext w:val="0"/>
              <w:keepLines w:val="0"/>
              <w:widowControl/>
              <w:suppressLineNumbers w:val="0"/>
              <w:jc w:val="center"/>
              <w:rPr>
                <w:rFonts w:hint="default" w:ascii="Arial" w:hAnsi="Arial" w:eastAsia="宋体" w:cs="Arial"/>
                <w:b w:val="0"/>
                <w:bCs/>
                <w:color w:val="000000"/>
                <w:sz w:val="18"/>
                <w:szCs w:val="18"/>
              </w:rPr>
            </w:pPr>
            <w:r>
              <w:rPr>
                <w:rStyle w:val="59"/>
                <w:rFonts w:hint="default" w:ascii="Arial" w:hAnsi="Arial" w:eastAsia="宋体" w:cs="Arial"/>
                <w:b w:val="0"/>
                <w:bCs/>
                <w:i w:val="0"/>
                <w:iCs w:val="0"/>
                <w:caps w:val="0"/>
                <w:color w:val="404040"/>
                <w:spacing w:val="0"/>
                <w:kern w:val="0"/>
                <w:sz w:val="18"/>
                <w:szCs w:val="18"/>
                <w:lang w:val="en-US" w:eastAsia="zh-CN" w:bidi="ar"/>
              </w:rPr>
              <w:t>内容</w:t>
            </w:r>
          </w:p>
        </w:tc>
        <w:tc>
          <w:tcPr>
            <w:tcW w:w="366" w:type="pct"/>
            <w:shd w:val="clear" w:color="auto" w:fill="FFFFFF"/>
            <w:noWrap w:val="0"/>
            <w:vAlign w:val="center"/>
          </w:tcPr>
          <w:p w14:paraId="6A2033C4">
            <w:pPr>
              <w:keepNext w:val="0"/>
              <w:keepLines w:val="0"/>
              <w:widowControl/>
              <w:suppressLineNumbers w:val="0"/>
              <w:jc w:val="center"/>
              <w:rPr>
                <w:rFonts w:hint="default" w:ascii="Arial" w:hAnsi="Arial" w:eastAsia="宋体" w:cs="Arial"/>
                <w:b w:val="0"/>
                <w:bCs/>
                <w:color w:val="000000"/>
                <w:sz w:val="18"/>
                <w:szCs w:val="18"/>
              </w:rPr>
            </w:pPr>
            <w:r>
              <w:rPr>
                <w:rStyle w:val="59"/>
                <w:rFonts w:hint="default" w:ascii="Arial" w:hAnsi="Arial" w:eastAsia="宋体" w:cs="Arial"/>
                <w:b w:val="0"/>
                <w:bCs/>
                <w:i w:val="0"/>
                <w:iCs w:val="0"/>
                <w:caps w:val="0"/>
                <w:color w:val="404040"/>
                <w:spacing w:val="0"/>
                <w:kern w:val="0"/>
                <w:sz w:val="18"/>
                <w:szCs w:val="18"/>
                <w:lang w:val="en-US" w:eastAsia="zh-CN" w:bidi="ar"/>
              </w:rPr>
              <w:t>序号</w:t>
            </w:r>
          </w:p>
        </w:tc>
        <w:tc>
          <w:tcPr>
            <w:tcW w:w="1678" w:type="pct"/>
            <w:shd w:val="clear" w:color="auto" w:fill="FFFFFF"/>
            <w:noWrap w:val="0"/>
            <w:vAlign w:val="center"/>
          </w:tcPr>
          <w:p w14:paraId="347FBDCB">
            <w:pPr>
              <w:keepNext w:val="0"/>
              <w:keepLines w:val="0"/>
              <w:widowControl/>
              <w:suppressLineNumbers w:val="0"/>
              <w:jc w:val="center"/>
              <w:rPr>
                <w:rFonts w:hint="default" w:ascii="Arial" w:hAnsi="Arial" w:eastAsia="宋体" w:cs="Arial"/>
                <w:b w:val="0"/>
                <w:bCs/>
                <w:color w:val="000000"/>
                <w:sz w:val="18"/>
                <w:szCs w:val="18"/>
              </w:rPr>
            </w:pPr>
            <w:r>
              <w:rPr>
                <w:rStyle w:val="59"/>
                <w:rFonts w:hint="default" w:ascii="Arial" w:hAnsi="Arial" w:eastAsia="宋体" w:cs="Arial"/>
                <w:b w:val="0"/>
                <w:bCs/>
                <w:i w:val="0"/>
                <w:iCs w:val="0"/>
                <w:caps w:val="0"/>
                <w:color w:val="404040"/>
                <w:spacing w:val="0"/>
                <w:kern w:val="0"/>
                <w:sz w:val="18"/>
                <w:szCs w:val="18"/>
                <w:lang w:val="en-US" w:eastAsia="zh-CN" w:bidi="ar"/>
              </w:rPr>
              <w:t>判断依据</w:t>
            </w:r>
          </w:p>
        </w:tc>
        <w:tc>
          <w:tcPr>
            <w:tcW w:w="2141" w:type="pct"/>
            <w:gridSpan w:val="2"/>
            <w:shd w:val="clear" w:color="auto" w:fill="FFFFFF"/>
            <w:noWrap w:val="0"/>
            <w:vAlign w:val="center"/>
          </w:tcPr>
          <w:p w14:paraId="32A06E2F">
            <w:pPr>
              <w:keepNext w:val="0"/>
              <w:keepLines w:val="0"/>
              <w:widowControl/>
              <w:suppressLineNumbers w:val="0"/>
              <w:jc w:val="center"/>
              <w:rPr>
                <w:rFonts w:hint="default" w:ascii="Arial" w:hAnsi="Arial" w:eastAsia="宋体" w:cs="Arial"/>
                <w:b w:val="0"/>
                <w:bCs/>
                <w:color w:val="000000"/>
                <w:sz w:val="18"/>
                <w:szCs w:val="18"/>
                <w:lang w:val="en-US"/>
              </w:rPr>
            </w:pPr>
            <w:r>
              <w:rPr>
                <w:rStyle w:val="59"/>
                <w:rFonts w:hint="default" w:ascii="Arial" w:hAnsi="Arial" w:eastAsia="宋体" w:cs="Arial"/>
                <w:b w:val="0"/>
                <w:bCs/>
                <w:i w:val="0"/>
                <w:iCs w:val="0"/>
                <w:caps w:val="0"/>
                <w:color w:val="404040"/>
                <w:spacing w:val="0"/>
                <w:kern w:val="0"/>
                <w:sz w:val="18"/>
                <w:szCs w:val="18"/>
                <w:lang w:val="en-US" w:eastAsia="zh-CN" w:bidi="ar"/>
              </w:rPr>
              <w:t>是否符合要求</w:t>
            </w:r>
          </w:p>
        </w:tc>
      </w:tr>
      <w:tr w14:paraId="4C9C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restart"/>
            <w:shd w:val="clear" w:color="auto" w:fill="FFFFFF"/>
            <w:noWrap w:val="0"/>
            <w:vAlign w:val="center"/>
          </w:tcPr>
          <w:p w14:paraId="03090255">
            <w:pPr>
              <w:keepNext w:val="0"/>
              <w:keepLines w:val="0"/>
              <w:widowControl/>
              <w:suppressLineNumbers w:val="0"/>
              <w:jc w:val="center"/>
              <w:rPr>
                <w:rFonts w:hint="default" w:ascii="Arial" w:hAnsi="Arial" w:eastAsia="宋体" w:cs="Arial"/>
                <w:b w:val="0"/>
                <w:bCs/>
                <w:color w:val="000000"/>
                <w:sz w:val="18"/>
                <w:szCs w:val="18"/>
              </w:rPr>
            </w:pPr>
            <w:r>
              <w:rPr>
                <w:rStyle w:val="59"/>
                <w:rFonts w:hint="default" w:ascii="Arial" w:hAnsi="Arial" w:eastAsia="宋体" w:cs="Arial"/>
                <w:b w:val="0"/>
                <w:bCs/>
                <w:i w:val="0"/>
                <w:iCs w:val="0"/>
                <w:caps w:val="0"/>
                <w:color w:val="404040"/>
                <w:spacing w:val="0"/>
                <w:kern w:val="0"/>
                <w:sz w:val="18"/>
                <w:szCs w:val="18"/>
                <w:lang w:val="en-US" w:eastAsia="zh-CN" w:bidi="ar"/>
              </w:rPr>
              <w:t>政策法规</w:t>
            </w:r>
          </w:p>
        </w:tc>
        <w:tc>
          <w:tcPr>
            <w:tcW w:w="473" w:type="pct"/>
            <w:vMerge w:val="restart"/>
            <w:shd w:val="clear" w:color="auto" w:fill="FFFFFF"/>
            <w:noWrap w:val="0"/>
            <w:vAlign w:val="center"/>
          </w:tcPr>
          <w:p w14:paraId="2DF81174">
            <w:pPr>
              <w:keepNext w:val="0"/>
              <w:keepLines w:val="0"/>
              <w:widowControl/>
              <w:suppressLineNumbers w:val="0"/>
              <w:jc w:val="center"/>
              <w:rPr>
                <w:rFonts w:hint="default" w:ascii="Arial" w:hAnsi="Arial" w:eastAsia="宋体" w:cs="Arial"/>
                <w:b w:val="0"/>
                <w:bCs/>
                <w:color w:val="000000"/>
                <w:sz w:val="18"/>
                <w:szCs w:val="18"/>
              </w:rPr>
            </w:pPr>
            <w:r>
              <w:rPr>
                <w:rStyle w:val="59"/>
                <w:rFonts w:hint="default" w:ascii="Arial" w:hAnsi="Arial" w:eastAsia="宋体" w:cs="Arial"/>
                <w:b w:val="0"/>
                <w:bCs/>
                <w:i w:val="0"/>
                <w:iCs w:val="0"/>
                <w:caps w:val="0"/>
                <w:color w:val="404040"/>
                <w:spacing w:val="0"/>
                <w:kern w:val="0"/>
                <w:sz w:val="18"/>
                <w:szCs w:val="18"/>
                <w:lang w:val="en-US" w:eastAsia="zh-CN" w:bidi="ar"/>
              </w:rPr>
              <w:t>生产合法性</w:t>
            </w:r>
          </w:p>
        </w:tc>
        <w:tc>
          <w:tcPr>
            <w:tcW w:w="366" w:type="pct"/>
            <w:shd w:val="clear" w:color="auto" w:fill="FFFFFF"/>
            <w:noWrap w:val="0"/>
            <w:vAlign w:val="center"/>
          </w:tcPr>
          <w:p w14:paraId="436D6867">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1</w:t>
            </w:r>
          </w:p>
        </w:tc>
        <w:tc>
          <w:tcPr>
            <w:tcW w:w="1678" w:type="pct"/>
            <w:shd w:val="clear" w:color="auto" w:fill="FFFFFF"/>
            <w:noWrap w:val="0"/>
            <w:vAlign w:val="center"/>
          </w:tcPr>
          <w:p w14:paraId="6A62B69C">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严格执行环境影响评价制度和“三同时”验收制度</w:t>
            </w:r>
          </w:p>
        </w:tc>
        <w:tc>
          <w:tcPr>
            <w:tcW w:w="1735" w:type="pct"/>
            <w:shd w:val="clear" w:color="auto" w:fill="FFFFFF"/>
            <w:noWrap w:val="0"/>
            <w:vAlign w:val="center"/>
          </w:tcPr>
          <w:p w14:paraId="464C78AA">
            <w:pPr>
              <w:keepNext w:val="0"/>
              <w:keepLines w:val="0"/>
              <w:widowControl/>
              <w:suppressLineNumbers w:val="0"/>
              <w:jc w:val="center"/>
              <w:rPr>
                <w:rFonts w:hint="default" w:ascii="Arial" w:hAnsi="Arial" w:eastAsia="宋体" w:cs="Arial"/>
                <w:b w:val="0"/>
                <w:bCs/>
                <w:i w:val="0"/>
                <w:iCs w:val="0"/>
                <w:caps w:val="0"/>
                <w:color w:val="404040"/>
                <w:spacing w:val="0"/>
                <w:kern w:val="0"/>
                <w:sz w:val="18"/>
                <w:szCs w:val="18"/>
                <w:lang w:val="en-US" w:eastAsia="zh-CN" w:bidi="ar"/>
              </w:rPr>
            </w:pPr>
            <w:r>
              <w:rPr>
                <w:rFonts w:hint="default" w:ascii="Arial" w:hAnsi="Arial" w:eastAsia="宋体" w:cs="Arial"/>
                <w:bCs/>
                <w:sz w:val="18"/>
                <w:szCs w:val="18"/>
              </w:rPr>
              <w:t>项目正在进行环境影响评价</w:t>
            </w:r>
            <w:r>
              <w:rPr>
                <w:rFonts w:hint="default" w:ascii="Arial" w:hAnsi="Arial" w:eastAsia="宋体" w:cs="Arial"/>
                <w:bCs/>
                <w:sz w:val="18"/>
                <w:szCs w:val="18"/>
                <w:lang w:eastAsia="zh-CN"/>
              </w:rPr>
              <w:t>，</w:t>
            </w:r>
            <w:r>
              <w:rPr>
                <w:rFonts w:hint="default" w:ascii="Arial" w:hAnsi="Arial" w:eastAsia="宋体" w:cs="Arial"/>
                <w:kern w:val="0"/>
                <w:sz w:val="18"/>
                <w:szCs w:val="18"/>
              </w:rPr>
              <w:t>严格执行环境影响评价制度和“三同时”验收制度</w:t>
            </w:r>
            <w:r>
              <w:rPr>
                <w:rFonts w:hint="default" w:ascii="Arial" w:hAnsi="Arial" w:eastAsia="宋体" w:cs="Arial"/>
                <w:kern w:val="0"/>
                <w:sz w:val="18"/>
                <w:szCs w:val="18"/>
                <w:lang w:eastAsia="zh-CN"/>
              </w:rPr>
              <w:t>。</w:t>
            </w:r>
          </w:p>
        </w:tc>
        <w:tc>
          <w:tcPr>
            <w:tcW w:w="406" w:type="pct"/>
            <w:shd w:val="clear" w:color="auto" w:fill="FFFFFF"/>
            <w:noWrap w:val="0"/>
            <w:vAlign w:val="center"/>
          </w:tcPr>
          <w:p w14:paraId="670D150D">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08A7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745C3D10">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6C040ECF">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0732C39C">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2</w:t>
            </w:r>
          </w:p>
        </w:tc>
        <w:tc>
          <w:tcPr>
            <w:tcW w:w="1678" w:type="pct"/>
            <w:shd w:val="clear" w:color="auto" w:fill="FFFFFF"/>
            <w:noWrap w:val="0"/>
            <w:vAlign w:val="center"/>
          </w:tcPr>
          <w:p w14:paraId="53DD6124">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依法申领排污许可证，严格落实企业排污主体责任</w:t>
            </w:r>
          </w:p>
        </w:tc>
        <w:tc>
          <w:tcPr>
            <w:tcW w:w="1735" w:type="pct"/>
            <w:shd w:val="clear" w:color="auto" w:fill="FFFFFF"/>
            <w:noWrap w:val="0"/>
            <w:vAlign w:val="center"/>
          </w:tcPr>
          <w:p w14:paraId="56653131">
            <w:pPr>
              <w:keepNext w:val="0"/>
              <w:keepLines w:val="0"/>
              <w:widowControl/>
              <w:suppressLineNumbers w:val="0"/>
              <w:jc w:val="center"/>
              <w:rPr>
                <w:rFonts w:hint="default" w:ascii="Arial" w:hAnsi="Arial" w:eastAsia="宋体" w:cs="Arial"/>
                <w:b w:val="0"/>
                <w:bCs/>
                <w:i w:val="0"/>
                <w:iCs w:val="0"/>
                <w:caps w:val="0"/>
                <w:color w:val="404040"/>
                <w:spacing w:val="0"/>
                <w:kern w:val="0"/>
                <w:sz w:val="18"/>
                <w:szCs w:val="18"/>
                <w:lang w:val="en-US" w:eastAsia="zh-CN" w:bidi="ar"/>
              </w:rPr>
            </w:pPr>
            <w:r>
              <w:rPr>
                <w:rFonts w:hint="default" w:ascii="Arial" w:hAnsi="Arial" w:eastAsia="宋体" w:cs="Arial"/>
                <w:bCs/>
                <w:sz w:val="18"/>
                <w:szCs w:val="18"/>
              </w:rPr>
              <w:t>项目实施后按要求</w:t>
            </w:r>
            <w:r>
              <w:rPr>
                <w:rFonts w:hint="default" w:ascii="Arial" w:hAnsi="Arial" w:eastAsia="宋体" w:cs="Arial"/>
                <w:bCs/>
                <w:sz w:val="18"/>
                <w:szCs w:val="18"/>
                <w:lang w:val="en-US" w:eastAsia="zh-CN"/>
              </w:rPr>
              <w:t>申领</w:t>
            </w:r>
            <w:r>
              <w:rPr>
                <w:rFonts w:hint="default" w:ascii="Arial" w:hAnsi="Arial" w:eastAsia="宋体" w:cs="Arial"/>
                <w:bCs/>
                <w:sz w:val="18"/>
                <w:szCs w:val="18"/>
              </w:rPr>
              <w:t>排污许可证</w:t>
            </w:r>
          </w:p>
        </w:tc>
        <w:tc>
          <w:tcPr>
            <w:tcW w:w="406" w:type="pct"/>
            <w:shd w:val="clear" w:color="auto" w:fill="FFFFFF"/>
            <w:noWrap w:val="0"/>
            <w:vAlign w:val="center"/>
          </w:tcPr>
          <w:p w14:paraId="2647F9F2">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0383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restart"/>
            <w:shd w:val="clear" w:color="auto" w:fill="FFFFFF"/>
            <w:noWrap w:val="0"/>
            <w:vAlign w:val="center"/>
          </w:tcPr>
          <w:p w14:paraId="009F9BB5">
            <w:pPr>
              <w:keepNext w:val="0"/>
              <w:keepLines w:val="0"/>
              <w:widowControl/>
              <w:suppressLineNumbers w:val="0"/>
              <w:jc w:val="center"/>
              <w:rPr>
                <w:rStyle w:val="59"/>
                <w:rFonts w:hint="default" w:ascii="Arial" w:hAnsi="Arial" w:eastAsia="宋体" w:cs="Arial"/>
                <w:b w:val="0"/>
                <w:bCs/>
                <w:i w:val="0"/>
                <w:iCs w:val="0"/>
                <w:caps w:val="0"/>
                <w:color w:val="404040"/>
                <w:spacing w:val="0"/>
                <w:kern w:val="0"/>
                <w:sz w:val="18"/>
                <w:szCs w:val="18"/>
                <w:lang w:val="en-US" w:eastAsia="zh-CN" w:bidi="ar"/>
              </w:rPr>
            </w:pPr>
            <w:r>
              <w:rPr>
                <w:rStyle w:val="59"/>
                <w:rFonts w:hint="default" w:ascii="Arial" w:hAnsi="Arial" w:eastAsia="宋体" w:cs="Arial"/>
                <w:b w:val="0"/>
                <w:bCs/>
                <w:i w:val="0"/>
                <w:iCs w:val="0"/>
                <w:caps w:val="0"/>
                <w:color w:val="404040"/>
                <w:spacing w:val="0"/>
                <w:kern w:val="0"/>
                <w:sz w:val="18"/>
                <w:szCs w:val="18"/>
                <w:lang w:val="en-US" w:eastAsia="zh-CN" w:bidi="ar"/>
              </w:rPr>
              <w:t>工艺装备/生产现场</w:t>
            </w:r>
          </w:p>
          <w:p w14:paraId="7884DC7E">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br w:type="textWrapping"/>
            </w:r>
          </w:p>
        </w:tc>
        <w:tc>
          <w:tcPr>
            <w:tcW w:w="473" w:type="pct"/>
            <w:vMerge w:val="restart"/>
            <w:shd w:val="clear" w:color="auto" w:fill="FFFFFF"/>
            <w:noWrap w:val="0"/>
            <w:vAlign w:val="center"/>
          </w:tcPr>
          <w:p w14:paraId="00C8211A">
            <w:pPr>
              <w:keepNext w:val="0"/>
              <w:keepLines w:val="0"/>
              <w:widowControl/>
              <w:suppressLineNumbers w:val="0"/>
              <w:jc w:val="center"/>
              <w:rPr>
                <w:rFonts w:hint="default" w:ascii="Arial" w:hAnsi="Arial" w:eastAsia="宋体" w:cs="Arial"/>
                <w:b w:val="0"/>
                <w:bCs/>
                <w:color w:val="000000"/>
                <w:sz w:val="18"/>
                <w:szCs w:val="18"/>
              </w:rPr>
            </w:pPr>
            <w:r>
              <w:rPr>
                <w:rStyle w:val="59"/>
                <w:rFonts w:hint="default" w:ascii="Arial" w:hAnsi="Arial" w:eastAsia="宋体" w:cs="Arial"/>
                <w:b w:val="0"/>
                <w:bCs/>
                <w:i w:val="0"/>
                <w:iCs w:val="0"/>
                <w:caps w:val="0"/>
                <w:color w:val="404040"/>
                <w:spacing w:val="0"/>
                <w:kern w:val="0"/>
                <w:sz w:val="18"/>
                <w:szCs w:val="18"/>
                <w:lang w:val="en-US" w:eastAsia="zh-CN" w:bidi="ar"/>
              </w:rPr>
              <w:t>工艺装备水平</w:t>
            </w:r>
          </w:p>
        </w:tc>
        <w:tc>
          <w:tcPr>
            <w:tcW w:w="366" w:type="pct"/>
            <w:shd w:val="clear" w:color="auto" w:fill="FFFFFF"/>
            <w:noWrap w:val="0"/>
            <w:vAlign w:val="center"/>
          </w:tcPr>
          <w:p w14:paraId="65DA7B8B">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3</w:t>
            </w:r>
          </w:p>
        </w:tc>
        <w:tc>
          <w:tcPr>
            <w:tcW w:w="1678" w:type="pct"/>
            <w:shd w:val="clear" w:color="auto" w:fill="FFFFFF"/>
            <w:noWrap w:val="0"/>
            <w:vAlign w:val="center"/>
          </w:tcPr>
          <w:p w14:paraId="63C52121">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淘汰产业结构调整指导目录中明确的落后工艺与设备</w:t>
            </w:r>
          </w:p>
        </w:tc>
        <w:tc>
          <w:tcPr>
            <w:tcW w:w="1735" w:type="pct"/>
            <w:shd w:val="clear" w:color="auto" w:fill="FFFFFF"/>
            <w:noWrap w:val="0"/>
            <w:vAlign w:val="center"/>
          </w:tcPr>
          <w:p w14:paraId="7050E3AE">
            <w:pPr>
              <w:keepNext w:val="0"/>
              <w:keepLines w:val="0"/>
              <w:widowControl/>
              <w:suppressLineNumbers w:val="0"/>
              <w:jc w:val="center"/>
              <w:rPr>
                <w:rFonts w:hint="default" w:ascii="Arial" w:hAnsi="Arial" w:eastAsia="宋体" w:cs="Arial"/>
                <w:b w:val="0"/>
                <w:bCs/>
                <w:i w:val="0"/>
                <w:iCs w:val="0"/>
                <w:caps w:val="0"/>
                <w:color w:val="404040"/>
                <w:spacing w:val="0"/>
                <w:kern w:val="0"/>
                <w:sz w:val="18"/>
                <w:szCs w:val="18"/>
                <w:lang w:val="en-US" w:eastAsia="zh-CN" w:bidi="ar"/>
              </w:rPr>
            </w:pPr>
            <w:r>
              <w:rPr>
                <w:rFonts w:hint="default" w:ascii="Arial" w:hAnsi="Arial" w:eastAsia="宋体" w:cs="Arial"/>
                <w:bCs/>
                <w:sz w:val="18"/>
                <w:szCs w:val="18"/>
              </w:rPr>
              <w:t>项目使用的工艺、设备不属于产业结构调整指导目录中明确的落后工艺与设备</w:t>
            </w:r>
          </w:p>
        </w:tc>
        <w:tc>
          <w:tcPr>
            <w:tcW w:w="406" w:type="pct"/>
            <w:shd w:val="clear" w:color="auto" w:fill="FFFFFF"/>
            <w:noWrap w:val="0"/>
            <w:vAlign w:val="center"/>
          </w:tcPr>
          <w:p w14:paraId="279D1DAC">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551C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517E8454">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050C8036">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02EC18E5">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4</w:t>
            </w:r>
          </w:p>
        </w:tc>
        <w:tc>
          <w:tcPr>
            <w:tcW w:w="1678" w:type="pct"/>
            <w:shd w:val="clear" w:color="auto" w:fill="FFFFFF"/>
            <w:noWrap w:val="0"/>
            <w:vAlign w:val="center"/>
          </w:tcPr>
          <w:p w14:paraId="3A639FDF">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鼓励使用先进的或环保的表面处理工艺技术和新设备，减少酸、碱等原料用量</w:t>
            </w:r>
          </w:p>
        </w:tc>
        <w:tc>
          <w:tcPr>
            <w:tcW w:w="1735" w:type="pct"/>
            <w:shd w:val="clear" w:color="auto" w:fill="FFFFFF"/>
            <w:noWrap w:val="0"/>
            <w:vAlign w:val="center"/>
          </w:tcPr>
          <w:p w14:paraId="3DB97541">
            <w:pPr>
              <w:keepNext w:val="0"/>
              <w:keepLines w:val="0"/>
              <w:widowControl/>
              <w:suppressLineNumbers w:val="0"/>
              <w:jc w:val="center"/>
              <w:rPr>
                <w:rFonts w:hint="default" w:ascii="Arial" w:hAnsi="Arial" w:eastAsia="宋体" w:cs="Arial"/>
                <w:b w:val="0"/>
                <w:bCs/>
                <w:i w:val="0"/>
                <w:iCs w:val="0"/>
                <w:caps w:val="0"/>
                <w:color w:val="404040"/>
                <w:spacing w:val="0"/>
                <w:kern w:val="0"/>
                <w:sz w:val="18"/>
                <w:szCs w:val="18"/>
                <w:lang w:val="en-US" w:eastAsia="zh-CN" w:bidi="ar"/>
              </w:rPr>
            </w:pPr>
            <w:r>
              <w:rPr>
                <w:rFonts w:hint="default" w:ascii="Arial" w:hAnsi="Arial" w:eastAsia="宋体" w:cs="Arial"/>
                <w:kern w:val="0"/>
                <w:sz w:val="18"/>
                <w:szCs w:val="18"/>
              </w:rPr>
              <w:t>项目</w:t>
            </w:r>
            <w:r>
              <w:rPr>
                <w:rFonts w:hint="default" w:ascii="Arial" w:hAnsi="Arial" w:eastAsia="宋体" w:cs="Arial"/>
                <w:kern w:val="0"/>
                <w:sz w:val="18"/>
                <w:szCs w:val="18"/>
                <w:lang w:val="en-US" w:eastAsia="zh-CN"/>
              </w:rPr>
              <w:t>主生产线</w:t>
            </w:r>
            <w:r>
              <w:rPr>
                <w:rFonts w:hint="default" w:ascii="Arial" w:hAnsi="Arial" w:eastAsia="宋体" w:cs="Arial"/>
                <w:kern w:val="0"/>
                <w:sz w:val="18"/>
                <w:szCs w:val="18"/>
              </w:rPr>
              <w:t>采用全自</w:t>
            </w:r>
            <w:r>
              <w:rPr>
                <w:rFonts w:hint="default" w:ascii="Arial" w:hAnsi="Arial" w:eastAsia="宋体" w:cs="Arial"/>
                <w:kern w:val="0"/>
                <w:sz w:val="18"/>
                <w:szCs w:val="18"/>
                <w:lang w:val="en-US" w:eastAsia="zh-CN"/>
              </w:rPr>
              <w:t>清洗线</w:t>
            </w:r>
          </w:p>
        </w:tc>
        <w:tc>
          <w:tcPr>
            <w:tcW w:w="406" w:type="pct"/>
            <w:shd w:val="clear" w:color="auto" w:fill="FFFFFF"/>
            <w:noWrap w:val="0"/>
            <w:vAlign w:val="center"/>
          </w:tcPr>
          <w:p w14:paraId="5F1276B6">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27D2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3C58D284">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5098B519">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35E5709F">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5</w:t>
            </w:r>
          </w:p>
        </w:tc>
        <w:tc>
          <w:tcPr>
            <w:tcW w:w="1678" w:type="pct"/>
            <w:shd w:val="clear" w:color="auto" w:fill="FFFFFF"/>
            <w:noWrap w:val="0"/>
            <w:vAlign w:val="center"/>
          </w:tcPr>
          <w:p w14:paraId="6D838165">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鼓励酸洗设备采用自动化、封闭性较强的设计</w:t>
            </w:r>
          </w:p>
        </w:tc>
        <w:tc>
          <w:tcPr>
            <w:tcW w:w="1735" w:type="pct"/>
            <w:shd w:val="clear" w:color="auto" w:fill="FFFFFF"/>
            <w:noWrap w:val="0"/>
            <w:vAlign w:val="center"/>
          </w:tcPr>
          <w:p w14:paraId="783911B8">
            <w:pPr>
              <w:keepNext w:val="0"/>
              <w:keepLines w:val="0"/>
              <w:widowControl/>
              <w:suppressLineNumbers w:val="0"/>
              <w:jc w:val="center"/>
              <w:rPr>
                <w:rFonts w:hint="default" w:ascii="Arial" w:hAnsi="Arial" w:eastAsia="宋体" w:cs="Arial"/>
                <w:b w:val="0"/>
                <w:bCs/>
                <w:i w:val="0"/>
                <w:iCs w:val="0"/>
                <w:caps w:val="0"/>
                <w:color w:val="404040"/>
                <w:spacing w:val="0"/>
                <w:kern w:val="0"/>
                <w:sz w:val="18"/>
                <w:szCs w:val="18"/>
                <w:lang w:val="en-US" w:eastAsia="zh-CN" w:bidi="ar"/>
              </w:rPr>
            </w:pPr>
            <w:r>
              <w:rPr>
                <w:rFonts w:hint="default" w:ascii="Arial" w:hAnsi="Arial" w:eastAsia="宋体" w:cs="Arial"/>
                <w:b w:val="0"/>
                <w:bCs/>
                <w:i w:val="0"/>
                <w:iCs w:val="0"/>
                <w:caps w:val="0"/>
                <w:color w:val="404040"/>
                <w:spacing w:val="0"/>
                <w:kern w:val="0"/>
                <w:sz w:val="18"/>
                <w:szCs w:val="18"/>
                <w:lang w:val="en-US" w:eastAsia="zh-CN" w:bidi="ar"/>
              </w:rPr>
              <w:t>项目不涉及高浓度酸洗</w:t>
            </w:r>
          </w:p>
        </w:tc>
        <w:tc>
          <w:tcPr>
            <w:tcW w:w="406" w:type="pct"/>
            <w:shd w:val="clear" w:color="auto" w:fill="FFFFFF"/>
            <w:noWrap w:val="0"/>
            <w:vAlign w:val="center"/>
          </w:tcPr>
          <w:p w14:paraId="21127A4A">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48213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52799E75">
            <w:pPr>
              <w:jc w:val="center"/>
              <w:rPr>
                <w:rFonts w:hint="default" w:ascii="Arial" w:hAnsi="Arial" w:eastAsia="宋体" w:cs="Arial"/>
                <w:b w:val="0"/>
                <w:bCs/>
                <w:color w:val="000000"/>
                <w:sz w:val="18"/>
                <w:szCs w:val="18"/>
              </w:rPr>
            </w:pPr>
          </w:p>
        </w:tc>
        <w:tc>
          <w:tcPr>
            <w:tcW w:w="473" w:type="pct"/>
            <w:vMerge w:val="restart"/>
            <w:shd w:val="clear" w:color="auto" w:fill="FFFFFF"/>
            <w:noWrap w:val="0"/>
            <w:vAlign w:val="center"/>
          </w:tcPr>
          <w:p w14:paraId="4CC346E8">
            <w:pPr>
              <w:keepNext w:val="0"/>
              <w:keepLines w:val="0"/>
              <w:widowControl/>
              <w:suppressLineNumbers w:val="0"/>
              <w:jc w:val="center"/>
              <w:rPr>
                <w:rFonts w:hint="default" w:ascii="Arial" w:hAnsi="Arial" w:eastAsia="宋体" w:cs="Arial"/>
                <w:b w:val="0"/>
                <w:bCs/>
                <w:color w:val="000000"/>
                <w:sz w:val="18"/>
                <w:szCs w:val="18"/>
              </w:rPr>
            </w:pPr>
            <w:r>
              <w:rPr>
                <w:rStyle w:val="59"/>
                <w:rFonts w:hint="default" w:ascii="Arial" w:hAnsi="Arial" w:eastAsia="宋体" w:cs="Arial"/>
                <w:b w:val="0"/>
                <w:bCs/>
                <w:i w:val="0"/>
                <w:iCs w:val="0"/>
                <w:caps w:val="0"/>
                <w:color w:val="404040"/>
                <w:spacing w:val="0"/>
                <w:kern w:val="0"/>
                <w:sz w:val="18"/>
                <w:szCs w:val="18"/>
                <w:lang w:val="en-US" w:eastAsia="zh-CN" w:bidi="ar"/>
              </w:rPr>
              <w:t>清洁生产</w:t>
            </w:r>
          </w:p>
        </w:tc>
        <w:tc>
          <w:tcPr>
            <w:tcW w:w="366" w:type="pct"/>
            <w:shd w:val="clear" w:color="auto" w:fill="FFFFFF"/>
            <w:noWrap w:val="0"/>
            <w:vAlign w:val="center"/>
          </w:tcPr>
          <w:p w14:paraId="626914BB">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6</w:t>
            </w:r>
          </w:p>
        </w:tc>
        <w:tc>
          <w:tcPr>
            <w:tcW w:w="1678" w:type="pct"/>
            <w:shd w:val="clear" w:color="auto" w:fill="FFFFFF"/>
            <w:noWrap w:val="0"/>
            <w:vAlign w:val="center"/>
          </w:tcPr>
          <w:p w14:paraId="3AB17FF0">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酸洗磷化鼓励采取多级回收、逆流漂洗等节水型清洗工艺</w:t>
            </w:r>
          </w:p>
        </w:tc>
        <w:tc>
          <w:tcPr>
            <w:tcW w:w="1735" w:type="pct"/>
            <w:shd w:val="clear" w:color="auto" w:fill="FFFFFF"/>
            <w:noWrap w:val="0"/>
            <w:vAlign w:val="center"/>
          </w:tcPr>
          <w:p w14:paraId="37F2C0D2">
            <w:pPr>
              <w:keepNext w:val="0"/>
              <w:keepLines w:val="0"/>
              <w:widowControl/>
              <w:suppressLineNumbers w:val="0"/>
              <w:jc w:val="center"/>
              <w:rPr>
                <w:rFonts w:hint="default" w:ascii="Arial" w:hAnsi="Arial" w:eastAsia="宋体" w:cs="Arial"/>
                <w:b w:val="0"/>
                <w:bCs/>
                <w:i w:val="0"/>
                <w:iCs w:val="0"/>
                <w:caps w:val="0"/>
                <w:color w:val="404040"/>
                <w:spacing w:val="0"/>
                <w:kern w:val="0"/>
                <w:sz w:val="18"/>
                <w:szCs w:val="18"/>
                <w:lang w:val="en-US" w:eastAsia="zh-CN" w:bidi="ar"/>
              </w:rPr>
            </w:pPr>
            <w:r>
              <w:rPr>
                <w:rFonts w:hint="default" w:ascii="Arial" w:hAnsi="Arial" w:eastAsia="宋体" w:cs="Arial"/>
                <w:b w:val="0"/>
                <w:bCs/>
                <w:i w:val="0"/>
                <w:iCs w:val="0"/>
                <w:caps w:val="0"/>
                <w:color w:val="404040"/>
                <w:spacing w:val="0"/>
                <w:kern w:val="0"/>
                <w:sz w:val="18"/>
                <w:szCs w:val="18"/>
                <w:lang w:val="en-US" w:eastAsia="zh-CN" w:bidi="ar"/>
              </w:rPr>
              <w:t>项目清洗水循环使用定期更换</w:t>
            </w:r>
          </w:p>
        </w:tc>
        <w:tc>
          <w:tcPr>
            <w:tcW w:w="406" w:type="pct"/>
            <w:shd w:val="clear" w:color="auto" w:fill="FFFFFF"/>
            <w:noWrap w:val="0"/>
            <w:vAlign w:val="center"/>
          </w:tcPr>
          <w:p w14:paraId="15FE18C9">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1277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23F2DAD5">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3F208480">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552678CE">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7</w:t>
            </w:r>
          </w:p>
        </w:tc>
        <w:tc>
          <w:tcPr>
            <w:tcW w:w="1678" w:type="pct"/>
            <w:shd w:val="clear" w:color="auto" w:fill="FFFFFF"/>
            <w:noWrap w:val="0"/>
            <w:vAlign w:val="center"/>
          </w:tcPr>
          <w:p w14:paraId="3708309C">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禁止采用单级漂洗或直接冲洗等落后工艺</w:t>
            </w:r>
          </w:p>
        </w:tc>
        <w:tc>
          <w:tcPr>
            <w:tcW w:w="1735" w:type="pct"/>
            <w:shd w:val="clear" w:color="auto" w:fill="FFFFFF"/>
            <w:noWrap w:val="0"/>
            <w:vAlign w:val="center"/>
          </w:tcPr>
          <w:p w14:paraId="0445F0C6">
            <w:pPr>
              <w:keepNext w:val="0"/>
              <w:keepLines w:val="0"/>
              <w:widowControl/>
              <w:suppressLineNumbers w:val="0"/>
              <w:jc w:val="center"/>
              <w:rPr>
                <w:rFonts w:hint="default" w:ascii="Arial" w:hAnsi="Arial" w:eastAsia="宋体" w:cs="Arial"/>
                <w:b w:val="0"/>
                <w:bCs/>
                <w:i w:val="0"/>
                <w:iCs w:val="0"/>
                <w:caps w:val="0"/>
                <w:color w:val="404040"/>
                <w:spacing w:val="0"/>
                <w:kern w:val="0"/>
                <w:sz w:val="18"/>
                <w:szCs w:val="18"/>
                <w:lang w:val="en-US" w:eastAsia="zh-CN" w:bidi="ar"/>
              </w:rPr>
            </w:pPr>
            <w:r>
              <w:rPr>
                <w:rFonts w:hint="default" w:ascii="Arial" w:hAnsi="Arial" w:eastAsia="宋体" w:cs="Arial"/>
                <w:b w:val="0"/>
                <w:bCs/>
                <w:i w:val="0"/>
                <w:iCs w:val="0"/>
                <w:caps w:val="0"/>
                <w:color w:val="404040"/>
                <w:spacing w:val="0"/>
                <w:kern w:val="0"/>
                <w:sz w:val="18"/>
                <w:szCs w:val="18"/>
                <w:lang w:val="en-US" w:eastAsia="zh-CN" w:bidi="ar"/>
              </w:rPr>
              <w:t>项目清洗水循环使用定期更换</w:t>
            </w:r>
          </w:p>
        </w:tc>
        <w:tc>
          <w:tcPr>
            <w:tcW w:w="406" w:type="pct"/>
            <w:shd w:val="clear" w:color="auto" w:fill="FFFFFF"/>
            <w:noWrap w:val="0"/>
            <w:vAlign w:val="center"/>
          </w:tcPr>
          <w:p w14:paraId="7331CA3F">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206D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40D370CE">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246BC871">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5CE903D9">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8</w:t>
            </w:r>
          </w:p>
        </w:tc>
        <w:tc>
          <w:tcPr>
            <w:tcW w:w="1678" w:type="pct"/>
            <w:shd w:val="clear" w:color="auto" w:fill="FFFFFF"/>
            <w:noWrap w:val="0"/>
            <w:vAlign w:val="center"/>
          </w:tcPr>
          <w:p w14:paraId="1EC339AE">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鼓励采取工业污水回用、多级回收、逆流漂洗等节水型清洁生产工艺</w:t>
            </w:r>
          </w:p>
        </w:tc>
        <w:tc>
          <w:tcPr>
            <w:tcW w:w="1735" w:type="pct"/>
            <w:shd w:val="clear" w:color="auto" w:fill="FFFFFF"/>
            <w:noWrap w:val="0"/>
            <w:vAlign w:val="center"/>
          </w:tcPr>
          <w:p w14:paraId="25A08A3C">
            <w:pPr>
              <w:keepNext w:val="0"/>
              <w:keepLines w:val="0"/>
              <w:widowControl/>
              <w:suppressLineNumbers w:val="0"/>
              <w:jc w:val="center"/>
              <w:rPr>
                <w:rFonts w:hint="default" w:ascii="Arial" w:hAnsi="Arial" w:eastAsia="宋体" w:cs="Arial"/>
                <w:b w:val="0"/>
                <w:bCs/>
                <w:i w:val="0"/>
                <w:iCs w:val="0"/>
                <w:caps w:val="0"/>
                <w:color w:val="404040"/>
                <w:spacing w:val="0"/>
                <w:kern w:val="0"/>
                <w:sz w:val="18"/>
                <w:szCs w:val="18"/>
                <w:lang w:val="en-US" w:eastAsia="zh-CN" w:bidi="ar"/>
              </w:rPr>
            </w:pPr>
            <w:r>
              <w:rPr>
                <w:rFonts w:hint="default" w:ascii="Arial" w:hAnsi="Arial" w:eastAsia="宋体" w:cs="Arial"/>
                <w:b w:val="0"/>
                <w:bCs/>
                <w:i w:val="0"/>
                <w:iCs w:val="0"/>
                <w:caps w:val="0"/>
                <w:color w:val="404040"/>
                <w:spacing w:val="0"/>
                <w:kern w:val="0"/>
                <w:sz w:val="18"/>
                <w:szCs w:val="18"/>
                <w:lang w:val="en-US" w:eastAsia="zh-CN" w:bidi="ar"/>
              </w:rPr>
              <w:t>项目清洗水循环使用定期更换</w:t>
            </w:r>
          </w:p>
        </w:tc>
        <w:tc>
          <w:tcPr>
            <w:tcW w:w="406" w:type="pct"/>
            <w:shd w:val="clear" w:color="auto" w:fill="FFFFFF"/>
            <w:noWrap w:val="0"/>
            <w:vAlign w:val="center"/>
          </w:tcPr>
          <w:p w14:paraId="3217379F">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5273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1CF70E31">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28DA2020">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024C7D5D">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9</w:t>
            </w:r>
          </w:p>
        </w:tc>
        <w:tc>
          <w:tcPr>
            <w:tcW w:w="1678" w:type="pct"/>
            <w:shd w:val="clear" w:color="auto" w:fill="FFFFFF"/>
            <w:noWrap w:val="0"/>
            <w:vAlign w:val="center"/>
          </w:tcPr>
          <w:p w14:paraId="5A3CCF63">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完成强制性清洁生产审核</w:t>
            </w:r>
          </w:p>
        </w:tc>
        <w:tc>
          <w:tcPr>
            <w:tcW w:w="1735" w:type="pct"/>
            <w:shd w:val="clear" w:color="auto" w:fill="FFFFFF"/>
            <w:noWrap w:val="0"/>
            <w:vAlign w:val="center"/>
          </w:tcPr>
          <w:p w14:paraId="3E354231">
            <w:pPr>
              <w:keepNext w:val="0"/>
              <w:keepLines w:val="0"/>
              <w:widowControl/>
              <w:suppressLineNumbers w:val="0"/>
              <w:jc w:val="center"/>
              <w:rPr>
                <w:rFonts w:hint="default" w:ascii="Arial" w:hAnsi="Arial" w:eastAsia="宋体" w:cs="Arial"/>
                <w:b w:val="0"/>
                <w:bCs/>
                <w:i w:val="0"/>
                <w:iCs w:val="0"/>
                <w:caps w:val="0"/>
                <w:color w:val="404040"/>
                <w:spacing w:val="0"/>
                <w:kern w:val="0"/>
                <w:sz w:val="18"/>
                <w:szCs w:val="18"/>
                <w:lang w:val="en-US" w:eastAsia="zh-CN" w:bidi="ar"/>
              </w:rPr>
            </w:pPr>
            <w:r>
              <w:rPr>
                <w:rFonts w:hint="default" w:ascii="Arial" w:hAnsi="Arial" w:eastAsia="宋体" w:cs="Arial"/>
                <w:bCs/>
                <w:sz w:val="18"/>
                <w:szCs w:val="18"/>
              </w:rPr>
              <w:t>项目实施后按要求进行清洁生产审核</w:t>
            </w:r>
          </w:p>
        </w:tc>
        <w:tc>
          <w:tcPr>
            <w:tcW w:w="406" w:type="pct"/>
            <w:shd w:val="clear" w:color="auto" w:fill="FFFFFF"/>
            <w:noWrap w:val="0"/>
            <w:vAlign w:val="center"/>
          </w:tcPr>
          <w:p w14:paraId="0F4B1862">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37B8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057687EC">
            <w:pPr>
              <w:jc w:val="center"/>
              <w:rPr>
                <w:rFonts w:hint="default" w:ascii="Arial" w:hAnsi="Arial" w:eastAsia="宋体" w:cs="Arial"/>
                <w:b w:val="0"/>
                <w:bCs/>
                <w:color w:val="000000"/>
                <w:sz w:val="18"/>
                <w:szCs w:val="18"/>
              </w:rPr>
            </w:pPr>
          </w:p>
        </w:tc>
        <w:tc>
          <w:tcPr>
            <w:tcW w:w="473" w:type="pct"/>
            <w:vMerge w:val="restart"/>
            <w:shd w:val="clear" w:color="auto" w:fill="FFFFFF"/>
            <w:noWrap w:val="0"/>
            <w:vAlign w:val="center"/>
          </w:tcPr>
          <w:p w14:paraId="54FB2192">
            <w:pPr>
              <w:keepNext w:val="0"/>
              <w:keepLines w:val="0"/>
              <w:widowControl/>
              <w:suppressLineNumbers w:val="0"/>
              <w:jc w:val="center"/>
              <w:rPr>
                <w:rFonts w:hint="default" w:ascii="Arial" w:hAnsi="Arial" w:eastAsia="宋体" w:cs="Arial"/>
                <w:b w:val="0"/>
                <w:bCs/>
                <w:color w:val="000000"/>
                <w:sz w:val="18"/>
                <w:szCs w:val="18"/>
              </w:rPr>
            </w:pPr>
            <w:r>
              <w:rPr>
                <w:rStyle w:val="59"/>
                <w:rFonts w:hint="default" w:ascii="Arial" w:hAnsi="Arial" w:eastAsia="宋体" w:cs="Arial"/>
                <w:b w:val="0"/>
                <w:bCs/>
                <w:i w:val="0"/>
                <w:iCs w:val="0"/>
                <w:caps w:val="0"/>
                <w:color w:val="404040"/>
                <w:spacing w:val="0"/>
                <w:kern w:val="0"/>
                <w:sz w:val="18"/>
                <w:szCs w:val="18"/>
                <w:lang w:val="en-US" w:eastAsia="zh-CN" w:bidi="ar"/>
              </w:rPr>
              <w:t>生产现场</w:t>
            </w:r>
          </w:p>
        </w:tc>
        <w:tc>
          <w:tcPr>
            <w:tcW w:w="366" w:type="pct"/>
            <w:shd w:val="clear" w:color="auto" w:fill="FFFFFF"/>
            <w:noWrap w:val="0"/>
            <w:vAlign w:val="center"/>
          </w:tcPr>
          <w:p w14:paraId="761D8236">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10</w:t>
            </w:r>
          </w:p>
        </w:tc>
        <w:tc>
          <w:tcPr>
            <w:tcW w:w="1678" w:type="pct"/>
            <w:shd w:val="clear" w:color="auto" w:fill="FFFFFF"/>
            <w:noWrap w:val="0"/>
            <w:vAlign w:val="center"/>
          </w:tcPr>
          <w:p w14:paraId="21DC365F">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生产现场环境清洁、整洁、管理有序；危险品有明显标识</w:t>
            </w:r>
          </w:p>
        </w:tc>
        <w:tc>
          <w:tcPr>
            <w:tcW w:w="1735" w:type="pct"/>
            <w:shd w:val="clear" w:color="auto" w:fill="FFFFFF"/>
            <w:noWrap w:val="0"/>
            <w:vAlign w:val="center"/>
          </w:tcPr>
          <w:p w14:paraId="17B8D122">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项目实施后按要求加强现场管理，使生产现场环境清洁、整洁、管理有序；危险品有明显标识</w:t>
            </w:r>
          </w:p>
        </w:tc>
        <w:tc>
          <w:tcPr>
            <w:tcW w:w="406" w:type="pct"/>
            <w:shd w:val="clear" w:color="auto" w:fill="FFFFFF"/>
            <w:noWrap w:val="0"/>
            <w:vAlign w:val="center"/>
          </w:tcPr>
          <w:p w14:paraId="5396B1A4">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2B12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5333DC07">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6097ABBC">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0779FE17">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11</w:t>
            </w:r>
          </w:p>
        </w:tc>
        <w:tc>
          <w:tcPr>
            <w:tcW w:w="1678" w:type="pct"/>
            <w:shd w:val="clear" w:color="auto" w:fill="FFFFFF"/>
            <w:noWrap w:val="0"/>
            <w:vAlign w:val="center"/>
          </w:tcPr>
          <w:p w14:paraId="2C3FAEFA">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生产过程中无跑冒滴漏现象</w:t>
            </w:r>
          </w:p>
        </w:tc>
        <w:tc>
          <w:tcPr>
            <w:tcW w:w="1735" w:type="pct"/>
            <w:shd w:val="clear" w:color="auto" w:fill="FFFFFF"/>
            <w:noWrap w:val="0"/>
            <w:vAlign w:val="center"/>
          </w:tcPr>
          <w:p w14:paraId="7524B842">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项目实施后按要求加强现场管理，杜绝跑冒滴漏现象</w:t>
            </w:r>
          </w:p>
        </w:tc>
        <w:tc>
          <w:tcPr>
            <w:tcW w:w="406" w:type="pct"/>
            <w:shd w:val="clear" w:color="auto" w:fill="FFFFFF"/>
            <w:noWrap w:val="0"/>
            <w:vAlign w:val="center"/>
          </w:tcPr>
          <w:p w14:paraId="3ABCA7DB">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268C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0806048B">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179132AD">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38E68C01">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12</w:t>
            </w:r>
          </w:p>
        </w:tc>
        <w:tc>
          <w:tcPr>
            <w:tcW w:w="1678" w:type="pct"/>
            <w:shd w:val="clear" w:color="auto" w:fill="FFFFFF"/>
            <w:noWrap w:val="0"/>
            <w:vAlign w:val="center"/>
          </w:tcPr>
          <w:p w14:paraId="1D72468F">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车间应优化布局，严格落实防腐、防渗、防混措施</w:t>
            </w:r>
          </w:p>
        </w:tc>
        <w:tc>
          <w:tcPr>
            <w:tcW w:w="1735" w:type="pct"/>
            <w:shd w:val="clear" w:color="auto" w:fill="FFFFFF"/>
            <w:noWrap w:val="0"/>
            <w:vAlign w:val="center"/>
          </w:tcPr>
          <w:p w14:paraId="14C8A276">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项目实施过程车间按要求采取防腐、防渗、防混措施</w:t>
            </w:r>
          </w:p>
        </w:tc>
        <w:tc>
          <w:tcPr>
            <w:tcW w:w="406" w:type="pct"/>
            <w:shd w:val="clear" w:color="auto" w:fill="FFFFFF"/>
            <w:noWrap w:val="0"/>
            <w:vAlign w:val="center"/>
          </w:tcPr>
          <w:p w14:paraId="07EF6493">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6C42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05801E2F">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5A581E1B">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39D10E2D">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13</w:t>
            </w:r>
          </w:p>
        </w:tc>
        <w:tc>
          <w:tcPr>
            <w:tcW w:w="1678" w:type="pct"/>
            <w:shd w:val="clear" w:color="auto" w:fill="FFFFFF"/>
            <w:noWrap w:val="0"/>
            <w:vAlign w:val="center"/>
          </w:tcPr>
          <w:p w14:paraId="5EF504AE">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车间实施干湿区分离，湿区地面应敷设网格板，湿件加工作业必须在湿区进行</w:t>
            </w:r>
          </w:p>
        </w:tc>
        <w:tc>
          <w:tcPr>
            <w:tcW w:w="1735" w:type="pct"/>
            <w:shd w:val="clear" w:color="auto" w:fill="FFFFFF"/>
            <w:noWrap w:val="0"/>
            <w:vAlign w:val="center"/>
          </w:tcPr>
          <w:p w14:paraId="1FD7C9CC">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项目实施过程车间按要求实施，干湿区分离，</w:t>
            </w:r>
            <w:r>
              <w:rPr>
                <w:rFonts w:hint="default" w:ascii="Arial" w:hAnsi="Arial" w:eastAsia="宋体" w:cs="Arial"/>
                <w:kern w:val="0"/>
                <w:sz w:val="18"/>
                <w:szCs w:val="18"/>
              </w:rPr>
              <w:t>湿区地面应敷设网格板，湿件加工作业在湿区进行</w:t>
            </w:r>
          </w:p>
        </w:tc>
        <w:tc>
          <w:tcPr>
            <w:tcW w:w="406" w:type="pct"/>
            <w:shd w:val="clear" w:color="auto" w:fill="FFFFFF"/>
            <w:noWrap w:val="0"/>
            <w:vAlign w:val="center"/>
          </w:tcPr>
          <w:p w14:paraId="2741B279">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64AFA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39DC2602">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752BE438">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2545B13F">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14</w:t>
            </w:r>
          </w:p>
        </w:tc>
        <w:tc>
          <w:tcPr>
            <w:tcW w:w="1678" w:type="pct"/>
            <w:shd w:val="clear" w:color="auto" w:fill="FFFFFF"/>
            <w:noWrap w:val="0"/>
            <w:vAlign w:val="center"/>
          </w:tcPr>
          <w:p w14:paraId="50BFD3CE">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建筑物和构筑物进出水管应有防腐蚀、防沉降、防折断措施</w:t>
            </w:r>
          </w:p>
        </w:tc>
        <w:tc>
          <w:tcPr>
            <w:tcW w:w="1735" w:type="pct"/>
            <w:shd w:val="clear" w:color="auto" w:fill="FFFFFF"/>
            <w:noWrap w:val="0"/>
            <w:vAlign w:val="center"/>
          </w:tcPr>
          <w:p w14:paraId="645DACD9">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项目实施过程</w:t>
            </w:r>
            <w:r>
              <w:rPr>
                <w:rFonts w:hint="default" w:ascii="Arial" w:hAnsi="Arial" w:eastAsia="宋体" w:cs="Arial"/>
                <w:kern w:val="0"/>
                <w:sz w:val="18"/>
                <w:szCs w:val="18"/>
              </w:rPr>
              <w:t>建筑物和构筑物</w:t>
            </w:r>
            <w:r>
              <w:rPr>
                <w:rFonts w:hint="default" w:ascii="Arial" w:hAnsi="Arial" w:eastAsia="宋体" w:cs="Arial"/>
                <w:bCs/>
                <w:sz w:val="18"/>
                <w:szCs w:val="18"/>
              </w:rPr>
              <w:t>进出水管按要求采取</w:t>
            </w:r>
            <w:r>
              <w:rPr>
                <w:rFonts w:hint="default" w:ascii="Arial" w:hAnsi="Arial" w:eastAsia="宋体" w:cs="Arial"/>
                <w:kern w:val="0"/>
                <w:sz w:val="18"/>
                <w:szCs w:val="18"/>
              </w:rPr>
              <w:t>防腐蚀、防沉降、防折断措施</w:t>
            </w:r>
          </w:p>
        </w:tc>
        <w:tc>
          <w:tcPr>
            <w:tcW w:w="406" w:type="pct"/>
            <w:shd w:val="clear" w:color="auto" w:fill="FFFFFF"/>
            <w:noWrap w:val="0"/>
            <w:vAlign w:val="center"/>
          </w:tcPr>
          <w:p w14:paraId="0D9DFAB5">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55A3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6A8C9AEA">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557CF891">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69BEDDD9">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15</w:t>
            </w:r>
          </w:p>
        </w:tc>
        <w:tc>
          <w:tcPr>
            <w:tcW w:w="1678" w:type="pct"/>
            <w:shd w:val="clear" w:color="auto" w:fill="FFFFFF"/>
            <w:noWrap w:val="0"/>
            <w:vAlign w:val="center"/>
          </w:tcPr>
          <w:p w14:paraId="17829BB2">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酸洗槽必须设置在地面上，新建、搬迁、整体改造企业须执行酸洗槽架空改造</w:t>
            </w:r>
          </w:p>
        </w:tc>
        <w:tc>
          <w:tcPr>
            <w:tcW w:w="1735" w:type="pct"/>
            <w:shd w:val="clear" w:color="auto" w:fill="FFFFFF"/>
            <w:noWrap w:val="0"/>
            <w:vAlign w:val="center"/>
          </w:tcPr>
          <w:p w14:paraId="0FDEC8A1">
            <w:pPr>
              <w:widowControl/>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w:t>
            </w:r>
            <w:r>
              <w:rPr>
                <w:rFonts w:hint="default" w:ascii="Arial" w:hAnsi="Arial" w:eastAsia="宋体" w:cs="Arial"/>
                <w:kern w:val="0"/>
                <w:sz w:val="18"/>
                <w:szCs w:val="18"/>
                <w:lang w:val="en-US" w:eastAsia="zh-CN"/>
              </w:rPr>
              <w:t>处理槽</w:t>
            </w:r>
            <w:r>
              <w:rPr>
                <w:rFonts w:hint="default" w:ascii="Arial" w:hAnsi="Arial" w:eastAsia="宋体" w:cs="Arial"/>
                <w:kern w:val="0"/>
                <w:sz w:val="18"/>
                <w:szCs w:val="18"/>
              </w:rPr>
              <w:t>均架空布置</w:t>
            </w:r>
          </w:p>
        </w:tc>
        <w:tc>
          <w:tcPr>
            <w:tcW w:w="406" w:type="pct"/>
            <w:shd w:val="clear" w:color="auto" w:fill="FFFFFF"/>
            <w:noWrap w:val="0"/>
            <w:vAlign w:val="center"/>
          </w:tcPr>
          <w:p w14:paraId="6F98B134">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6AEE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2A137EB7">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184262D1">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7FFE0F82">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16</w:t>
            </w:r>
          </w:p>
        </w:tc>
        <w:tc>
          <w:tcPr>
            <w:tcW w:w="1678" w:type="pct"/>
            <w:shd w:val="clear" w:color="auto" w:fill="FFFFFF"/>
            <w:noWrap w:val="0"/>
            <w:vAlign w:val="center"/>
          </w:tcPr>
          <w:p w14:paraId="266FB99D">
            <w:pPr>
              <w:keepNext w:val="0"/>
              <w:keepLines w:val="0"/>
              <w:widowControl/>
              <w:suppressLineNumbers w:val="0"/>
              <w:jc w:val="center"/>
              <w:rPr>
                <w:rFonts w:hint="default" w:ascii="Arial" w:hAnsi="Arial" w:eastAsia="宋体" w:cs="Arial"/>
                <w:b w:val="0"/>
                <w:bCs/>
                <w:color w:val="000000"/>
                <w:sz w:val="18"/>
                <w:szCs w:val="18"/>
              </w:rPr>
            </w:pPr>
            <w:r>
              <w:rPr>
                <w:rFonts w:hint="default" w:ascii="Arial" w:hAnsi="Arial" w:eastAsia="宋体" w:cs="Arial"/>
                <w:b w:val="0"/>
                <w:bCs/>
                <w:i w:val="0"/>
                <w:iCs w:val="0"/>
                <w:caps w:val="0"/>
                <w:color w:val="404040"/>
                <w:spacing w:val="0"/>
                <w:kern w:val="0"/>
                <w:sz w:val="18"/>
                <w:szCs w:val="18"/>
                <w:lang w:val="en-US" w:eastAsia="zh-CN" w:bidi="ar"/>
              </w:rPr>
              <w:t>酸洗等处理槽须采取有效的防腐防渗措施</w:t>
            </w:r>
          </w:p>
        </w:tc>
        <w:tc>
          <w:tcPr>
            <w:tcW w:w="1735" w:type="pct"/>
            <w:shd w:val="clear" w:color="auto" w:fill="FFFFFF"/>
            <w:noWrap w:val="0"/>
            <w:vAlign w:val="center"/>
          </w:tcPr>
          <w:p w14:paraId="2E984ACF">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w:t>
            </w:r>
            <w:r>
              <w:rPr>
                <w:rFonts w:hint="default" w:ascii="Arial" w:hAnsi="Arial" w:eastAsia="宋体" w:cs="Arial"/>
                <w:bCs/>
                <w:sz w:val="18"/>
                <w:szCs w:val="18"/>
                <w:lang w:val="en-US" w:eastAsia="zh-CN"/>
              </w:rPr>
              <w:t>处理</w:t>
            </w:r>
            <w:r>
              <w:rPr>
                <w:rFonts w:hint="default" w:ascii="Arial" w:hAnsi="Arial" w:eastAsia="宋体" w:cs="Arial"/>
                <w:bCs/>
                <w:sz w:val="18"/>
                <w:szCs w:val="18"/>
              </w:rPr>
              <w:t>槽能有效防腐防渗</w:t>
            </w:r>
          </w:p>
        </w:tc>
        <w:tc>
          <w:tcPr>
            <w:tcW w:w="406" w:type="pct"/>
            <w:shd w:val="clear" w:color="auto" w:fill="FFFFFF"/>
            <w:noWrap w:val="0"/>
            <w:vAlign w:val="center"/>
          </w:tcPr>
          <w:p w14:paraId="7F469933">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3AAF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2473BAB9">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3832EEA7">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32076405">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17</w:t>
            </w:r>
          </w:p>
        </w:tc>
        <w:tc>
          <w:tcPr>
            <w:tcW w:w="1678" w:type="pct"/>
            <w:shd w:val="clear" w:color="auto" w:fill="FFFFFF"/>
            <w:noWrap w:val="0"/>
            <w:vAlign w:val="center"/>
          </w:tcPr>
          <w:p w14:paraId="48F4E8AA">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废水管线采取明管套明沟（渠）或架空敷设，废水管道（沟、埠）应满足防腐、防渗漏要求；废水收集池附近设立观测井</w:t>
            </w:r>
          </w:p>
        </w:tc>
        <w:tc>
          <w:tcPr>
            <w:tcW w:w="1735" w:type="pct"/>
            <w:shd w:val="clear" w:color="auto" w:fill="FFFFFF"/>
            <w:noWrap w:val="0"/>
            <w:vAlign w:val="center"/>
          </w:tcPr>
          <w:p w14:paraId="2089ECB3">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项目生产废水的转移与输送尽可能采用架空管道，不能架空的地方需采用明管套明沟方式，并做好管道、明沟的防腐、防渗处理。项目污水站周边</w:t>
            </w:r>
            <w:r>
              <w:rPr>
                <w:rFonts w:hint="default" w:ascii="Arial" w:hAnsi="Arial" w:eastAsia="宋体" w:cs="Arial"/>
                <w:bCs/>
                <w:sz w:val="18"/>
                <w:szCs w:val="18"/>
                <w:lang w:val="en-US" w:eastAsia="zh-CN"/>
              </w:rPr>
              <w:t>已</w:t>
            </w:r>
            <w:r>
              <w:rPr>
                <w:rFonts w:hint="default" w:ascii="Arial" w:hAnsi="Arial" w:eastAsia="宋体" w:cs="Arial"/>
                <w:bCs/>
                <w:sz w:val="18"/>
                <w:szCs w:val="18"/>
              </w:rPr>
              <w:t>设观测井。</w:t>
            </w:r>
          </w:p>
        </w:tc>
        <w:tc>
          <w:tcPr>
            <w:tcW w:w="406" w:type="pct"/>
            <w:shd w:val="clear" w:color="auto" w:fill="FFFFFF"/>
            <w:noWrap w:val="0"/>
            <w:vAlign w:val="center"/>
          </w:tcPr>
          <w:p w14:paraId="07B0F1E2">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4DF8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50E8F2C6">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3EB7DE2E">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2AEC8D6A">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18</w:t>
            </w:r>
          </w:p>
        </w:tc>
        <w:tc>
          <w:tcPr>
            <w:tcW w:w="1678" w:type="pct"/>
            <w:shd w:val="clear" w:color="auto" w:fill="FFFFFF"/>
            <w:noWrap w:val="0"/>
            <w:vAlign w:val="center"/>
          </w:tcPr>
          <w:p w14:paraId="16B01314">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废水收集和排放系统等各类废水管网设置清晰、有流向、污染物种类等标示</w:t>
            </w:r>
          </w:p>
        </w:tc>
        <w:tc>
          <w:tcPr>
            <w:tcW w:w="1735" w:type="pct"/>
            <w:shd w:val="clear" w:color="auto" w:fill="FFFFFF"/>
            <w:noWrap w:val="0"/>
            <w:vAlign w:val="center"/>
          </w:tcPr>
          <w:p w14:paraId="70B0B9FF">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项目废水收集和排放系统等各类废水管网按要求设置清晰，并对</w:t>
            </w:r>
            <w:r>
              <w:rPr>
                <w:rFonts w:hint="default" w:ascii="Arial" w:hAnsi="Arial" w:eastAsia="宋体" w:cs="Arial"/>
                <w:kern w:val="0"/>
                <w:sz w:val="18"/>
                <w:szCs w:val="18"/>
              </w:rPr>
              <w:t>流向、污染物种类等进行标示</w:t>
            </w:r>
          </w:p>
        </w:tc>
        <w:tc>
          <w:tcPr>
            <w:tcW w:w="406" w:type="pct"/>
            <w:shd w:val="clear" w:color="auto" w:fill="FFFFFF"/>
            <w:noWrap w:val="0"/>
            <w:vAlign w:val="center"/>
          </w:tcPr>
          <w:p w14:paraId="63E475B7">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4C2F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restart"/>
            <w:shd w:val="clear" w:color="auto" w:fill="FFFFFF"/>
            <w:noWrap w:val="0"/>
            <w:vAlign w:val="center"/>
          </w:tcPr>
          <w:p w14:paraId="724B4668">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污染治理</w:t>
            </w:r>
          </w:p>
        </w:tc>
        <w:tc>
          <w:tcPr>
            <w:tcW w:w="473" w:type="pct"/>
            <w:vMerge w:val="restart"/>
            <w:shd w:val="clear" w:color="auto" w:fill="FFFFFF"/>
            <w:noWrap w:val="0"/>
            <w:vAlign w:val="center"/>
          </w:tcPr>
          <w:p w14:paraId="23CDDE74">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废水处理</w:t>
            </w:r>
          </w:p>
        </w:tc>
        <w:tc>
          <w:tcPr>
            <w:tcW w:w="366" w:type="pct"/>
            <w:shd w:val="clear" w:color="auto" w:fill="FFFFFF"/>
            <w:noWrap w:val="0"/>
            <w:vAlign w:val="center"/>
          </w:tcPr>
          <w:p w14:paraId="425123D2">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19</w:t>
            </w:r>
          </w:p>
        </w:tc>
        <w:tc>
          <w:tcPr>
            <w:tcW w:w="1678" w:type="pct"/>
            <w:shd w:val="clear" w:color="auto" w:fill="FFFFFF"/>
            <w:noWrap w:val="0"/>
            <w:vAlign w:val="center"/>
          </w:tcPr>
          <w:p w14:paraId="5D68671F">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雨污分流、清污分流、污水分质分流，建有与生产能力配套的废水处理设施</w:t>
            </w:r>
          </w:p>
        </w:tc>
        <w:tc>
          <w:tcPr>
            <w:tcW w:w="1735" w:type="pct"/>
            <w:shd w:val="clear" w:color="auto" w:fill="FFFFFF"/>
            <w:noWrap w:val="0"/>
            <w:vAlign w:val="center"/>
          </w:tcPr>
          <w:p w14:paraId="13614541">
            <w:pPr>
              <w:widowControl/>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项目厂区实行雨污分流，项目生产废水处理设施设计处理能力与生产能力配套</w:t>
            </w:r>
          </w:p>
        </w:tc>
        <w:tc>
          <w:tcPr>
            <w:tcW w:w="406" w:type="pct"/>
            <w:shd w:val="clear" w:color="auto" w:fill="FFFFFF"/>
            <w:noWrap w:val="0"/>
            <w:vAlign w:val="center"/>
          </w:tcPr>
          <w:p w14:paraId="33420972">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0C36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52248660">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09492748">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095D30A9">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20</w:t>
            </w:r>
          </w:p>
        </w:tc>
        <w:tc>
          <w:tcPr>
            <w:tcW w:w="1678" w:type="pct"/>
            <w:shd w:val="clear" w:color="auto" w:fill="FFFFFF"/>
            <w:noWrap w:val="0"/>
            <w:vAlign w:val="center"/>
          </w:tcPr>
          <w:p w14:paraId="011D25D7">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含第一类污染物的废水须单独处理达标后方可并入其他废水处理</w:t>
            </w:r>
          </w:p>
        </w:tc>
        <w:tc>
          <w:tcPr>
            <w:tcW w:w="1735" w:type="pct"/>
            <w:shd w:val="clear" w:color="auto" w:fill="FFFFFF"/>
            <w:noWrap w:val="0"/>
            <w:vAlign w:val="center"/>
          </w:tcPr>
          <w:p w14:paraId="35D00726">
            <w:pPr>
              <w:widowControl/>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w:t>
            </w:r>
            <w:r>
              <w:rPr>
                <w:rFonts w:hint="default" w:ascii="Arial" w:hAnsi="Arial" w:eastAsia="宋体" w:cs="Arial"/>
                <w:kern w:val="0"/>
                <w:sz w:val="18"/>
                <w:szCs w:val="18"/>
                <w:lang w:val="en-US" w:eastAsia="zh-CN"/>
              </w:rPr>
              <w:t>不涉及</w:t>
            </w:r>
            <w:r>
              <w:rPr>
                <w:rFonts w:hint="default" w:ascii="Arial" w:hAnsi="Arial" w:eastAsia="宋体" w:cs="Arial"/>
                <w:kern w:val="0"/>
                <w:sz w:val="18"/>
                <w:szCs w:val="18"/>
              </w:rPr>
              <w:t>第一类污染物</w:t>
            </w:r>
            <w:r>
              <w:rPr>
                <w:rFonts w:hint="default" w:ascii="Arial" w:hAnsi="Arial" w:eastAsia="宋体" w:cs="Arial"/>
                <w:kern w:val="0"/>
                <w:sz w:val="18"/>
                <w:szCs w:val="18"/>
                <w:lang w:eastAsia="zh-CN"/>
              </w:rPr>
              <w:t>。</w:t>
            </w:r>
          </w:p>
        </w:tc>
        <w:tc>
          <w:tcPr>
            <w:tcW w:w="406" w:type="pct"/>
            <w:shd w:val="clear" w:color="auto" w:fill="FFFFFF"/>
            <w:noWrap w:val="0"/>
            <w:vAlign w:val="center"/>
          </w:tcPr>
          <w:p w14:paraId="5AB9AF6E">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1010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49FE3EF3">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0270EEFF">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48B8B810">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21</w:t>
            </w:r>
          </w:p>
        </w:tc>
        <w:tc>
          <w:tcPr>
            <w:tcW w:w="1678" w:type="pct"/>
            <w:shd w:val="clear" w:color="auto" w:fill="FFFFFF"/>
            <w:noWrap w:val="0"/>
            <w:vAlign w:val="center"/>
          </w:tcPr>
          <w:p w14:paraId="0960EE99">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污水处理设施排放口及污水回用管道需安装流量计</w:t>
            </w:r>
          </w:p>
        </w:tc>
        <w:tc>
          <w:tcPr>
            <w:tcW w:w="1735" w:type="pct"/>
            <w:shd w:val="clear" w:color="auto" w:fill="FFFFFF"/>
            <w:noWrap w:val="0"/>
            <w:vAlign w:val="center"/>
          </w:tcPr>
          <w:p w14:paraId="6B8DD75A">
            <w:pPr>
              <w:widowControl/>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废水排放口安装有流量计</w:t>
            </w:r>
          </w:p>
        </w:tc>
        <w:tc>
          <w:tcPr>
            <w:tcW w:w="406" w:type="pct"/>
            <w:shd w:val="clear" w:color="auto" w:fill="FFFFFF"/>
            <w:noWrap w:val="0"/>
            <w:vAlign w:val="center"/>
          </w:tcPr>
          <w:p w14:paraId="4909255E">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7463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7A57E32A">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2FF2D898">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46EB7D83">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22</w:t>
            </w:r>
          </w:p>
        </w:tc>
        <w:tc>
          <w:tcPr>
            <w:tcW w:w="1678" w:type="pct"/>
            <w:shd w:val="clear" w:color="auto" w:fill="FFFFFF"/>
            <w:noWrap w:val="0"/>
            <w:vAlign w:val="center"/>
          </w:tcPr>
          <w:p w14:paraId="7D1C071A">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设置标准化、规范化排污口</w:t>
            </w:r>
          </w:p>
        </w:tc>
        <w:tc>
          <w:tcPr>
            <w:tcW w:w="1735" w:type="pct"/>
            <w:shd w:val="clear" w:color="auto" w:fill="FFFFFF"/>
            <w:noWrap w:val="0"/>
            <w:vAlign w:val="center"/>
          </w:tcPr>
          <w:p w14:paraId="544ADEEA">
            <w:pPr>
              <w:widowControl/>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w:t>
            </w:r>
            <w:r>
              <w:rPr>
                <w:rFonts w:hint="default" w:ascii="Arial" w:hAnsi="Arial" w:eastAsia="宋体" w:cs="Arial"/>
                <w:kern w:val="0"/>
                <w:sz w:val="18"/>
                <w:szCs w:val="18"/>
                <w:lang w:val="en-US" w:eastAsia="zh-CN"/>
              </w:rPr>
              <w:t>按要求</w:t>
            </w:r>
            <w:r>
              <w:rPr>
                <w:rFonts w:hint="default" w:ascii="Arial" w:hAnsi="Arial" w:eastAsia="宋体" w:cs="Arial"/>
                <w:kern w:val="0"/>
                <w:sz w:val="18"/>
                <w:szCs w:val="18"/>
              </w:rPr>
              <w:t>设标准化、规范化排放口</w:t>
            </w:r>
          </w:p>
        </w:tc>
        <w:tc>
          <w:tcPr>
            <w:tcW w:w="406" w:type="pct"/>
            <w:shd w:val="clear" w:color="auto" w:fill="FFFFFF"/>
            <w:noWrap w:val="0"/>
            <w:vAlign w:val="center"/>
          </w:tcPr>
          <w:p w14:paraId="4A1D9FB6">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3501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088278DE">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587CAC35">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5DD21303">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23</w:t>
            </w:r>
          </w:p>
        </w:tc>
        <w:tc>
          <w:tcPr>
            <w:tcW w:w="1678" w:type="pct"/>
            <w:shd w:val="clear" w:color="auto" w:fill="FFFFFF"/>
            <w:noWrap w:val="0"/>
            <w:vAlign w:val="center"/>
          </w:tcPr>
          <w:p w14:paraId="0276D4BD">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污水处理设施运行正常，实现稳定达标排放</w:t>
            </w:r>
          </w:p>
        </w:tc>
        <w:tc>
          <w:tcPr>
            <w:tcW w:w="1735" w:type="pct"/>
            <w:shd w:val="clear" w:color="auto" w:fill="FFFFFF"/>
            <w:noWrap w:val="0"/>
            <w:vAlign w:val="center"/>
          </w:tcPr>
          <w:p w14:paraId="528302CC">
            <w:pPr>
              <w:widowControl/>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项目实施后加强管理，保证污水处理设施运行正常</w:t>
            </w:r>
          </w:p>
        </w:tc>
        <w:tc>
          <w:tcPr>
            <w:tcW w:w="406" w:type="pct"/>
            <w:shd w:val="clear" w:color="auto" w:fill="FFFFFF"/>
            <w:noWrap w:val="0"/>
            <w:vAlign w:val="center"/>
          </w:tcPr>
          <w:p w14:paraId="682E5EB2">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759C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7110DB59">
            <w:pPr>
              <w:jc w:val="center"/>
              <w:rPr>
                <w:rFonts w:hint="default" w:ascii="Arial" w:hAnsi="Arial" w:eastAsia="宋体" w:cs="Arial"/>
                <w:b w:val="0"/>
                <w:bCs/>
                <w:color w:val="000000"/>
                <w:sz w:val="18"/>
                <w:szCs w:val="18"/>
              </w:rPr>
            </w:pPr>
          </w:p>
        </w:tc>
        <w:tc>
          <w:tcPr>
            <w:tcW w:w="473" w:type="pct"/>
            <w:vMerge w:val="restart"/>
            <w:shd w:val="clear" w:color="auto" w:fill="FFFFFF"/>
            <w:noWrap w:val="0"/>
            <w:vAlign w:val="center"/>
          </w:tcPr>
          <w:p w14:paraId="61A9C0AE">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废气处理</w:t>
            </w:r>
          </w:p>
        </w:tc>
        <w:tc>
          <w:tcPr>
            <w:tcW w:w="366" w:type="pct"/>
            <w:shd w:val="clear" w:color="auto" w:fill="FFFFFF"/>
            <w:noWrap w:val="0"/>
            <w:vAlign w:val="center"/>
          </w:tcPr>
          <w:p w14:paraId="5768372C">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24</w:t>
            </w:r>
          </w:p>
        </w:tc>
        <w:tc>
          <w:tcPr>
            <w:tcW w:w="1678" w:type="pct"/>
            <w:shd w:val="clear" w:color="auto" w:fill="FFFFFF"/>
            <w:noWrap w:val="0"/>
            <w:vAlign w:val="center"/>
          </w:tcPr>
          <w:p w14:paraId="57ACCA77">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酸雾工段有专门的收集系统和处理设施，设施运行正常，实现稳定达标排放</w:t>
            </w:r>
          </w:p>
        </w:tc>
        <w:tc>
          <w:tcPr>
            <w:tcW w:w="1735" w:type="pct"/>
            <w:shd w:val="clear" w:color="auto" w:fill="FFFFFF"/>
            <w:noWrap w:val="0"/>
            <w:vAlign w:val="center"/>
          </w:tcPr>
          <w:p w14:paraId="1D6A61B3">
            <w:pPr>
              <w:widowControl/>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bidi="ar-SA"/>
              </w:rPr>
              <w:t>项目不产生酸雾</w:t>
            </w:r>
          </w:p>
        </w:tc>
        <w:tc>
          <w:tcPr>
            <w:tcW w:w="406" w:type="pct"/>
            <w:shd w:val="clear" w:color="auto" w:fill="FFFFFF"/>
            <w:noWrap w:val="0"/>
            <w:vAlign w:val="center"/>
          </w:tcPr>
          <w:p w14:paraId="677E343B">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3D77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34ABEB37">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7F14595D">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03E981F1">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25</w:t>
            </w:r>
          </w:p>
        </w:tc>
        <w:tc>
          <w:tcPr>
            <w:tcW w:w="1678" w:type="pct"/>
            <w:shd w:val="clear" w:color="auto" w:fill="FFFFFF"/>
            <w:noWrap w:val="0"/>
            <w:vAlign w:val="center"/>
          </w:tcPr>
          <w:p w14:paraId="06DD7834">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废气处理设施安装独立电表，定期维护，正常稳定运行</w:t>
            </w:r>
          </w:p>
        </w:tc>
        <w:tc>
          <w:tcPr>
            <w:tcW w:w="1735" w:type="pct"/>
            <w:shd w:val="clear" w:color="auto" w:fill="FFFFFF"/>
            <w:noWrap w:val="0"/>
            <w:vAlign w:val="center"/>
          </w:tcPr>
          <w:p w14:paraId="246D1690">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w:t>
            </w:r>
            <w:r>
              <w:rPr>
                <w:rFonts w:hint="default" w:ascii="Arial" w:hAnsi="Arial" w:eastAsia="宋体" w:cs="Arial"/>
                <w:bCs/>
                <w:sz w:val="18"/>
                <w:szCs w:val="18"/>
                <w:lang w:val="en-US" w:eastAsia="zh-CN"/>
              </w:rPr>
              <w:t>前处理工序不涉及废气处理设施</w:t>
            </w:r>
          </w:p>
        </w:tc>
        <w:tc>
          <w:tcPr>
            <w:tcW w:w="406" w:type="pct"/>
            <w:shd w:val="clear" w:color="auto" w:fill="FFFFFF"/>
            <w:noWrap w:val="0"/>
            <w:vAlign w:val="center"/>
          </w:tcPr>
          <w:p w14:paraId="34D76674">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7607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38108474">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6CA45551">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651FEF1F">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26</w:t>
            </w:r>
          </w:p>
        </w:tc>
        <w:tc>
          <w:tcPr>
            <w:tcW w:w="1678" w:type="pct"/>
            <w:shd w:val="clear" w:color="auto" w:fill="FFFFFF"/>
            <w:noWrap w:val="0"/>
            <w:vAlign w:val="center"/>
          </w:tcPr>
          <w:p w14:paraId="3560C057">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锅炉按照要求进行清洁化改造，污染物排放达到《锅炉大气污染物排放标准》（GB 13271-2014）中燃气锅炉大气污染物特别排放限值要求</w:t>
            </w:r>
          </w:p>
        </w:tc>
        <w:tc>
          <w:tcPr>
            <w:tcW w:w="1735" w:type="pct"/>
            <w:shd w:val="clear" w:color="auto" w:fill="FFFFFF"/>
            <w:noWrap w:val="0"/>
            <w:vAlign w:val="center"/>
          </w:tcPr>
          <w:p w14:paraId="4D0140B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前处理烘干使用电加热炉，不涉及锅炉。</w:t>
            </w:r>
          </w:p>
        </w:tc>
        <w:tc>
          <w:tcPr>
            <w:tcW w:w="406" w:type="pct"/>
            <w:shd w:val="clear" w:color="auto" w:fill="FFFFFF"/>
            <w:noWrap w:val="0"/>
            <w:vAlign w:val="center"/>
          </w:tcPr>
          <w:p w14:paraId="5FE28E13">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39DB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72A09096">
            <w:pPr>
              <w:jc w:val="center"/>
              <w:rPr>
                <w:rFonts w:hint="default" w:ascii="Arial" w:hAnsi="Arial" w:eastAsia="宋体" w:cs="Arial"/>
                <w:b w:val="0"/>
                <w:bCs/>
                <w:color w:val="000000"/>
                <w:sz w:val="18"/>
                <w:szCs w:val="18"/>
              </w:rPr>
            </w:pPr>
          </w:p>
        </w:tc>
        <w:tc>
          <w:tcPr>
            <w:tcW w:w="473" w:type="pct"/>
            <w:vMerge w:val="restart"/>
            <w:shd w:val="clear" w:color="auto" w:fill="FFFFFF"/>
            <w:noWrap w:val="0"/>
            <w:vAlign w:val="center"/>
          </w:tcPr>
          <w:p w14:paraId="2C295713">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固废处理</w:t>
            </w:r>
          </w:p>
        </w:tc>
        <w:tc>
          <w:tcPr>
            <w:tcW w:w="366" w:type="pct"/>
            <w:shd w:val="clear" w:color="auto" w:fill="FFFFFF"/>
            <w:noWrap w:val="0"/>
            <w:vAlign w:val="center"/>
          </w:tcPr>
          <w:p w14:paraId="725C2DCA">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27</w:t>
            </w:r>
          </w:p>
        </w:tc>
        <w:tc>
          <w:tcPr>
            <w:tcW w:w="1678" w:type="pct"/>
            <w:shd w:val="clear" w:color="auto" w:fill="FFFFFF"/>
            <w:noWrap w:val="0"/>
            <w:vAlign w:val="center"/>
          </w:tcPr>
          <w:p w14:paraId="53E46F91">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危险废物贮存应满足《危险废物贮存污染控制标准》（GB18597-2001）要求，一般工业固废暂存处置分别满足《一般工业废物贮存、处置污染控制标准》（GB18599-2001）要求。危险废物贮存场所必须按照《环境保护图形标志 固体废物贮存(处置)场》（GB15562.2-1995）中的规定设置警示标志，危险废物运输应符合《危险废物收集贮存运输技术规范》(HJ2025-2012)技术要求</w:t>
            </w:r>
          </w:p>
        </w:tc>
        <w:tc>
          <w:tcPr>
            <w:tcW w:w="1735" w:type="pct"/>
            <w:shd w:val="clear" w:color="auto" w:fill="FFFFFF"/>
            <w:noWrap w:val="0"/>
            <w:vAlign w:val="center"/>
          </w:tcPr>
          <w:p w14:paraId="707F4288">
            <w:pPr>
              <w:widowControl/>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项目厂区设有危废暂存库，暂存库</w:t>
            </w:r>
            <w:r>
              <w:rPr>
                <w:rFonts w:hint="default" w:ascii="Arial" w:hAnsi="Arial" w:eastAsia="宋体" w:cs="Arial"/>
                <w:kern w:val="0"/>
                <w:sz w:val="18"/>
                <w:szCs w:val="18"/>
                <w:lang w:val="en-US" w:eastAsia="zh-CN"/>
              </w:rPr>
              <w:t>按</w:t>
            </w:r>
            <w:r>
              <w:rPr>
                <w:rFonts w:hint="default" w:ascii="Arial" w:hAnsi="Arial" w:eastAsia="宋体" w:cs="Arial"/>
                <w:kern w:val="0"/>
                <w:sz w:val="18"/>
                <w:szCs w:val="18"/>
              </w:rPr>
              <w:t>《危险废物贮存污染控制标准》（GB 18597-2023）相关要求</w:t>
            </w:r>
            <w:r>
              <w:rPr>
                <w:rFonts w:hint="default" w:ascii="Arial" w:hAnsi="Arial" w:eastAsia="宋体" w:cs="Arial"/>
                <w:kern w:val="0"/>
                <w:sz w:val="18"/>
                <w:szCs w:val="18"/>
                <w:lang w:val="en-US" w:eastAsia="zh-CN"/>
              </w:rPr>
              <w:t>设置</w:t>
            </w:r>
            <w:r>
              <w:rPr>
                <w:rFonts w:hint="default" w:ascii="Arial" w:hAnsi="Arial" w:eastAsia="宋体" w:cs="Arial"/>
                <w:kern w:val="0"/>
                <w:sz w:val="18"/>
                <w:szCs w:val="18"/>
                <w:lang w:eastAsia="zh-CN"/>
              </w:rPr>
              <w:t>；</w:t>
            </w:r>
            <w:r>
              <w:rPr>
                <w:rFonts w:hint="default" w:ascii="Arial" w:hAnsi="Arial" w:eastAsia="宋体" w:cs="Arial"/>
                <w:kern w:val="0"/>
                <w:sz w:val="18"/>
                <w:szCs w:val="18"/>
              </w:rPr>
              <w:t>危险废物运输</w:t>
            </w:r>
            <w:r>
              <w:rPr>
                <w:rFonts w:hint="default" w:ascii="Arial" w:hAnsi="Arial" w:eastAsia="宋体" w:cs="Arial"/>
                <w:kern w:val="0"/>
                <w:sz w:val="18"/>
                <w:szCs w:val="18"/>
                <w:lang w:val="en-US" w:eastAsia="zh-CN"/>
              </w:rPr>
              <w:t>按</w:t>
            </w:r>
            <w:r>
              <w:rPr>
                <w:rFonts w:hint="default" w:ascii="Arial" w:hAnsi="Arial" w:eastAsia="宋体" w:cs="Arial"/>
                <w:kern w:val="0"/>
                <w:sz w:val="18"/>
                <w:szCs w:val="18"/>
              </w:rPr>
              <w:t>《危险废物收集贮存运输技术规范》(HJ2025-2012)技术要求</w:t>
            </w:r>
            <w:r>
              <w:rPr>
                <w:rFonts w:hint="default" w:ascii="Arial" w:hAnsi="Arial" w:eastAsia="宋体" w:cs="Arial"/>
                <w:kern w:val="0"/>
                <w:sz w:val="18"/>
                <w:szCs w:val="18"/>
                <w:lang w:val="en-US" w:eastAsia="zh-CN"/>
              </w:rPr>
              <w:t>执行。</w:t>
            </w:r>
          </w:p>
        </w:tc>
        <w:tc>
          <w:tcPr>
            <w:tcW w:w="406" w:type="pct"/>
            <w:shd w:val="clear" w:color="auto" w:fill="FFFFFF"/>
            <w:noWrap w:val="0"/>
            <w:vAlign w:val="center"/>
          </w:tcPr>
          <w:p w14:paraId="0C4DC8DD">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51F7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1C4977FE">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53A867C8">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67029887">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28</w:t>
            </w:r>
          </w:p>
        </w:tc>
        <w:tc>
          <w:tcPr>
            <w:tcW w:w="1678" w:type="pct"/>
            <w:shd w:val="clear" w:color="auto" w:fill="FFFFFF"/>
            <w:noWrap w:val="0"/>
            <w:vAlign w:val="center"/>
          </w:tcPr>
          <w:p w14:paraId="30B9F42D">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建立危险废物、一般工业固体废物管理台账，如实记录危险废物贮存、利用处置相关情况</w:t>
            </w:r>
          </w:p>
        </w:tc>
        <w:tc>
          <w:tcPr>
            <w:tcW w:w="1735" w:type="pct"/>
            <w:shd w:val="clear" w:color="auto" w:fill="FFFFFF"/>
            <w:noWrap w:val="0"/>
            <w:vAlign w:val="center"/>
          </w:tcPr>
          <w:p w14:paraId="3044583C">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按要求建立台账，后期运行过程按要求进行记录</w:t>
            </w:r>
          </w:p>
        </w:tc>
        <w:tc>
          <w:tcPr>
            <w:tcW w:w="406" w:type="pct"/>
            <w:shd w:val="clear" w:color="auto" w:fill="FFFFFF"/>
            <w:noWrap w:val="0"/>
            <w:vAlign w:val="center"/>
          </w:tcPr>
          <w:p w14:paraId="5A4F9C7A">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3BBE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0D36F3A8">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67B56831">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1E31B4A3">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29</w:t>
            </w:r>
          </w:p>
        </w:tc>
        <w:tc>
          <w:tcPr>
            <w:tcW w:w="1678" w:type="pct"/>
            <w:shd w:val="clear" w:color="auto" w:fill="FFFFFF"/>
            <w:noWrap w:val="0"/>
            <w:vAlign w:val="center"/>
          </w:tcPr>
          <w:p w14:paraId="3A83321F">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进行危险废物申报登记，如实申报危险废物种类、产生量、流向、贮存、处置等有关资料</w:t>
            </w:r>
          </w:p>
        </w:tc>
        <w:tc>
          <w:tcPr>
            <w:tcW w:w="1735" w:type="pct"/>
            <w:shd w:val="clear" w:color="auto" w:fill="FFFFFF"/>
            <w:noWrap w:val="0"/>
            <w:vAlign w:val="center"/>
          </w:tcPr>
          <w:p w14:paraId="23654E46">
            <w:pPr>
              <w:snapToGrid w:val="0"/>
              <w:jc w:val="center"/>
              <w:rPr>
                <w:rFonts w:hint="default" w:ascii="Arial" w:hAnsi="Arial" w:eastAsia="宋体" w:cs="Arial"/>
                <w:bCs/>
                <w:kern w:val="2"/>
                <w:sz w:val="18"/>
                <w:szCs w:val="18"/>
                <w:lang w:val="en-US" w:eastAsia="zh-CN" w:bidi="ar-SA"/>
              </w:rPr>
            </w:pPr>
            <w:r>
              <w:rPr>
                <w:rFonts w:hint="default" w:ascii="Arial" w:hAnsi="Arial" w:eastAsia="宋体" w:cs="Arial"/>
                <w:bCs/>
                <w:sz w:val="18"/>
                <w:szCs w:val="18"/>
              </w:rPr>
              <w:t>项目实施后按要求进行危险废物申报</w:t>
            </w:r>
          </w:p>
        </w:tc>
        <w:tc>
          <w:tcPr>
            <w:tcW w:w="406" w:type="pct"/>
            <w:shd w:val="clear" w:color="auto" w:fill="FFFFFF"/>
            <w:noWrap w:val="0"/>
            <w:vAlign w:val="center"/>
          </w:tcPr>
          <w:p w14:paraId="42FD4FD9">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2DF4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7AF0B7DB">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5BC77A31">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2712C657">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30</w:t>
            </w:r>
          </w:p>
        </w:tc>
        <w:tc>
          <w:tcPr>
            <w:tcW w:w="1678" w:type="pct"/>
            <w:shd w:val="clear" w:color="auto" w:fill="FFFFFF"/>
            <w:noWrap w:val="0"/>
            <w:vAlign w:val="center"/>
          </w:tcPr>
          <w:p w14:paraId="64BBB6CF">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危险废物应当委托具有相应危险废物经营资质的单位利用处置，严格执行危险废物转移联单制度</w:t>
            </w:r>
          </w:p>
        </w:tc>
        <w:tc>
          <w:tcPr>
            <w:tcW w:w="1735" w:type="pct"/>
            <w:shd w:val="clear" w:color="auto" w:fill="FFFFFF"/>
            <w:noWrap w:val="0"/>
            <w:vAlign w:val="center"/>
          </w:tcPr>
          <w:p w14:paraId="549515FD">
            <w:pPr>
              <w:jc w:val="center"/>
              <w:rPr>
                <w:rFonts w:hint="default" w:ascii="Arial" w:hAnsi="Arial" w:eastAsia="宋体" w:cs="Arial"/>
                <w:b w:val="0"/>
                <w:bCs/>
                <w:color w:val="000000"/>
                <w:sz w:val="18"/>
                <w:szCs w:val="18"/>
                <w:lang w:val="en-US" w:eastAsia="zh-CN"/>
              </w:rPr>
            </w:pPr>
            <w:r>
              <w:rPr>
                <w:rFonts w:hint="default" w:ascii="Arial" w:hAnsi="Arial" w:eastAsia="宋体" w:cs="Arial"/>
                <w:bCs/>
                <w:sz w:val="18"/>
                <w:szCs w:val="18"/>
              </w:rPr>
              <w:t>项目实施后危险废物委托具有相应危险废物经营资质的单位利用处置</w:t>
            </w:r>
          </w:p>
        </w:tc>
        <w:tc>
          <w:tcPr>
            <w:tcW w:w="406" w:type="pct"/>
            <w:shd w:val="clear" w:color="auto" w:fill="FFFFFF"/>
            <w:noWrap w:val="0"/>
            <w:vAlign w:val="center"/>
          </w:tcPr>
          <w:p w14:paraId="5BE4090F">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r w14:paraId="0B9F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restart"/>
            <w:shd w:val="clear" w:color="auto" w:fill="FFFFFF"/>
            <w:noWrap w:val="0"/>
            <w:vAlign w:val="center"/>
          </w:tcPr>
          <w:p w14:paraId="7CF7A736">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环境监管水平</w:t>
            </w:r>
          </w:p>
        </w:tc>
        <w:tc>
          <w:tcPr>
            <w:tcW w:w="473" w:type="pct"/>
            <w:vMerge w:val="restart"/>
            <w:shd w:val="clear" w:color="auto" w:fill="FFFFFF"/>
            <w:noWrap w:val="0"/>
            <w:vAlign w:val="center"/>
          </w:tcPr>
          <w:p w14:paraId="177ECBD0">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环境应急管理</w:t>
            </w:r>
          </w:p>
        </w:tc>
        <w:tc>
          <w:tcPr>
            <w:tcW w:w="366" w:type="pct"/>
            <w:shd w:val="clear" w:color="auto" w:fill="FFFFFF"/>
            <w:noWrap w:val="0"/>
            <w:vAlign w:val="center"/>
          </w:tcPr>
          <w:p w14:paraId="25B34F9A">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31</w:t>
            </w:r>
          </w:p>
        </w:tc>
        <w:tc>
          <w:tcPr>
            <w:tcW w:w="1678" w:type="pct"/>
            <w:shd w:val="clear" w:color="auto" w:fill="FFFFFF"/>
            <w:noWrap w:val="0"/>
            <w:vAlign w:val="center"/>
          </w:tcPr>
          <w:p w14:paraId="17D7AD2B">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切实落实前、污排放口设置应急阀门</w:t>
            </w:r>
          </w:p>
        </w:tc>
        <w:tc>
          <w:tcPr>
            <w:tcW w:w="1735" w:type="pct"/>
            <w:shd w:val="clear" w:color="auto" w:fill="FFFFFF"/>
            <w:noWrap w:val="0"/>
            <w:vAlign w:val="center"/>
          </w:tcPr>
          <w:p w14:paraId="3DB98D37">
            <w:pPr>
              <w:widowControl/>
              <w:jc w:val="center"/>
              <w:rPr>
                <w:rFonts w:hint="default" w:ascii="Arial" w:hAnsi="Arial" w:eastAsia="宋体" w:cs="Arial"/>
                <w:kern w:val="0"/>
                <w:sz w:val="18"/>
                <w:szCs w:val="18"/>
                <w:lang w:val="en-US" w:eastAsia="zh-CN" w:bidi="ar-SA"/>
              </w:rPr>
            </w:pPr>
            <w:r>
              <w:rPr>
                <w:rFonts w:hint="default" w:ascii="Arial" w:hAnsi="Arial" w:eastAsia="宋体" w:cs="Arial"/>
                <w:bCs/>
                <w:sz w:val="18"/>
                <w:szCs w:val="18"/>
              </w:rPr>
              <w:t>项目按要求在雨、污排放口设置应急阀门</w:t>
            </w:r>
          </w:p>
        </w:tc>
        <w:tc>
          <w:tcPr>
            <w:tcW w:w="406" w:type="pct"/>
            <w:shd w:val="clear" w:color="auto" w:fill="FFFFFF"/>
            <w:noWrap w:val="0"/>
            <w:vAlign w:val="center"/>
          </w:tcPr>
          <w:p w14:paraId="35147430">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6840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59452F0B">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1D7D1BB1">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24EB34D7">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32</w:t>
            </w:r>
          </w:p>
        </w:tc>
        <w:tc>
          <w:tcPr>
            <w:tcW w:w="1678" w:type="pct"/>
            <w:shd w:val="clear" w:color="auto" w:fill="FFFFFF"/>
            <w:noWrap w:val="0"/>
            <w:vAlign w:val="center"/>
          </w:tcPr>
          <w:p w14:paraId="6983F6CC">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建有规模合适的事故应急池，应急事故水池的容积应符合相关要求且能确保事故废水能自流导入</w:t>
            </w:r>
          </w:p>
        </w:tc>
        <w:tc>
          <w:tcPr>
            <w:tcW w:w="1735" w:type="pct"/>
            <w:shd w:val="clear" w:color="auto" w:fill="FFFFFF"/>
            <w:noWrap w:val="0"/>
            <w:vAlign w:val="center"/>
          </w:tcPr>
          <w:p w14:paraId="03C9ED40">
            <w:pPr>
              <w:widowControl/>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项目厂区按要求建有事故应急池，应急池容积符合相关要求，事故应急池设在地下，能确保事故废水自流导入</w:t>
            </w:r>
          </w:p>
        </w:tc>
        <w:tc>
          <w:tcPr>
            <w:tcW w:w="406" w:type="pct"/>
            <w:shd w:val="clear" w:color="auto" w:fill="FFFFFF"/>
            <w:noWrap w:val="0"/>
            <w:vAlign w:val="center"/>
          </w:tcPr>
          <w:p w14:paraId="07ED3EC3">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60AD1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2789E8E0">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7D5C566C">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65A6F541">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33</w:t>
            </w:r>
          </w:p>
        </w:tc>
        <w:tc>
          <w:tcPr>
            <w:tcW w:w="1678" w:type="pct"/>
            <w:shd w:val="clear" w:color="auto" w:fill="FFFFFF"/>
            <w:noWrap w:val="0"/>
            <w:vAlign w:val="center"/>
          </w:tcPr>
          <w:p w14:paraId="3C4A44B0">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制定环境污染事故应急预案，具备可操作性并及时更新完善</w:t>
            </w:r>
          </w:p>
        </w:tc>
        <w:tc>
          <w:tcPr>
            <w:tcW w:w="1735" w:type="pct"/>
            <w:shd w:val="clear" w:color="auto" w:fill="FFFFFF"/>
            <w:noWrap w:val="0"/>
            <w:vAlign w:val="center"/>
          </w:tcPr>
          <w:p w14:paraId="44F3E8B7">
            <w:pPr>
              <w:widowControl/>
              <w:ind w:left="0" w:leftChars="0" w:firstLine="219" w:firstLineChars="122"/>
              <w:jc w:val="left"/>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项目实施后按要求制定环境污染事故应急预案</w:t>
            </w:r>
          </w:p>
        </w:tc>
        <w:tc>
          <w:tcPr>
            <w:tcW w:w="406" w:type="pct"/>
            <w:shd w:val="clear" w:color="auto" w:fill="FFFFFF"/>
            <w:noWrap w:val="0"/>
            <w:vAlign w:val="center"/>
          </w:tcPr>
          <w:p w14:paraId="7729CEDE">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64E5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5887DF1D">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7635B0E9">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636AF0A0">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34</w:t>
            </w:r>
          </w:p>
        </w:tc>
        <w:tc>
          <w:tcPr>
            <w:tcW w:w="1678" w:type="pct"/>
            <w:shd w:val="clear" w:color="auto" w:fill="FFFFFF"/>
            <w:noWrap w:val="0"/>
            <w:vAlign w:val="center"/>
          </w:tcPr>
          <w:p w14:paraId="338A6F1F">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配备相应的应急物资与设备</w:t>
            </w:r>
          </w:p>
        </w:tc>
        <w:tc>
          <w:tcPr>
            <w:tcW w:w="1735" w:type="pct"/>
            <w:shd w:val="clear" w:color="auto" w:fill="FFFFFF"/>
            <w:noWrap w:val="0"/>
            <w:vAlign w:val="center"/>
          </w:tcPr>
          <w:p w14:paraId="387DBA99">
            <w:pPr>
              <w:widowControl/>
              <w:ind w:left="0" w:leftChars="0" w:firstLine="219" w:firstLineChars="122"/>
              <w:jc w:val="left"/>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项目实施后按要求配备相应的应急物资与设备</w:t>
            </w:r>
          </w:p>
        </w:tc>
        <w:tc>
          <w:tcPr>
            <w:tcW w:w="406" w:type="pct"/>
            <w:shd w:val="clear" w:color="auto" w:fill="FFFFFF"/>
            <w:noWrap w:val="0"/>
            <w:vAlign w:val="center"/>
          </w:tcPr>
          <w:p w14:paraId="660419E2">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6902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211F2845">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6E09EF3F">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796F332A">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35</w:t>
            </w:r>
          </w:p>
        </w:tc>
        <w:tc>
          <w:tcPr>
            <w:tcW w:w="1678" w:type="pct"/>
            <w:shd w:val="clear" w:color="auto" w:fill="FFFFFF"/>
            <w:noWrap w:val="0"/>
            <w:vAlign w:val="center"/>
          </w:tcPr>
          <w:p w14:paraId="0AC0B014">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定期进行环境事故应急演练</w:t>
            </w:r>
          </w:p>
        </w:tc>
        <w:tc>
          <w:tcPr>
            <w:tcW w:w="1735" w:type="pct"/>
            <w:shd w:val="clear" w:color="auto" w:fill="FFFFFF"/>
            <w:noWrap w:val="0"/>
            <w:vAlign w:val="center"/>
          </w:tcPr>
          <w:p w14:paraId="79C2501D">
            <w:pPr>
              <w:widowControl/>
              <w:ind w:left="0" w:leftChars="0" w:firstLine="219" w:firstLineChars="122"/>
              <w:jc w:val="left"/>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项目运营过程按要求定期进行环境事故应急演练</w:t>
            </w:r>
          </w:p>
        </w:tc>
        <w:tc>
          <w:tcPr>
            <w:tcW w:w="406" w:type="pct"/>
            <w:shd w:val="clear" w:color="auto" w:fill="FFFFFF"/>
            <w:noWrap w:val="0"/>
            <w:vAlign w:val="center"/>
          </w:tcPr>
          <w:p w14:paraId="203724AF">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2704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75F50AE4">
            <w:pPr>
              <w:jc w:val="center"/>
              <w:rPr>
                <w:rFonts w:hint="default" w:ascii="Arial" w:hAnsi="Arial" w:eastAsia="宋体" w:cs="Arial"/>
                <w:b w:val="0"/>
                <w:bCs/>
                <w:color w:val="000000"/>
                <w:sz w:val="18"/>
                <w:szCs w:val="18"/>
              </w:rPr>
            </w:pPr>
          </w:p>
        </w:tc>
        <w:tc>
          <w:tcPr>
            <w:tcW w:w="473" w:type="pct"/>
            <w:shd w:val="clear" w:color="auto" w:fill="FFFFFF"/>
            <w:noWrap w:val="0"/>
            <w:vAlign w:val="center"/>
          </w:tcPr>
          <w:p w14:paraId="10A37C2E">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环境监测</w:t>
            </w:r>
          </w:p>
        </w:tc>
        <w:tc>
          <w:tcPr>
            <w:tcW w:w="366" w:type="pct"/>
            <w:shd w:val="clear" w:color="auto" w:fill="FFFFFF"/>
            <w:noWrap w:val="0"/>
            <w:vAlign w:val="center"/>
          </w:tcPr>
          <w:p w14:paraId="710EF264">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36</w:t>
            </w:r>
          </w:p>
        </w:tc>
        <w:tc>
          <w:tcPr>
            <w:tcW w:w="1678" w:type="pct"/>
            <w:shd w:val="clear" w:color="auto" w:fill="FFFFFF"/>
            <w:noWrap w:val="0"/>
            <w:vAlign w:val="center"/>
          </w:tcPr>
          <w:p w14:paraId="07CB1543">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制定监测计划并开展排污口、雨水排放口及周边环境的自行监测</w:t>
            </w:r>
          </w:p>
        </w:tc>
        <w:tc>
          <w:tcPr>
            <w:tcW w:w="1735" w:type="pct"/>
            <w:shd w:val="clear" w:color="auto" w:fill="FFFFFF"/>
            <w:noWrap w:val="0"/>
            <w:vAlign w:val="center"/>
          </w:tcPr>
          <w:p w14:paraId="790B1949">
            <w:pPr>
              <w:widowControl/>
              <w:ind w:left="0" w:leftChars="0" w:firstLine="219" w:firstLineChars="122"/>
              <w:jc w:val="left"/>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项目实施后按要求制定监测计划并开展自行监测</w:t>
            </w:r>
          </w:p>
        </w:tc>
        <w:tc>
          <w:tcPr>
            <w:tcW w:w="406" w:type="pct"/>
            <w:shd w:val="clear" w:color="auto" w:fill="FFFFFF"/>
            <w:noWrap w:val="0"/>
            <w:vAlign w:val="center"/>
          </w:tcPr>
          <w:p w14:paraId="300B71EA">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100C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310F3170">
            <w:pPr>
              <w:jc w:val="center"/>
              <w:rPr>
                <w:rFonts w:hint="default" w:ascii="Arial" w:hAnsi="Arial" w:eastAsia="宋体" w:cs="Arial"/>
                <w:b w:val="0"/>
                <w:bCs/>
                <w:color w:val="000000"/>
                <w:sz w:val="18"/>
                <w:szCs w:val="18"/>
              </w:rPr>
            </w:pPr>
          </w:p>
        </w:tc>
        <w:tc>
          <w:tcPr>
            <w:tcW w:w="473" w:type="pct"/>
            <w:vMerge w:val="restart"/>
            <w:shd w:val="clear" w:color="auto" w:fill="FFFFFF"/>
            <w:noWrap w:val="0"/>
            <w:vAlign w:val="center"/>
          </w:tcPr>
          <w:p w14:paraId="1FDEC88A">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内部管理</w:t>
            </w:r>
          </w:p>
        </w:tc>
        <w:tc>
          <w:tcPr>
            <w:tcW w:w="366" w:type="pct"/>
            <w:shd w:val="clear" w:color="auto" w:fill="FFFFFF"/>
            <w:noWrap w:val="0"/>
            <w:vAlign w:val="center"/>
          </w:tcPr>
          <w:p w14:paraId="084CCFB2">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37</w:t>
            </w:r>
          </w:p>
        </w:tc>
        <w:tc>
          <w:tcPr>
            <w:tcW w:w="1678" w:type="pct"/>
            <w:shd w:val="clear" w:color="auto" w:fill="FFFFFF"/>
            <w:noWrap w:val="0"/>
            <w:vAlign w:val="center"/>
          </w:tcPr>
          <w:p w14:paraId="11C6AFB7">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配备专职、专业人员负责日常环境管理和“三废”处理</w:t>
            </w:r>
          </w:p>
        </w:tc>
        <w:tc>
          <w:tcPr>
            <w:tcW w:w="1735" w:type="pct"/>
            <w:shd w:val="clear" w:color="auto" w:fill="FFFFFF"/>
            <w:noWrap w:val="0"/>
            <w:vAlign w:val="center"/>
          </w:tcPr>
          <w:p w14:paraId="18F60D3C">
            <w:pPr>
              <w:widowControl/>
              <w:ind w:left="0" w:leftChars="0" w:firstLine="219" w:firstLineChars="122"/>
              <w:jc w:val="left"/>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项目实施后按要求配备职、专业人员负责日常环境管理和“三废处理”</w:t>
            </w:r>
          </w:p>
        </w:tc>
        <w:tc>
          <w:tcPr>
            <w:tcW w:w="406" w:type="pct"/>
            <w:shd w:val="clear" w:color="auto" w:fill="FFFFFF"/>
            <w:noWrap w:val="0"/>
            <w:vAlign w:val="center"/>
          </w:tcPr>
          <w:p w14:paraId="4DF59200">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3C1A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FFFFFF"/>
            <w:noWrap w:val="0"/>
            <w:vAlign w:val="center"/>
          </w:tcPr>
          <w:p w14:paraId="323796FB">
            <w:pPr>
              <w:jc w:val="center"/>
              <w:rPr>
                <w:rFonts w:hint="default" w:ascii="Arial" w:hAnsi="Arial" w:eastAsia="宋体" w:cs="Arial"/>
                <w:b w:val="0"/>
                <w:bCs/>
                <w:color w:val="000000"/>
                <w:sz w:val="18"/>
                <w:szCs w:val="18"/>
              </w:rPr>
            </w:pPr>
          </w:p>
        </w:tc>
        <w:tc>
          <w:tcPr>
            <w:tcW w:w="473" w:type="pct"/>
            <w:vMerge w:val="continue"/>
            <w:shd w:val="clear" w:color="auto" w:fill="FFFFFF"/>
            <w:noWrap w:val="0"/>
            <w:vAlign w:val="center"/>
          </w:tcPr>
          <w:p w14:paraId="356BB488">
            <w:pPr>
              <w:jc w:val="center"/>
              <w:rPr>
                <w:rFonts w:hint="default" w:ascii="Arial" w:hAnsi="Arial" w:eastAsia="宋体" w:cs="Arial"/>
                <w:b w:val="0"/>
                <w:bCs/>
                <w:color w:val="000000"/>
                <w:sz w:val="18"/>
                <w:szCs w:val="18"/>
              </w:rPr>
            </w:pPr>
          </w:p>
        </w:tc>
        <w:tc>
          <w:tcPr>
            <w:tcW w:w="366" w:type="pct"/>
            <w:shd w:val="clear" w:color="auto" w:fill="FFFFFF"/>
            <w:noWrap w:val="0"/>
            <w:vAlign w:val="center"/>
          </w:tcPr>
          <w:p w14:paraId="4BBEEE16">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38</w:t>
            </w:r>
          </w:p>
        </w:tc>
        <w:tc>
          <w:tcPr>
            <w:tcW w:w="1678" w:type="pct"/>
            <w:shd w:val="clear" w:color="auto" w:fill="FFFFFF"/>
            <w:noWrap w:val="0"/>
            <w:vAlign w:val="center"/>
          </w:tcPr>
          <w:p w14:paraId="2C8DD002">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建立完善的环保组织体系、健全的环保规章制度</w:t>
            </w:r>
          </w:p>
        </w:tc>
        <w:tc>
          <w:tcPr>
            <w:tcW w:w="1735" w:type="pct"/>
            <w:shd w:val="clear" w:color="auto" w:fill="FFFFFF"/>
            <w:noWrap w:val="0"/>
            <w:vAlign w:val="center"/>
          </w:tcPr>
          <w:p w14:paraId="79E86E90">
            <w:pPr>
              <w:widowControl/>
              <w:ind w:left="0" w:leftChars="0" w:firstLine="219" w:firstLineChars="122"/>
              <w:jc w:val="left"/>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项目实施后按要求建立完善的环保组织体系、健全的环保规章制度</w:t>
            </w:r>
          </w:p>
        </w:tc>
        <w:tc>
          <w:tcPr>
            <w:tcW w:w="406" w:type="pct"/>
            <w:shd w:val="clear" w:color="auto" w:fill="FFFFFF"/>
            <w:noWrap w:val="0"/>
            <w:vAlign w:val="center"/>
          </w:tcPr>
          <w:p w14:paraId="41E30153">
            <w:pPr>
              <w:jc w:val="center"/>
              <w:rPr>
                <w:rFonts w:hint="default" w:ascii="Arial" w:hAnsi="Arial" w:eastAsia="宋体" w:cs="Arial"/>
                <w:b w:val="0"/>
                <w:bCs/>
                <w:color w:val="000000"/>
                <w:sz w:val="18"/>
                <w:szCs w:val="18"/>
              </w:rPr>
            </w:pPr>
            <w:r>
              <w:rPr>
                <w:rFonts w:hint="default" w:ascii="Arial" w:hAnsi="Arial" w:eastAsia="宋体" w:cs="Arial"/>
                <w:b w:val="0"/>
                <w:bCs/>
                <w:color w:val="000000"/>
                <w:sz w:val="18"/>
                <w:szCs w:val="18"/>
                <w:lang w:val="en-US" w:eastAsia="zh-CN"/>
              </w:rPr>
              <w:t>符合</w:t>
            </w:r>
          </w:p>
        </w:tc>
      </w:tr>
      <w:tr w14:paraId="0B9B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0" w:type="pct"/>
            <w:vMerge w:val="continue"/>
            <w:shd w:val="clear" w:color="auto" w:fill="auto"/>
            <w:noWrap w:val="0"/>
            <w:vAlign w:val="top"/>
          </w:tcPr>
          <w:p w14:paraId="38316464">
            <w:pPr>
              <w:jc w:val="center"/>
              <w:rPr>
                <w:rFonts w:hint="default" w:ascii="Arial" w:hAnsi="Arial" w:eastAsia="宋体" w:cs="Arial"/>
                <w:b w:val="0"/>
                <w:bCs/>
                <w:color w:val="000000"/>
                <w:sz w:val="18"/>
                <w:szCs w:val="18"/>
              </w:rPr>
            </w:pPr>
          </w:p>
        </w:tc>
        <w:tc>
          <w:tcPr>
            <w:tcW w:w="473" w:type="pct"/>
            <w:vMerge w:val="continue"/>
            <w:shd w:val="clear" w:color="auto" w:fill="auto"/>
            <w:noWrap w:val="0"/>
            <w:vAlign w:val="top"/>
          </w:tcPr>
          <w:p w14:paraId="2CFED265">
            <w:pPr>
              <w:jc w:val="center"/>
              <w:rPr>
                <w:rFonts w:hint="default" w:ascii="Arial" w:hAnsi="Arial" w:eastAsia="宋体" w:cs="Arial"/>
                <w:b w:val="0"/>
                <w:bCs/>
                <w:color w:val="000000"/>
                <w:sz w:val="18"/>
                <w:szCs w:val="18"/>
              </w:rPr>
            </w:pPr>
          </w:p>
        </w:tc>
        <w:tc>
          <w:tcPr>
            <w:tcW w:w="607" w:type="dxa"/>
            <w:shd w:val="clear" w:color="auto" w:fill="auto"/>
            <w:noWrap w:val="0"/>
            <w:vAlign w:val="center"/>
          </w:tcPr>
          <w:p w14:paraId="05B9285D">
            <w:pPr>
              <w:widowControl/>
              <w:jc w:val="center"/>
              <w:rPr>
                <w:rFonts w:hint="default" w:ascii="Arial" w:hAnsi="Arial" w:eastAsia="宋体" w:cs="Arial"/>
                <w:b w:val="0"/>
                <w:bCs/>
                <w:color w:val="000000"/>
                <w:sz w:val="18"/>
                <w:szCs w:val="18"/>
              </w:rPr>
            </w:pPr>
            <w:r>
              <w:rPr>
                <w:rFonts w:hint="default" w:ascii="Arial" w:hAnsi="Arial" w:eastAsia="宋体" w:cs="Arial"/>
                <w:kern w:val="0"/>
                <w:sz w:val="18"/>
                <w:szCs w:val="18"/>
              </w:rPr>
              <w:t>39</w:t>
            </w:r>
          </w:p>
        </w:tc>
        <w:tc>
          <w:tcPr>
            <w:tcW w:w="2781" w:type="dxa"/>
            <w:shd w:val="clear" w:color="auto" w:fill="auto"/>
            <w:noWrap w:val="0"/>
            <w:vAlign w:val="center"/>
          </w:tcPr>
          <w:p w14:paraId="163E53C8">
            <w:pPr>
              <w:widowControl/>
              <w:ind w:left="0" w:leftChars="0" w:firstLine="219" w:firstLineChars="122"/>
              <w:jc w:val="left"/>
              <w:rPr>
                <w:rFonts w:hint="default" w:ascii="Arial" w:hAnsi="Arial" w:eastAsia="宋体" w:cs="Arial"/>
                <w:b w:val="0"/>
                <w:bCs/>
                <w:color w:val="000000"/>
                <w:sz w:val="18"/>
                <w:szCs w:val="18"/>
              </w:rPr>
            </w:pPr>
            <w:r>
              <w:rPr>
                <w:rFonts w:hint="default" w:ascii="Arial" w:hAnsi="Arial" w:eastAsia="宋体" w:cs="Arial"/>
                <w:kern w:val="0"/>
                <w:sz w:val="18"/>
                <w:szCs w:val="18"/>
              </w:rPr>
              <w:t>完善相关台账制度，记录每天的废水、废气处理设施运行、加药、电耗、维修情况；污染物监测台账规范完备；制定危险废物管理计划，如实记录危险废物的产生、贮存及处置情况</w:t>
            </w:r>
          </w:p>
        </w:tc>
        <w:tc>
          <w:tcPr>
            <w:tcW w:w="0" w:type="auto"/>
            <w:shd w:val="clear" w:color="auto" w:fill="FFFFFF"/>
            <w:noWrap w:val="0"/>
            <w:vAlign w:val="center"/>
          </w:tcPr>
          <w:p w14:paraId="31C65104">
            <w:pPr>
              <w:widowControl/>
              <w:ind w:left="0" w:leftChars="0" w:firstLine="219" w:firstLineChars="122"/>
              <w:jc w:val="left"/>
              <w:rPr>
                <w:rFonts w:hint="default" w:ascii="Arial" w:hAnsi="Arial" w:eastAsia="宋体" w:cs="Arial"/>
                <w:kern w:val="0"/>
                <w:sz w:val="18"/>
                <w:szCs w:val="18"/>
                <w:lang w:val="en-US" w:eastAsia="zh-CN" w:bidi="ar-SA"/>
              </w:rPr>
            </w:pPr>
            <w:r>
              <w:rPr>
                <w:rFonts w:hint="default" w:ascii="Arial" w:hAnsi="Arial" w:eastAsia="宋体" w:cs="Arial"/>
                <w:kern w:val="0"/>
                <w:sz w:val="18"/>
                <w:szCs w:val="18"/>
              </w:rPr>
              <w:t>项目运营过程按要求建立相应的台账并按规范记录</w:t>
            </w:r>
          </w:p>
        </w:tc>
        <w:tc>
          <w:tcPr>
            <w:tcW w:w="0" w:type="auto"/>
            <w:noWrap w:val="0"/>
            <w:vAlign w:val="center"/>
          </w:tcPr>
          <w:p w14:paraId="4EF0243A">
            <w:pPr>
              <w:jc w:val="center"/>
              <w:rPr>
                <w:rFonts w:hint="default" w:ascii="Arial" w:hAnsi="Arial" w:eastAsia="宋体" w:cs="Arial"/>
                <w:b w:val="0"/>
                <w:bCs/>
                <w:color w:val="000000"/>
                <w:sz w:val="18"/>
                <w:szCs w:val="18"/>
                <w:lang w:val="en-US" w:eastAsia="zh-CN"/>
              </w:rPr>
            </w:pPr>
            <w:r>
              <w:rPr>
                <w:rFonts w:hint="default" w:ascii="Arial" w:hAnsi="Arial" w:eastAsia="宋体" w:cs="Arial"/>
                <w:b w:val="0"/>
                <w:bCs/>
                <w:color w:val="000000"/>
                <w:sz w:val="18"/>
                <w:szCs w:val="18"/>
                <w:lang w:val="en-US" w:eastAsia="zh-CN"/>
              </w:rPr>
              <w:t>符合</w:t>
            </w:r>
          </w:p>
        </w:tc>
      </w:tr>
    </w:tbl>
    <w:p w14:paraId="050D396F">
      <w:pPr>
        <w:spacing w:line="360" w:lineRule="auto"/>
        <w:ind w:left="105" w:leftChars="50" w:firstLine="522" w:firstLineChars="200"/>
        <w:outlineLvl w:val="2"/>
        <w:rPr>
          <w:rFonts w:hint="default" w:ascii="Arial" w:hAnsi="Arial" w:eastAsia="宋体" w:cs="Arial"/>
          <w:b/>
          <w:bCs/>
          <w:spacing w:val="10"/>
          <w:sz w:val="24"/>
          <w:szCs w:val="20"/>
        </w:rPr>
      </w:pPr>
      <w:r>
        <w:rPr>
          <w:rFonts w:hint="default" w:ascii="Arial" w:hAnsi="Arial" w:eastAsia="宋体" w:cs="Arial"/>
          <w:b/>
          <w:bCs/>
          <w:spacing w:val="10"/>
          <w:sz w:val="24"/>
          <w:szCs w:val="20"/>
        </w:rPr>
        <w:t>（</w:t>
      </w:r>
      <w:r>
        <w:rPr>
          <w:rFonts w:hint="default" w:ascii="Arial" w:hAnsi="Arial" w:eastAsia="宋体" w:cs="Arial"/>
          <w:b/>
          <w:bCs/>
          <w:spacing w:val="10"/>
          <w:sz w:val="24"/>
          <w:szCs w:val="20"/>
          <w:lang w:val="en-US" w:eastAsia="zh-CN"/>
        </w:rPr>
        <w:t>5</w:t>
      </w:r>
      <w:r>
        <w:rPr>
          <w:rFonts w:hint="default" w:ascii="Arial" w:hAnsi="Arial" w:eastAsia="宋体" w:cs="Arial"/>
          <w:b/>
          <w:bCs/>
          <w:spacing w:val="10"/>
          <w:sz w:val="24"/>
          <w:szCs w:val="20"/>
        </w:rPr>
        <w:t>）“污水零直排区”建设实施方案符合性分析</w:t>
      </w:r>
    </w:p>
    <w:p w14:paraId="3600CE10">
      <w:pPr>
        <w:spacing w:line="360" w:lineRule="auto"/>
        <w:ind w:left="105" w:leftChars="50" w:firstLine="520" w:firstLineChars="200"/>
        <w:rPr>
          <w:rFonts w:hint="default" w:ascii="Arial" w:hAnsi="Arial" w:eastAsia="宋体" w:cs="Arial"/>
          <w:spacing w:val="10"/>
          <w:sz w:val="24"/>
          <w:szCs w:val="20"/>
        </w:rPr>
      </w:pPr>
      <w:r>
        <w:rPr>
          <w:rFonts w:hint="default" w:ascii="Arial" w:hAnsi="Arial" w:eastAsia="宋体" w:cs="Arial"/>
          <w:spacing w:val="10"/>
          <w:sz w:val="24"/>
          <w:szCs w:val="20"/>
        </w:rPr>
        <w:t>根据《浙江省生态环境厅浙江省经济和信息化厅省美丽浙江建设领导小组“五水共治”（河长制）办公室关于印发〈浙江省全面推进工业园区（工业集聚区）“污水零直排区”建设实施方案（2020~2022）〉及配套技术要点的通知》中《园区工业企业“污水零直排区”建设技术要点（试行）》中工业企业一般性要点》进行符合性分析，具体见下表。</w:t>
      </w:r>
    </w:p>
    <w:p w14:paraId="58C9758E">
      <w:pPr>
        <w:numPr>
          <w:ilvl w:val="3"/>
          <w:numId w:val="4"/>
        </w:numPr>
        <w:spacing w:line="360" w:lineRule="auto"/>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《浙江省全面推进工业园区（工业集聚区）“污水零直排区”</w:t>
      </w:r>
      <w:r>
        <w:rPr>
          <w:rFonts w:hint="default" w:ascii="Arial" w:hAnsi="Arial" w:eastAsia="宋体" w:cs="Arial"/>
          <w:b/>
          <w:bCs/>
          <w:sz w:val="24"/>
          <w:szCs w:val="24"/>
        </w:rPr>
        <w:br w:type="textWrapping"/>
      </w:r>
      <w:r>
        <w:rPr>
          <w:rFonts w:hint="default" w:ascii="Arial" w:hAnsi="Arial" w:eastAsia="宋体" w:cs="Arial"/>
          <w:b/>
          <w:bCs/>
          <w:sz w:val="24"/>
          <w:szCs w:val="24"/>
        </w:rPr>
        <w:t>建设实施方案（2020-2022年）》符合性分析</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28"/>
        <w:gridCol w:w="823"/>
        <w:gridCol w:w="3287"/>
        <w:gridCol w:w="2352"/>
        <w:gridCol w:w="748"/>
      </w:tblGrid>
      <w:tr w14:paraId="6267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blHeader/>
          <w:jc w:val="center"/>
        </w:trPr>
        <w:tc>
          <w:tcPr>
            <w:tcW w:w="1551" w:type="dxa"/>
            <w:gridSpan w:val="2"/>
            <w:tcBorders>
              <w:tl2br w:val="nil"/>
            </w:tcBorders>
            <w:shd w:val="clear" w:color="auto" w:fill="FFFFFF"/>
            <w:noWrap w:val="0"/>
            <w:vAlign w:val="center"/>
          </w:tcPr>
          <w:p w14:paraId="79D899CA">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内容</w:t>
            </w:r>
          </w:p>
        </w:tc>
        <w:tc>
          <w:tcPr>
            <w:tcW w:w="3287" w:type="dxa"/>
            <w:shd w:val="clear" w:color="auto" w:fill="FFFFFF"/>
            <w:noWrap w:val="0"/>
            <w:vAlign w:val="center"/>
          </w:tcPr>
          <w:p w14:paraId="67B37F2F">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要点</w:t>
            </w:r>
          </w:p>
        </w:tc>
        <w:tc>
          <w:tcPr>
            <w:tcW w:w="2352" w:type="dxa"/>
            <w:shd w:val="clear" w:color="auto" w:fill="FFFFFF"/>
            <w:noWrap w:val="0"/>
            <w:vAlign w:val="center"/>
          </w:tcPr>
          <w:p w14:paraId="0DAF6F88">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企业情况</w:t>
            </w:r>
          </w:p>
        </w:tc>
        <w:tc>
          <w:tcPr>
            <w:tcW w:w="748" w:type="dxa"/>
            <w:shd w:val="clear" w:color="auto" w:fill="FFFFFF"/>
            <w:noWrap w:val="0"/>
            <w:vAlign w:val="center"/>
          </w:tcPr>
          <w:p w14:paraId="4AFC8EFE">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是否符合</w:t>
            </w:r>
          </w:p>
        </w:tc>
      </w:tr>
      <w:tr w14:paraId="6140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restart"/>
            <w:shd w:val="clear" w:color="auto" w:fill="FFFFFF"/>
            <w:noWrap w:val="0"/>
            <w:vAlign w:val="center"/>
          </w:tcPr>
          <w:p w14:paraId="7B89DE12">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一、排查要点</w:t>
            </w:r>
          </w:p>
        </w:tc>
        <w:tc>
          <w:tcPr>
            <w:tcW w:w="3287" w:type="dxa"/>
            <w:shd w:val="clear" w:color="auto" w:fill="FFFFFF"/>
            <w:noWrap w:val="0"/>
            <w:vAlign w:val="center"/>
          </w:tcPr>
          <w:p w14:paraId="7ACAA173">
            <w:pPr>
              <w:rPr>
                <w:rFonts w:hint="default" w:ascii="Arial" w:hAnsi="Arial" w:eastAsia="宋体" w:cs="Arial"/>
                <w:b w:val="0"/>
                <w:color w:val="000000"/>
                <w:sz w:val="18"/>
                <w:szCs w:val="18"/>
              </w:rPr>
            </w:pPr>
            <w:r>
              <w:rPr>
                <w:rFonts w:hint="default" w:ascii="Arial" w:hAnsi="Arial" w:eastAsia="宋体" w:cs="Arial"/>
                <w:b w:val="0"/>
                <w:color w:val="000000"/>
                <w:sz w:val="18"/>
                <w:szCs w:val="18"/>
              </w:rPr>
              <w:t>1、各工序、环节产生的生活污水、</w:t>
            </w:r>
            <w:r>
              <w:rPr>
                <w:rFonts w:hint="default" w:ascii="Arial" w:hAnsi="Arial" w:eastAsia="宋体" w:cs="Arial"/>
                <w:b w:val="0"/>
                <w:bCs/>
                <w:color w:val="000000"/>
                <w:kern w:val="28"/>
                <w:sz w:val="18"/>
                <w:szCs w:val="18"/>
              </w:rPr>
              <w:t>生产废水、雨水、清净下水去向和管网基本情况，包括管网材质、铺设方式、排水能力、标识等。</w:t>
            </w:r>
          </w:p>
        </w:tc>
        <w:tc>
          <w:tcPr>
            <w:tcW w:w="2352" w:type="dxa"/>
            <w:vMerge w:val="restart"/>
            <w:shd w:val="clear" w:color="auto" w:fill="FFFFFF"/>
            <w:noWrap w:val="0"/>
            <w:vAlign w:val="center"/>
          </w:tcPr>
          <w:p w14:paraId="48670ADD">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企业应配合排查工作，建立管网系统排查档案，便于后期监察工作开展。</w:t>
            </w:r>
          </w:p>
          <w:p w14:paraId="522A2116">
            <w:pP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日常生产严格执行雨污分流，完善各类排放口设置，明确各类废水去向，并做好流向标识</w:t>
            </w:r>
          </w:p>
        </w:tc>
        <w:tc>
          <w:tcPr>
            <w:tcW w:w="748" w:type="dxa"/>
            <w:vMerge w:val="restart"/>
            <w:shd w:val="clear" w:color="auto" w:fill="FFFFFF"/>
            <w:noWrap w:val="0"/>
            <w:vAlign w:val="center"/>
          </w:tcPr>
          <w:p w14:paraId="78D52839">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符合</w:t>
            </w:r>
          </w:p>
        </w:tc>
      </w:tr>
      <w:tr w14:paraId="60D3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442B587D">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2F7EBF7B">
            <w:pPr>
              <w:rPr>
                <w:rFonts w:hint="default" w:ascii="Arial" w:hAnsi="Arial" w:eastAsia="宋体" w:cs="Arial"/>
                <w:b w:val="0"/>
                <w:color w:val="000000"/>
                <w:sz w:val="18"/>
                <w:szCs w:val="18"/>
              </w:rPr>
            </w:pPr>
            <w:r>
              <w:rPr>
                <w:rFonts w:hint="default" w:ascii="Arial" w:hAnsi="Arial" w:eastAsia="宋体" w:cs="Arial"/>
                <w:b w:val="0"/>
                <w:color w:val="000000"/>
                <w:sz w:val="18"/>
                <w:szCs w:val="18"/>
              </w:rPr>
              <w:t>2、</w:t>
            </w:r>
            <w:r>
              <w:rPr>
                <w:rFonts w:hint="default" w:ascii="Arial" w:hAnsi="Arial" w:eastAsia="宋体" w:cs="Arial"/>
                <w:b w:val="0"/>
                <w:bCs/>
                <w:color w:val="000000"/>
                <w:kern w:val="28"/>
                <w:sz w:val="18"/>
                <w:szCs w:val="18"/>
              </w:rPr>
              <w:t>管网及辅助设施缺陷，参照《城镇排水管道检测与评估技术规程》(CJJI81)执行，可委托专业机构排查；需形成管网系统排查成果，包括管网系统建设平面图（带问题节点）、检测与评估报告（含缺陷清单）</w:t>
            </w:r>
          </w:p>
        </w:tc>
        <w:tc>
          <w:tcPr>
            <w:tcW w:w="2352" w:type="dxa"/>
            <w:vMerge w:val="continue"/>
            <w:shd w:val="clear" w:color="auto" w:fill="FFFFFF"/>
            <w:noWrap w:val="0"/>
            <w:vAlign w:val="center"/>
          </w:tcPr>
          <w:p w14:paraId="20878B8E">
            <w:pPr>
              <w:rPr>
                <w:rFonts w:hint="default" w:ascii="Arial" w:hAnsi="Arial" w:eastAsia="宋体" w:cs="Arial"/>
                <w:b w:val="0"/>
                <w:color w:val="000000"/>
                <w:sz w:val="18"/>
                <w:szCs w:val="18"/>
              </w:rPr>
            </w:pPr>
          </w:p>
        </w:tc>
        <w:tc>
          <w:tcPr>
            <w:tcW w:w="748" w:type="dxa"/>
            <w:vMerge w:val="continue"/>
            <w:shd w:val="clear" w:color="auto" w:fill="FFFFFF"/>
            <w:noWrap w:val="0"/>
            <w:vAlign w:val="center"/>
          </w:tcPr>
          <w:p w14:paraId="550407B6">
            <w:pPr>
              <w:jc w:val="center"/>
              <w:rPr>
                <w:rFonts w:hint="default" w:ascii="Arial" w:hAnsi="Arial" w:eastAsia="宋体" w:cs="Arial"/>
                <w:b w:val="0"/>
                <w:color w:val="000000"/>
                <w:sz w:val="18"/>
                <w:szCs w:val="18"/>
              </w:rPr>
            </w:pPr>
          </w:p>
        </w:tc>
      </w:tr>
      <w:tr w14:paraId="14BFD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551" w:type="dxa"/>
            <w:gridSpan w:val="2"/>
            <w:vMerge w:val="continue"/>
            <w:shd w:val="clear" w:color="auto" w:fill="FFFFFF"/>
            <w:noWrap w:val="0"/>
            <w:vAlign w:val="center"/>
          </w:tcPr>
          <w:p w14:paraId="1D62359F">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2AD8AAF5">
            <w:pP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3、涉水排放口（包括涉及一类污染物的车间或车间处理设施排放口、企业总排口、雨水排放口、清净下水排放口、溢排水排放口等）设置情况，包括排口类型、规范化建设、标识等情况</w:t>
            </w:r>
          </w:p>
        </w:tc>
        <w:tc>
          <w:tcPr>
            <w:tcW w:w="2352" w:type="dxa"/>
            <w:vMerge w:val="continue"/>
            <w:shd w:val="clear" w:color="auto" w:fill="FFFFFF"/>
            <w:noWrap w:val="0"/>
            <w:vAlign w:val="center"/>
          </w:tcPr>
          <w:p w14:paraId="093877E3">
            <w:pPr>
              <w:rPr>
                <w:rFonts w:hint="default" w:ascii="Arial" w:hAnsi="Arial" w:eastAsia="宋体" w:cs="Arial"/>
                <w:b w:val="0"/>
                <w:color w:val="000000"/>
                <w:sz w:val="18"/>
                <w:szCs w:val="18"/>
              </w:rPr>
            </w:pPr>
          </w:p>
        </w:tc>
        <w:tc>
          <w:tcPr>
            <w:tcW w:w="748" w:type="dxa"/>
            <w:vMerge w:val="continue"/>
            <w:shd w:val="clear" w:color="auto" w:fill="FFFFFF"/>
            <w:noWrap w:val="0"/>
            <w:vAlign w:val="center"/>
          </w:tcPr>
          <w:p w14:paraId="6F36725C">
            <w:pPr>
              <w:jc w:val="center"/>
              <w:rPr>
                <w:rFonts w:hint="default" w:ascii="Arial" w:hAnsi="Arial" w:eastAsia="宋体" w:cs="Arial"/>
                <w:b w:val="0"/>
                <w:color w:val="000000"/>
                <w:sz w:val="18"/>
                <w:szCs w:val="18"/>
              </w:rPr>
            </w:pPr>
          </w:p>
        </w:tc>
      </w:tr>
      <w:tr w14:paraId="2042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6857F915">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03DCFF5E">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4、雨水收集处理情况，包括初期雨水收集区域、收集池容量及雨水切换控制（切换方式、控制要求）等情况。</w:t>
            </w:r>
          </w:p>
        </w:tc>
        <w:tc>
          <w:tcPr>
            <w:tcW w:w="2352" w:type="dxa"/>
            <w:shd w:val="clear" w:color="auto" w:fill="FFFFFF"/>
            <w:noWrap w:val="0"/>
            <w:vAlign w:val="center"/>
          </w:tcPr>
          <w:p w14:paraId="5952986F">
            <w:pPr>
              <w:rPr>
                <w:rFonts w:hint="default" w:ascii="Arial" w:hAnsi="Arial" w:eastAsia="宋体" w:cs="Arial"/>
                <w:b w:val="0"/>
                <w:color w:val="000000"/>
                <w:sz w:val="18"/>
                <w:szCs w:val="18"/>
              </w:rPr>
            </w:pPr>
            <w:r>
              <w:rPr>
                <w:rFonts w:hint="default" w:ascii="Arial" w:hAnsi="Arial" w:eastAsia="宋体" w:cs="Arial"/>
                <w:b w:val="0"/>
                <w:color w:val="000000"/>
                <w:sz w:val="18"/>
                <w:szCs w:val="18"/>
              </w:rPr>
              <w:t>企业不需要收集初期雨水，雨水经收集后接入市政雨水管网</w:t>
            </w:r>
          </w:p>
        </w:tc>
        <w:tc>
          <w:tcPr>
            <w:tcW w:w="748" w:type="dxa"/>
            <w:shd w:val="clear" w:color="auto" w:fill="FFFFFF"/>
            <w:noWrap w:val="0"/>
            <w:vAlign w:val="center"/>
          </w:tcPr>
          <w:p w14:paraId="57634262">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符合</w:t>
            </w:r>
          </w:p>
        </w:tc>
      </w:tr>
      <w:tr w14:paraId="16EC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restart"/>
            <w:shd w:val="clear" w:color="auto" w:fill="FFFFFF"/>
            <w:noWrap w:val="0"/>
            <w:vAlign w:val="center"/>
          </w:tcPr>
          <w:p w14:paraId="63497B57">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二、重点问题整改要点</w:t>
            </w:r>
          </w:p>
        </w:tc>
        <w:tc>
          <w:tcPr>
            <w:tcW w:w="823" w:type="dxa"/>
            <w:shd w:val="clear" w:color="auto" w:fill="FFFFFF"/>
            <w:noWrap w:val="0"/>
            <w:vAlign w:val="center"/>
          </w:tcPr>
          <w:p w14:paraId="7370C088">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（一）“一长一策”治理</w:t>
            </w:r>
          </w:p>
        </w:tc>
        <w:tc>
          <w:tcPr>
            <w:tcW w:w="3287" w:type="dxa"/>
            <w:shd w:val="clear" w:color="auto" w:fill="FFFFFF"/>
            <w:noWrap w:val="0"/>
            <w:vAlign w:val="center"/>
          </w:tcPr>
          <w:p w14:paraId="390AD4DA">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1、应制定“一厂一策 “治理方案， 按照“四张清单＂（问题清单、任务清单、项目清单、责任清单）实施整改，清单和整改进展需及时报送园区”污水零直排区”建设管理部门。</w:t>
            </w:r>
          </w:p>
        </w:tc>
        <w:tc>
          <w:tcPr>
            <w:tcW w:w="2352" w:type="dxa"/>
            <w:shd w:val="clear" w:color="auto" w:fill="FFFFFF"/>
            <w:noWrap w:val="0"/>
            <w:vAlign w:val="center"/>
          </w:tcPr>
          <w:p w14:paraId="59893F3A">
            <w:pP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企业应配合排查整改工作，制定”一厂一策”治理方案，按照“四张清单”实施整改，清单和整改进展需及时报送园区”污水零直排区”建设管理部门</w:t>
            </w:r>
          </w:p>
        </w:tc>
        <w:tc>
          <w:tcPr>
            <w:tcW w:w="748" w:type="dxa"/>
            <w:shd w:val="clear" w:color="auto" w:fill="FFFFFF"/>
            <w:noWrap w:val="0"/>
            <w:vAlign w:val="center"/>
          </w:tcPr>
          <w:p w14:paraId="4928809F">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符合</w:t>
            </w:r>
          </w:p>
        </w:tc>
      </w:tr>
      <w:tr w14:paraId="3817F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7D6576C2">
            <w:pPr>
              <w:jc w:val="center"/>
              <w:rPr>
                <w:rFonts w:hint="default" w:ascii="Arial" w:hAnsi="Arial" w:eastAsia="宋体" w:cs="Arial"/>
                <w:b w:val="0"/>
                <w:color w:val="000000"/>
                <w:sz w:val="18"/>
                <w:szCs w:val="18"/>
              </w:rPr>
            </w:pPr>
          </w:p>
        </w:tc>
        <w:tc>
          <w:tcPr>
            <w:tcW w:w="823" w:type="dxa"/>
            <w:shd w:val="clear" w:color="auto" w:fill="FFFFFF"/>
            <w:noWrap w:val="0"/>
            <w:vAlign w:val="center"/>
          </w:tcPr>
          <w:p w14:paraId="0DBBE7CF">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（二）管网系统</w:t>
            </w:r>
          </w:p>
        </w:tc>
        <w:tc>
          <w:tcPr>
            <w:tcW w:w="3287" w:type="dxa"/>
            <w:shd w:val="clear" w:color="auto" w:fill="FFFFFF"/>
            <w:noWrap w:val="0"/>
            <w:vAlign w:val="center"/>
          </w:tcPr>
          <w:p w14:paraId="1CFC0319">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2、企业按规范建设独立的清污分流、雨污分流系统，管网及辅助设施应有明确的标识。</w:t>
            </w:r>
          </w:p>
        </w:tc>
        <w:tc>
          <w:tcPr>
            <w:tcW w:w="2352" w:type="dxa"/>
            <w:shd w:val="clear" w:color="auto" w:fill="FFFFFF"/>
            <w:noWrap w:val="0"/>
            <w:vAlign w:val="center"/>
          </w:tcPr>
          <w:p w14:paraId="57F2DF9D">
            <w:pP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本项目利用企业现有生产车间实施，目前企业清污分流、雨污分流系统已建成，管网系统走向明确，并设置了标志标识</w:t>
            </w:r>
          </w:p>
        </w:tc>
        <w:tc>
          <w:tcPr>
            <w:tcW w:w="748" w:type="dxa"/>
            <w:shd w:val="clear" w:color="auto" w:fill="FFFFFF"/>
            <w:noWrap w:val="0"/>
            <w:vAlign w:val="center"/>
          </w:tcPr>
          <w:p w14:paraId="61DFE640">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符合</w:t>
            </w:r>
          </w:p>
        </w:tc>
      </w:tr>
      <w:tr w14:paraId="2E4A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restart"/>
            <w:shd w:val="clear" w:color="auto" w:fill="FFFFFF"/>
            <w:noWrap w:val="0"/>
            <w:vAlign w:val="center"/>
          </w:tcPr>
          <w:p w14:paraId="1AB06BCD">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二、重点问题整改要点</w:t>
            </w:r>
          </w:p>
        </w:tc>
        <w:tc>
          <w:tcPr>
            <w:tcW w:w="823" w:type="dxa"/>
            <w:vMerge w:val="restart"/>
            <w:shd w:val="clear" w:color="auto" w:fill="FFFFFF"/>
            <w:noWrap w:val="0"/>
            <w:vAlign w:val="center"/>
          </w:tcPr>
          <w:p w14:paraId="3D0206A9">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（二）管网系统</w:t>
            </w:r>
          </w:p>
        </w:tc>
        <w:tc>
          <w:tcPr>
            <w:tcW w:w="3287" w:type="dxa"/>
            <w:shd w:val="clear" w:color="auto" w:fill="FFFFFF"/>
            <w:noWrap w:val="0"/>
            <w:vAlign w:val="center"/>
          </w:tcPr>
          <w:p w14:paraId="3B9DEECD">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3、针对排查发现的管网及其辅助设施缺陷进行整改修复，可参照《给水排水管道工程施工及验收规范》(GB 50268)《城镇排水管道非开挖修复更新工程技术规程》 (CJJT 210)实施。</w:t>
            </w:r>
          </w:p>
        </w:tc>
        <w:tc>
          <w:tcPr>
            <w:tcW w:w="2352" w:type="dxa"/>
            <w:shd w:val="clear" w:color="auto" w:fill="FFFFFF"/>
            <w:noWrap w:val="0"/>
            <w:vAlign w:val="center"/>
          </w:tcPr>
          <w:p w14:paraId="3DAA3A2F">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企业对排查过程发现的管网缺陷等问题进行整改修复</w:t>
            </w:r>
          </w:p>
        </w:tc>
        <w:tc>
          <w:tcPr>
            <w:tcW w:w="748" w:type="dxa"/>
            <w:shd w:val="clear" w:color="auto" w:fill="FFFFFF"/>
            <w:noWrap w:val="0"/>
            <w:vAlign w:val="center"/>
          </w:tcPr>
          <w:p w14:paraId="171535B3">
            <w:pPr>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3BC4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18E2D3E">
            <w:pPr>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1F3292E2">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3975A9C0">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4、生活污水和工业废水宜采用明管化方式输送，确需采用地下管网输送的，应合理设置观察井，方便日常巡检。重污染行业废水推荐采用管廊架空方式输送。</w:t>
            </w:r>
          </w:p>
        </w:tc>
        <w:tc>
          <w:tcPr>
            <w:tcW w:w="2352" w:type="dxa"/>
            <w:shd w:val="clear" w:color="auto" w:fill="FFFFFF"/>
            <w:noWrap w:val="0"/>
            <w:vAlign w:val="center"/>
          </w:tcPr>
          <w:p w14:paraId="666AA756">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项目废水采用明管化方式输送，并设置防腐防渗</w:t>
            </w:r>
          </w:p>
        </w:tc>
        <w:tc>
          <w:tcPr>
            <w:tcW w:w="748" w:type="dxa"/>
            <w:shd w:val="clear" w:color="auto" w:fill="FFFFFF"/>
            <w:noWrap w:val="0"/>
            <w:vAlign w:val="center"/>
          </w:tcPr>
          <w:p w14:paraId="10987E20">
            <w:pPr>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647A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B8F02A8">
            <w:pPr>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4086143D">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1FBAA8D8">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5、废水管网应根据废水性质选择适用、耐用的优质管材，应符合相关标准手册规范和设计要求，可采用玻璃钢夹砂管、金属防腐管（不锈钢、铸铁管和钢管）、塑料管(HDPE管、U-PVC)等。</w:t>
            </w:r>
          </w:p>
        </w:tc>
        <w:tc>
          <w:tcPr>
            <w:tcW w:w="2352" w:type="dxa"/>
            <w:shd w:val="clear" w:color="auto" w:fill="FFFFFF"/>
            <w:noWrap w:val="0"/>
            <w:vAlign w:val="center"/>
          </w:tcPr>
          <w:p w14:paraId="76281612">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企业废水管网按照废水性质选择适用、耐用的优质管材，符合相关标准手册规范和设计要求</w:t>
            </w:r>
          </w:p>
        </w:tc>
        <w:tc>
          <w:tcPr>
            <w:tcW w:w="748" w:type="dxa"/>
            <w:shd w:val="clear" w:color="auto" w:fill="FFFFFF"/>
            <w:noWrap w:val="0"/>
            <w:vAlign w:val="center"/>
          </w:tcPr>
          <w:p w14:paraId="1717D8F2">
            <w:pPr>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19CC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5BFFA926">
            <w:pPr>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5E603839">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301F0A63">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6、推荐使用地面明沟方式收集雨水，采用可视盖板；无降雨情况下，雨水沟一般应保持干燥。确需采用管网输送雨水的，可采用HOPE管（DN600mm以下）。</w:t>
            </w:r>
          </w:p>
        </w:tc>
        <w:tc>
          <w:tcPr>
            <w:tcW w:w="2352" w:type="dxa"/>
            <w:shd w:val="clear" w:color="auto" w:fill="FFFFFF"/>
            <w:noWrap w:val="0"/>
            <w:vAlign w:val="center"/>
          </w:tcPr>
          <w:p w14:paraId="5561192C">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使用地面明沟方式收集雨水，采用可视盖板</w:t>
            </w:r>
          </w:p>
        </w:tc>
        <w:tc>
          <w:tcPr>
            <w:tcW w:w="748" w:type="dxa"/>
            <w:shd w:val="clear" w:color="auto" w:fill="FFFFFF"/>
            <w:noWrap w:val="0"/>
            <w:vAlign w:val="center"/>
          </w:tcPr>
          <w:p w14:paraId="493D7255">
            <w:pPr>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41CC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DB32C5C">
            <w:pPr>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4B4F546C">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12107A37">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7、雨水收集沟内不得敷设与雨水收集无关的管网，雨水收集沟与生产车间保持一定距离，严禁污水混入雨水沟渠。</w:t>
            </w:r>
          </w:p>
        </w:tc>
        <w:tc>
          <w:tcPr>
            <w:tcW w:w="2352" w:type="dxa"/>
            <w:shd w:val="clear" w:color="auto" w:fill="FFFFFF"/>
            <w:noWrap w:val="0"/>
            <w:vAlign w:val="center"/>
          </w:tcPr>
          <w:p w14:paraId="55850FF7">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雨污分流，雨水收集沟与生产车间保持一定距离</w:t>
            </w:r>
          </w:p>
        </w:tc>
        <w:tc>
          <w:tcPr>
            <w:tcW w:w="748" w:type="dxa"/>
            <w:shd w:val="clear" w:color="auto" w:fill="FFFFFF"/>
            <w:noWrap w:val="0"/>
            <w:vAlign w:val="center"/>
          </w:tcPr>
          <w:p w14:paraId="779CDDD6">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0895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7FCF39BE">
            <w:pPr>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6522D5D7">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735452B0">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8、隔油池根据食堂就餐人数确定容积，残渣和废油须定期清理；化粪池满足三格式化粪池设计、建设要求，粪皮和粪渣定期清理。参照《建筑给水排水设计标准》(GB50015)、《饮食业环境保护技术规范》(HJ554)等技术规范。</w:t>
            </w:r>
          </w:p>
        </w:tc>
        <w:tc>
          <w:tcPr>
            <w:tcW w:w="2352" w:type="dxa"/>
            <w:shd w:val="clear" w:color="auto" w:fill="FFFFFF"/>
            <w:noWrap w:val="0"/>
            <w:vAlign w:val="center"/>
          </w:tcPr>
          <w:p w14:paraId="3FB59EE3">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企业不设厨房。企业化粪池设置三格式化粪池，粪皮和粪渣定期清理</w:t>
            </w:r>
          </w:p>
        </w:tc>
        <w:tc>
          <w:tcPr>
            <w:tcW w:w="748" w:type="dxa"/>
            <w:shd w:val="clear" w:color="auto" w:fill="FFFFFF"/>
            <w:noWrap w:val="0"/>
            <w:vAlign w:val="center"/>
          </w:tcPr>
          <w:p w14:paraId="1D354346">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1A13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restart"/>
            <w:shd w:val="clear" w:color="auto" w:fill="FFFFFF"/>
            <w:noWrap w:val="0"/>
            <w:vAlign w:val="center"/>
          </w:tcPr>
          <w:p w14:paraId="5AAECA7E">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二、重点问题整改要点</w:t>
            </w:r>
          </w:p>
        </w:tc>
        <w:tc>
          <w:tcPr>
            <w:tcW w:w="823" w:type="dxa"/>
            <w:shd w:val="clear" w:color="auto" w:fill="FFFFFF"/>
            <w:noWrap w:val="0"/>
            <w:vAlign w:val="center"/>
          </w:tcPr>
          <w:p w14:paraId="39837EB1">
            <w:pPr>
              <w:jc w:val="center"/>
              <w:rPr>
                <w:rFonts w:hint="default" w:ascii="Arial" w:hAnsi="Arial" w:eastAsia="宋体" w:cs="Arial"/>
                <w:b w:val="0"/>
                <w:color w:val="000000"/>
                <w:sz w:val="18"/>
                <w:szCs w:val="18"/>
              </w:rPr>
            </w:pPr>
            <w:r>
              <w:rPr>
                <w:rFonts w:hint="default" w:ascii="Arial" w:hAnsi="Arial" w:eastAsia="宋体" w:cs="Arial"/>
                <w:b w:val="0"/>
                <w:color w:val="000000"/>
                <w:sz w:val="18"/>
                <w:szCs w:val="18"/>
              </w:rPr>
              <w:t>（二）管网系统</w:t>
            </w:r>
          </w:p>
        </w:tc>
        <w:tc>
          <w:tcPr>
            <w:tcW w:w="3287" w:type="dxa"/>
            <w:shd w:val="clear" w:color="auto" w:fill="FFFFFF"/>
            <w:noWrap w:val="0"/>
            <w:vAlign w:val="center"/>
          </w:tcPr>
          <w:p w14:paraId="62A07489">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9、厂区内拖把清洗池、员工洗手槽等散装龙头区域的废水应纳入相应的污水管网。</w:t>
            </w:r>
          </w:p>
        </w:tc>
        <w:tc>
          <w:tcPr>
            <w:tcW w:w="2352" w:type="dxa"/>
            <w:shd w:val="clear" w:color="auto" w:fill="FFFFFF"/>
            <w:noWrap w:val="0"/>
            <w:vAlign w:val="center"/>
          </w:tcPr>
          <w:p w14:paraId="0CC57175">
            <w:pP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企业厂区内员工洗手槽等散装龙头区域的废水均纳入相应污水管网。</w:t>
            </w:r>
          </w:p>
        </w:tc>
        <w:tc>
          <w:tcPr>
            <w:tcW w:w="748" w:type="dxa"/>
            <w:shd w:val="clear" w:color="auto" w:fill="FFFFFF"/>
            <w:noWrap w:val="0"/>
            <w:vAlign w:val="center"/>
          </w:tcPr>
          <w:p w14:paraId="09517DAB">
            <w:pPr>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符合</w:t>
            </w:r>
          </w:p>
        </w:tc>
      </w:tr>
      <w:tr w14:paraId="5523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7CF4945">
            <w:pPr>
              <w:jc w:val="center"/>
              <w:rPr>
                <w:rFonts w:hint="default" w:ascii="Arial" w:hAnsi="Arial" w:eastAsia="宋体" w:cs="Arial"/>
                <w:b w:val="0"/>
                <w:color w:val="000000"/>
                <w:sz w:val="18"/>
                <w:szCs w:val="18"/>
              </w:rPr>
            </w:pPr>
          </w:p>
        </w:tc>
        <w:tc>
          <w:tcPr>
            <w:tcW w:w="823" w:type="dxa"/>
            <w:vMerge w:val="restart"/>
            <w:shd w:val="clear" w:color="auto" w:fill="FFFFFF"/>
            <w:noWrap w:val="0"/>
            <w:vAlign w:val="center"/>
          </w:tcPr>
          <w:p w14:paraId="2E273DA4">
            <w:pPr>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（三）初期雨水</w:t>
            </w:r>
          </w:p>
        </w:tc>
        <w:tc>
          <w:tcPr>
            <w:tcW w:w="3287" w:type="dxa"/>
            <w:shd w:val="clear" w:color="auto" w:fill="FFFFFF"/>
            <w:noWrap w:val="0"/>
            <w:vAlign w:val="center"/>
          </w:tcPr>
          <w:p w14:paraId="30E0391D">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10、企业物料储罐区、风险物质装卸区等可能受污染区块应建立初期雨水收集系统，初期雨水应排入污水处理设施进行处理。</w:t>
            </w:r>
          </w:p>
        </w:tc>
        <w:tc>
          <w:tcPr>
            <w:tcW w:w="2352" w:type="dxa"/>
            <w:shd w:val="clear" w:color="auto" w:fill="FFFFFF"/>
            <w:noWrap w:val="0"/>
            <w:vAlign w:val="center"/>
          </w:tcPr>
          <w:p w14:paraId="1F8E6AB8">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本项目不涉及储罐区和风险物质装卸区，无需设置初期雨水收集系统</w:t>
            </w:r>
          </w:p>
        </w:tc>
        <w:tc>
          <w:tcPr>
            <w:tcW w:w="748" w:type="dxa"/>
            <w:shd w:val="clear" w:color="auto" w:fill="FFFFFF"/>
            <w:noWrap w:val="0"/>
            <w:vAlign w:val="center"/>
          </w:tcPr>
          <w:p w14:paraId="0DF1B3C8">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3829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784A46B0">
            <w:pPr>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762EFC58">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7DDB4EC6">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11、初期雨水收集池容量应满足收集要求，重污染行业按降雨深度10—30mm收集，一般行业按10mm收集，推荐安装阀门自动切换系统。具体可参照《石油化工污水处理设计规范》(GB50747)《化学工业污水处理与回用设计规范》(GB50684)等。</w:t>
            </w:r>
          </w:p>
        </w:tc>
        <w:tc>
          <w:tcPr>
            <w:tcW w:w="2352" w:type="dxa"/>
            <w:shd w:val="clear" w:color="auto" w:fill="FFFFFF"/>
            <w:noWrap w:val="0"/>
            <w:vAlign w:val="center"/>
          </w:tcPr>
          <w:p w14:paraId="27BD15B0">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不涉及</w:t>
            </w:r>
          </w:p>
        </w:tc>
        <w:tc>
          <w:tcPr>
            <w:tcW w:w="748" w:type="dxa"/>
            <w:shd w:val="clear" w:color="auto" w:fill="FFFFFF"/>
            <w:noWrap w:val="0"/>
            <w:vAlign w:val="center"/>
          </w:tcPr>
          <w:p w14:paraId="3CA092F1">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54A7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787E0BC7">
            <w:pPr>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5B9379D0">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1323997B">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12、统计初期雨水等水量变化情况，报送园区管理机构。</w:t>
            </w:r>
          </w:p>
        </w:tc>
        <w:tc>
          <w:tcPr>
            <w:tcW w:w="2352" w:type="dxa"/>
            <w:shd w:val="clear" w:color="auto" w:fill="FFFFFF"/>
            <w:noWrap w:val="0"/>
            <w:vAlign w:val="center"/>
          </w:tcPr>
          <w:p w14:paraId="5B589A78">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不涉及</w:t>
            </w:r>
          </w:p>
        </w:tc>
        <w:tc>
          <w:tcPr>
            <w:tcW w:w="748" w:type="dxa"/>
            <w:shd w:val="clear" w:color="auto" w:fill="FFFFFF"/>
            <w:noWrap w:val="0"/>
            <w:vAlign w:val="center"/>
          </w:tcPr>
          <w:p w14:paraId="260987C8">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74E0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084344AE">
            <w:pPr>
              <w:jc w:val="center"/>
              <w:rPr>
                <w:rFonts w:hint="default" w:ascii="Arial" w:hAnsi="Arial" w:eastAsia="宋体" w:cs="Arial"/>
                <w:b w:val="0"/>
                <w:color w:val="000000"/>
                <w:sz w:val="18"/>
                <w:szCs w:val="18"/>
              </w:rPr>
            </w:pPr>
          </w:p>
        </w:tc>
        <w:tc>
          <w:tcPr>
            <w:tcW w:w="823" w:type="dxa"/>
            <w:vMerge w:val="restart"/>
            <w:shd w:val="clear" w:color="auto" w:fill="FFFFFF"/>
            <w:noWrap w:val="0"/>
            <w:vAlign w:val="center"/>
          </w:tcPr>
          <w:p w14:paraId="75CCD073">
            <w:pPr>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（四）排污（水）口</w:t>
            </w:r>
          </w:p>
        </w:tc>
        <w:tc>
          <w:tcPr>
            <w:tcW w:w="3287" w:type="dxa"/>
            <w:shd w:val="clear" w:color="auto" w:fill="FFFFFF"/>
            <w:noWrap w:val="0"/>
            <w:vAlign w:val="center"/>
          </w:tcPr>
          <w:p w14:paraId="41FB0C08">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13、每个企业一般只允许设置1个排污口，废水纳入园区污水收集管网，按要求安装废水在线监测设施并联网。</w:t>
            </w:r>
          </w:p>
        </w:tc>
        <w:tc>
          <w:tcPr>
            <w:tcW w:w="2352" w:type="dxa"/>
            <w:shd w:val="clear" w:color="auto" w:fill="FFFFFF"/>
            <w:noWrap w:val="0"/>
            <w:vAlign w:val="center"/>
          </w:tcPr>
          <w:p w14:paraId="07B51A75">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企业只设置一个排污口，废水纳入园区污水收集管网。</w:t>
            </w:r>
          </w:p>
        </w:tc>
        <w:tc>
          <w:tcPr>
            <w:tcW w:w="748" w:type="dxa"/>
            <w:shd w:val="clear" w:color="auto" w:fill="FFFFFF"/>
            <w:noWrap w:val="0"/>
            <w:vAlign w:val="center"/>
          </w:tcPr>
          <w:p w14:paraId="6058279E">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19B1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1D097508">
            <w:pPr>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7E17C3D4">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4B2E1C70">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14、原则上只设置1个雨水排放口，根据排水条件确需设置多个的，需向园区管理机构备案。</w:t>
            </w:r>
          </w:p>
        </w:tc>
        <w:tc>
          <w:tcPr>
            <w:tcW w:w="2352" w:type="dxa"/>
            <w:shd w:val="clear" w:color="auto" w:fill="FFFFFF"/>
            <w:noWrap w:val="0"/>
            <w:vAlign w:val="center"/>
          </w:tcPr>
          <w:p w14:paraId="047B36A9">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企业雨水排放口设置已符合规范。</w:t>
            </w:r>
          </w:p>
        </w:tc>
        <w:tc>
          <w:tcPr>
            <w:tcW w:w="748" w:type="dxa"/>
            <w:shd w:val="clear" w:color="auto" w:fill="FFFFFF"/>
            <w:noWrap w:val="0"/>
            <w:vAlign w:val="center"/>
          </w:tcPr>
          <w:p w14:paraId="4AF60A82">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2199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728" w:type="dxa"/>
            <w:vMerge w:val="continue"/>
            <w:shd w:val="clear" w:color="auto" w:fill="FFFFFF"/>
            <w:noWrap w:val="0"/>
            <w:vAlign w:val="center"/>
          </w:tcPr>
          <w:p w14:paraId="3BEB2346">
            <w:pPr>
              <w:jc w:val="center"/>
              <w:rPr>
                <w:rFonts w:hint="default" w:ascii="Arial" w:hAnsi="Arial" w:eastAsia="宋体" w:cs="Arial"/>
                <w:b w:val="0"/>
                <w:color w:val="000000"/>
                <w:sz w:val="18"/>
                <w:szCs w:val="18"/>
              </w:rPr>
            </w:pPr>
          </w:p>
        </w:tc>
        <w:tc>
          <w:tcPr>
            <w:tcW w:w="823" w:type="dxa"/>
            <w:vMerge w:val="continue"/>
            <w:shd w:val="clear" w:color="auto" w:fill="FFFFFF"/>
            <w:noWrap w:val="0"/>
            <w:vAlign w:val="center"/>
          </w:tcPr>
          <w:p w14:paraId="5C25A002">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7463767B">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15、不得设置清净下水排放口。</w:t>
            </w:r>
          </w:p>
        </w:tc>
        <w:tc>
          <w:tcPr>
            <w:tcW w:w="2352" w:type="dxa"/>
            <w:shd w:val="clear" w:color="auto" w:fill="FFFFFF"/>
            <w:noWrap w:val="0"/>
            <w:vAlign w:val="center"/>
          </w:tcPr>
          <w:p w14:paraId="433B55CC">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企业无清净下水排放口。</w:t>
            </w:r>
          </w:p>
        </w:tc>
        <w:tc>
          <w:tcPr>
            <w:tcW w:w="748" w:type="dxa"/>
            <w:shd w:val="clear" w:color="auto" w:fill="FFFFFF"/>
            <w:noWrap w:val="0"/>
            <w:vAlign w:val="center"/>
          </w:tcPr>
          <w:p w14:paraId="6B14BD57">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4E18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restart"/>
            <w:shd w:val="clear" w:color="auto" w:fill="FFFFFF"/>
            <w:noWrap w:val="0"/>
            <w:vAlign w:val="center"/>
          </w:tcPr>
          <w:p w14:paraId="1C485A1D">
            <w:pPr>
              <w:jc w:val="center"/>
              <w:rPr>
                <w:rFonts w:hint="default" w:ascii="Arial" w:hAnsi="Arial" w:eastAsia="宋体" w:cs="Arial"/>
                <w:b w:val="0"/>
                <w:color w:val="000000"/>
                <w:sz w:val="18"/>
                <w:szCs w:val="18"/>
              </w:rPr>
            </w:pPr>
            <w:r>
              <w:rPr>
                <w:rFonts w:hint="default" w:ascii="Arial" w:hAnsi="Arial" w:eastAsia="宋体" w:cs="Arial"/>
                <w:b w:val="0"/>
                <w:bCs/>
                <w:color w:val="000000"/>
                <w:kern w:val="28"/>
                <w:sz w:val="18"/>
                <w:szCs w:val="18"/>
              </w:rPr>
              <w:t>三、长效管理要点</w:t>
            </w:r>
          </w:p>
        </w:tc>
        <w:tc>
          <w:tcPr>
            <w:tcW w:w="3287" w:type="dxa"/>
            <w:shd w:val="clear" w:color="auto" w:fill="FFFFFF"/>
            <w:noWrap w:val="0"/>
            <w:vAlign w:val="center"/>
          </w:tcPr>
          <w:p w14:paraId="0CF4D988">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1、建立企业内部管网系统、初期雨水收集系统、污水处理设施及排污（水）口等定期检查制度，落实专人管理。</w:t>
            </w:r>
          </w:p>
        </w:tc>
        <w:tc>
          <w:tcPr>
            <w:tcW w:w="2352" w:type="dxa"/>
            <w:shd w:val="clear" w:color="auto" w:fill="FFFFFF"/>
            <w:noWrap w:val="0"/>
            <w:vAlign w:val="center"/>
          </w:tcPr>
          <w:p w14:paraId="58EF969B">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企业应建立内部管网系统、污水处理设施及排污（水）口等定期检查制度，落实专人管理。</w:t>
            </w:r>
          </w:p>
        </w:tc>
        <w:tc>
          <w:tcPr>
            <w:tcW w:w="748" w:type="dxa"/>
            <w:shd w:val="clear" w:color="auto" w:fill="FFFFFF"/>
            <w:noWrap w:val="0"/>
            <w:vAlign w:val="center"/>
          </w:tcPr>
          <w:p w14:paraId="24FDD07D">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55F3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48443F55">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46F06AB0">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2、有条件的企业配备相关的管网排查设施，提升管网运行维护能力。</w:t>
            </w:r>
          </w:p>
        </w:tc>
        <w:tc>
          <w:tcPr>
            <w:tcW w:w="2352" w:type="dxa"/>
            <w:shd w:val="clear" w:color="auto" w:fill="FFFFFF"/>
            <w:noWrap w:val="0"/>
            <w:vAlign w:val="center"/>
          </w:tcPr>
          <w:p w14:paraId="600D1E8D">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企业根据自身情况配备。</w:t>
            </w:r>
          </w:p>
        </w:tc>
        <w:tc>
          <w:tcPr>
            <w:tcW w:w="748" w:type="dxa"/>
            <w:shd w:val="clear" w:color="auto" w:fill="FFFFFF"/>
            <w:noWrap w:val="0"/>
            <w:vAlign w:val="center"/>
          </w:tcPr>
          <w:p w14:paraId="45464EBF">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197D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22D82BE6">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2E78ABF9">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3、自觉执行排水许可制度、排污许可制度</w:t>
            </w:r>
          </w:p>
        </w:tc>
        <w:tc>
          <w:tcPr>
            <w:tcW w:w="2352" w:type="dxa"/>
            <w:shd w:val="clear" w:color="auto" w:fill="FFFFFF"/>
            <w:noWrap w:val="0"/>
            <w:vAlign w:val="center"/>
          </w:tcPr>
          <w:p w14:paraId="2228BA13">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要求企业执行排水许可制度、排污许可制度。</w:t>
            </w:r>
          </w:p>
        </w:tc>
        <w:tc>
          <w:tcPr>
            <w:tcW w:w="748" w:type="dxa"/>
            <w:shd w:val="clear" w:color="auto" w:fill="FFFFFF"/>
            <w:noWrap w:val="0"/>
            <w:vAlign w:val="center"/>
          </w:tcPr>
          <w:p w14:paraId="4B6EDCEB">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r w14:paraId="67CF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1551" w:type="dxa"/>
            <w:gridSpan w:val="2"/>
            <w:vMerge w:val="continue"/>
            <w:shd w:val="clear" w:color="auto" w:fill="FFFFFF"/>
            <w:noWrap w:val="0"/>
            <w:vAlign w:val="center"/>
          </w:tcPr>
          <w:p w14:paraId="4246C525">
            <w:pPr>
              <w:jc w:val="center"/>
              <w:rPr>
                <w:rFonts w:hint="default" w:ascii="Arial" w:hAnsi="Arial" w:eastAsia="宋体" w:cs="Arial"/>
                <w:b w:val="0"/>
                <w:color w:val="000000"/>
                <w:sz w:val="18"/>
                <w:szCs w:val="18"/>
              </w:rPr>
            </w:pPr>
          </w:p>
        </w:tc>
        <w:tc>
          <w:tcPr>
            <w:tcW w:w="3287" w:type="dxa"/>
            <w:shd w:val="clear" w:color="auto" w:fill="FFFFFF"/>
            <w:noWrap w:val="0"/>
            <w:vAlign w:val="center"/>
          </w:tcPr>
          <w:p w14:paraId="7D9F5F82">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4、按园区要求实施初期雨水分时段输送。</w:t>
            </w:r>
          </w:p>
        </w:tc>
        <w:tc>
          <w:tcPr>
            <w:tcW w:w="2352" w:type="dxa"/>
            <w:shd w:val="clear" w:color="auto" w:fill="FFFFFF"/>
            <w:noWrap w:val="0"/>
            <w:vAlign w:val="center"/>
          </w:tcPr>
          <w:p w14:paraId="3BDACF49">
            <w:pP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按园区要求实施。</w:t>
            </w:r>
          </w:p>
        </w:tc>
        <w:tc>
          <w:tcPr>
            <w:tcW w:w="748" w:type="dxa"/>
            <w:shd w:val="clear" w:color="auto" w:fill="FFFFFF"/>
            <w:noWrap w:val="0"/>
            <w:vAlign w:val="center"/>
          </w:tcPr>
          <w:p w14:paraId="0F22AFD8">
            <w:pPr>
              <w:jc w:val="center"/>
              <w:rPr>
                <w:rFonts w:hint="default" w:ascii="Arial" w:hAnsi="Arial" w:eastAsia="宋体" w:cs="Arial"/>
                <w:b w:val="0"/>
                <w:bCs/>
                <w:color w:val="000000"/>
                <w:kern w:val="28"/>
                <w:sz w:val="18"/>
                <w:szCs w:val="18"/>
              </w:rPr>
            </w:pPr>
            <w:r>
              <w:rPr>
                <w:rFonts w:hint="default" w:ascii="Arial" w:hAnsi="Arial" w:eastAsia="宋体" w:cs="Arial"/>
                <w:b w:val="0"/>
                <w:bCs/>
                <w:color w:val="000000"/>
                <w:kern w:val="28"/>
                <w:sz w:val="18"/>
                <w:szCs w:val="18"/>
              </w:rPr>
              <w:t>符合</w:t>
            </w:r>
          </w:p>
        </w:tc>
      </w:tr>
    </w:tbl>
    <w:p w14:paraId="1D5515DF">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rPr>
          <w:rFonts w:hint="default" w:ascii="Arial" w:hAnsi="Arial" w:eastAsia="宋体" w:cs="Arial"/>
          <w:spacing w:val="10"/>
          <w:sz w:val="24"/>
          <w:szCs w:val="20"/>
        </w:rPr>
        <w:sectPr>
          <w:headerReference r:id="rId12"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spacing w:val="10"/>
          <w:sz w:val="24"/>
          <w:szCs w:val="20"/>
        </w:rPr>
        <w:t>综上，项目建设能符合工业园区（工业集聚区）“污水零直排区”建设实施方案（2020~2022年）相关要求。</w:t>
      </w:r>
    </w:p>
    <w:p w14:paraId="53CF28D2">
      <w:pPr>
        <w:pStyle w:val="76"/>
        <w:numPr>
          <w:ilvl w:val="0"/>
          <w:numId w:val="4"/>
        </w:numPr>
        <w:spacing w:line="360" w:lineRule="auto"/>
        <w:ind w:left="210" w:leftChars="0" w:firstLine="0" w:firstLineChars="0"/>
        <w:outlineLvl w:val="1"/>
        <w:rPr>
          <w:rFonts w:hint="default" w:ascii="Arial" w:hAnsi="Arial" w:eastAsia="宋体" w:cs="Arial"/>
          <w:b/>
          <w:bCs/>
          <w:sz w:val="28"/>
          <w:szCs w:val="28"/>
        </w:rPr>
      </w:pPr>
    </w:p>
    <w:p w14:paraId="02A7A66B">
      <w:pPr>
        <w:pStyle w:val="76"/>
        <w:numPr>
          <w:ilvl w:val="1"/>
          <w:numId w:val="4"/>
        </w:numPr>
        <w:spacing w:line="360" w:lineRule="auto"/>
        <w:ind w:left="210" w:leftChars="0" w:firstLineChars="0"/>
        <w:outlineLvl w:val="1"/>
        <w:rPr>
          <w:rFonts w:hint="default" w:ascii="Arial" w:hAnsi="Arial" w:eastAsia="宋体" w:cs="Arial"/>
          <w:b/>
          <w:bCs/>
          <w:sz w:val="28"/>
          <w:szCs w:val="28"/>
        </w:rPr>
      </w:pPr>
      <w:r>
        <w:rPr>
          <w:rFonts w:hint="default" w:ascii="Arial" w:hAnsi="Arial" w:eastAsia="宋体" w:cs="Arial"/>
          <w:b/>
          <w:bCs/>
          <w:sz w:val="28"/>
          <w:szCs w:val="28"/>
        </w:rPr>
        <w:t>建设内容</w:t>
      </w:r>
    </w:p>
    <w:p w14:paraId="07F281E5">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项目由来及概况</w:t>
      </w:r>
    </w:p>
    <w:p w14:paraId="6225BCC3">
      <w:pPr>
        <w:snapToGrid w:val="0"/>
        <w:spacing w:line="360" w:lineRule="auto"/>
        <w:ind w:firstLine="480" w:firstLineChars="200"/>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sz w:val="24"/>
          <w:szCs w:val="24"/>
          <w:lang w:val="en-US" w:eastAsia="zh-CN"/>
        </w:rPr>
        <w:t>浙江汇轩汽车零部件有限公司</w:t>
      </w:r>
      <w:r>
        <w:rPr>
          <w:rFonts w:hint="default" w:ascii="Arial" w:hAnsi="Arial" w:eastAsia="宋体" w:cs="Arial"/>
          <w:sz w:val="24"/>
          <w:szCs w:val="24"/>
        </w:rPr>
        <w:t>，位于浙江省嘉兴市平湖市</w:t>
      </w:r>
      <w:r>
        <w:rPr>
          <w:rFonts w:hint="default" w:ascii="Arial" w:hAnsi="Arial" w:eastAsia="宋体" w:cs="Arial"/>
          <w:sz w:val="24"/>
          <w:szCs w:val="24"/>
          <w:lang w:val="en-US" w:eastAsia="zh-CN"/>
        </w:rPr>
        <w:t>钟埭街道五洲路</w:t>
      </w:r>
      <w:r>
        <w:rPr>
          <w:rFonts w:hint="default" w:ascii="Arial" w:hAnsi="Arial" w:eastAsia="宋体" w:cs="Arial"/>
          <w:sz w:val="24"/>
          <w:szCs w:val="24"/>
        </w:rPr>
        <w:t>1</w:t>
      </w:r>
      <w:r>
        <w:rPr>
          <w:rFonts w:hint="default" w:ascii="Arial" w:hAnsi="Arial" w:eastAsia="宋体" w:cs="Arial"/>
          <w:sz w:val="24"/>
          <w:szCs w:val="24"/>
          <w:lang w:val="en-US" w:eastAsia="zh-CN"/>
        </w:rPr>
        <w:t>268</w:t>
      </w:r>
      <w:r>
        <w:rPr>
          <w:rFonts w:hint="default" w:ascii="Arial" w:hAnsi="Arial" w:eastAsia="宋体" w:cs="Arial"/>
          <w:sz w:val="24"/>
          <w:szCs w:val="24"/>
        </w:rPr>
        <w:t>号，目前主要进行</w:t>
      </w:r>
      <w:r>
        <w:rPr>
          <w:rFonts w:hint="default" w:ascii="Arial" w:hAnsi="Arial" w:eastAsia="宋体" w:cs="Arial"/>
          <w:sz w:val="24"/>
          <w:szCs w:val="24"/>
          <w:lang w:val="en-US" w:eastAsia="zh-CN"/>
        </w:rPr>
        <w:t>汽车转向总成等零部件</w:t>
      </w:r>
      <w:r>
        <w:rPr>
          <w:rFonts w:hint="default" w:ascii="Arial" w:hAnsi="Arial" w:eastAsia="宋体" w:cs="Arial"/>
          <w:sz w:val="24"/>
          <w:szCs w:val="24"/>
        </w:rPr>
        <w:t>的生产。</w:t>
      </w:r>
      <w:r>
        <w:rPr>
          <w:rFonts w:hint="default" w:ascii="Arial" w:hAnsi="Arial" w:eastAsia="宋体" w:cs="Arial"/>
          <w:sz w:val="24"/>
          <w:szCs w:val="24"/>
          <w:lang w:val="en-US" w:eastAsia="zh-CN"/>
        </w:rPr>
        <w:t>2017年企业委托浙江省工业环保设计研究院</w:t>
      </w:r>
      <w:r>
        <w:rPr>
          <w:rFonts w:hint="default" w:ascii="Arial" w:hAnsi="Arial" w:eastAsia="宋体" w:cs="Arial"/>
          <w:sz w:val="24"/>
          <w:szCs w:val="24"/>
        </w:rPr>
        <w:t>编制了《年产300万套汽车转向管柱总成生产基地建设项目环境影响报告</w:t>
      </w:r>
      <w:r>
        <w:rPr>
          <w:rFonts w:hint="default" w:ascii="Arial" w:hAnsi="Arial" w:eastAsia="宋体" w:cs="Arial"/>
          <w:sz w:val="24"/>
          <w:szCs w:val="24"/>
          <w:lang w:val="en-US" w:eastAsia="zh-CN"/>
        </w:rPr>
        <w:t>表</w:t>
      </w:r>
      <w:r>
        <w:rPr>
          <w:rFonts w:hint="default" w:ascii="Arial" w:hAnsi="Arial" w:eastAsia="宋体" w:cs="Arial"/>
          <w:sz w:val="24"/>
          <w:szCs w:val="24"/>
        </w:rPr>
        <w:t>》，该报告于201</w:t>
      </w:r>
      <w:r>
        <w:rPr>
          <w:rFonts w:hint="default" w:ascii="Arial" w:hAnsi="Arial" w:eastAsia="宋体" w:cs="Arial"/>
          <w:sz w:val="24"/>
          <w:szCs w:val="24"/>
          <w:lang w:val="en-US" w:eastAsia="zh-CN"/>
        </w:rPr>
        <w:t>7</w:t>
      </w:r>
      <w:r>
        <w:rPr>
          <w:rFonts w:hint="default" w:ascii="Arial" w:hAnsi="Arial" w:eastAsia="宋体" w:cs="Arial"/>
          <w:sz w:val="24"/>
          <w:szCs w:val="24"/>
        </w:rPr>
        <w:t>年</w:t>
      </w:r>
      <w:r>
        <w:rPr>
          <w:rFonts w:hint="default" w:ascii="Arial" w:hAnsi="Arial" w:eastAsia="宋体" w:cs="Arial"/>
          <w:sz w:val="24"/>
          <w:szCs w:val="24"/>
          <w:lang w:val="en-US" w:eastAsia="zh-CN"/>
        </w:rPr>
        <w:t>7</w:t>
      </w:r>
      <w:r>
        <w:rPr>
          <w:rFonts w:hint="default" w:ascii="Arial" w:hAnsi="Arial" w:eastAsia="宋体" w:cs="Arial"/>
          <w:sz w:val="24"/>
          <w:szCs w:val="24"/>
        </w:rPr>
        <w:t>月</w:t>
      </w:r>
      <w:r>
        <w:rPr>
          <w:rFonts w:hint="default" w:ascii="Arial" w:hAnsi="Arial" w:eastAsia="宋体" w:cs="Arial"/>
          <w:sz w:val="24"/>
          <w:szCs w:val="24"/>
          <w:lang w:val="en-US" w:eastAsia="zh-CN"/>
        </w:rPr>
        <w:t>20</w:t>
      </w:r>
      <w:r>
        <w:rPr>
          <w:rFonts w:hint="default" w:ascii="Arial" w:hAnsi="Arial" w:eastAsia="宋体" w:cs="Arial"/>
          <w:sz w:val="24"/>
          <w:szCs w:val="24"/>
        </w:rPr>
        <w:t>日通过了（原）平湖市环境保护局的审批</w:t>
      </w:r>
      <w:r>
        <w:rPr>
          <w:rFonts w:hint="default" w:ascii="Arial" w:hAnsi="Arial" w:eastAsia="宋体" w:cs="Arial"/>
          <w:sz w:val="24"/>
          <w:szCs w:val="24"/>
          <w:lang w:eastAsia="zh-CN"/>
        </w:rPr>
        <w:t>（平环建2017-B-098号）</w:t>
      </w:r>
      <w:r>
        <w:rPr>
          <w:rFonts w:hint="default" w:ascii="Arial" w:hAnsi="Arial" w:eastAsia="宋体" w:cs="Arial"/>
          <w:sz w:val="24"/>
          <w:szCs w:val="24"/>
        </w:rPr>
        <w:t>。企业于20</w:t>
      </w:r>
      <w:r>
        <w:rPr>
          <w:rFonts w:hint="default" w:ascii="Arial" w:hAnsi="Arial" w:eastAsia="宋体" w:cs="Arial"/>
          <w:sz w:val="24"/>
          <w:szCs w:val="24"/>
          <w:lang w:val="en-US" w:eastAsia="zh-CN"/>
        </w:rPr>
        <w:t>22</w:t>
      </w:r>
      <w:r>
        <w:rPr>
          <w:rFonts w:hint="default" w:ascii="Arial" w:hAnsi="Arial" w:eastAsia="宋体" w:cs="Arial"/>
          <w:sz w:val="24"/>
          <w:szCs w:val="24"/>
        </w:rPr>
        <w:t>年12月进行了建设项目竣工环境保护</w:t>
      </w:r>
      <w:r>
        <w:rPr>
          <w:rFonts w:hint="default" w:ascii="Arial" w:hAnsi="Arial" w:eastAsia="宋体" w:cs="Arial"/>
          <w:sz w:val="24"/>
          <w:szCs w:val="24"/>
          <w:lang w:val="en-US" w:eastAsia="zh-CN"/>
        </w:rPr>
        <w:t>阶段性</w:t>
      </w:r>
      <w:r>
        <w:rPr>
          <w:rFonts w:hint="default" w:ascii="Arial" w:hAnsi="Arial" w:eastAsia="宋体" w:cs="Arial"/>
          <w:sz w:val="24"/>
          <w:szCs w:val="24"/>
        </w:rPr>
        <w:t>验收，并于202</w:t>
      </w:r>
      <w:r>
        <w:rPr>
          <w:rFonts w:hint="default" w:ascii="Arial" w:hAnsi="Arial" w:eastAsia="宋体" w:cs="Arial"/>
          <w:sz w:val="24"/>
          <w:szCs w:val="24"/>
          <w:lang w:val="en-US" w:eastAsia="zh-CN"/>
        </w:rPr>
        <w:t>2</w:t>
      </w:r>
      <w:r>
        <w:rPr>
          <w:rFonts w:hint="default" w:ascii="Arial" w:hAnsi="Arial" w:eastAsia="宋体" w:cs="Arial"/>
          <w:sz w:val="24"/>
          <w:szCs w:val="24"/>
        </w:rPr>
        <w:t>年</w:t>
      </w:r>
      <w:r>
        <w:rPr>
          <w:rFonts w:hint="default" w:ascii="Arial" w:hAnsi="Arial" w:eastAsia="宋体" w:cs="Arial"/>
          <w:sz w:val="24"/>
          <w:szCs w:val="24"/>
          <w:lang w:val="en-US" w:eastAsia="zh-CN"/>
        </w:rPr>
        <w:t>10</w:t>
      </w:r>
      <w:r>
        <w:rPr>
          <w:rFonts w:hint="default" w:ascii="Arial" w:hAnsi="Arial" w:eastAsia="宋体" w:cs="Arial"/>
          <w:sz w:val="24"/>
          <w:szCs w:val="24"/>
        </w:rPr>
        <w:t>月完成了固定污染源排污登记，登记编号9133</w:t>
      </w:r>
      <w:r>
        <w:rPr>
          <w:rFonts w:hint="default" w:ascii="Arial" w:hAnsi="Arial" w:eastAsia="宋体" w:cs="Arial"/>
          <w:color w:val="000000" w:themeColor="text1"/>
          <w:sz w:val="24"/>
          <w:szCs w:val="24"/>
          <w14:textFill>
            <w14:solidFill>
              <w14:schemeClr w14:val="tx1"/>
            </w14:solidFill>
          </w14:textFill>
        </w:rPr>
        <w:t>04</w:t>
      </w:r>
      <w:r>
        <w:rPr>
          <w:rFonts w:hint="default" w:ascii="Arial" w:hAnsi="Arial" w:eastAsia="宋体" w:cs="Arial"/>
          <w:color w:val="000000" w:themeColor="text1"/>
          <w:sz w:val="24"/>
          <w:szCs w:val="24"/>
          <w:lang w:val="en-US" w:eastAsia="zh-CN"/>
          <w14:textFill>
            <w14:solidFill>
              <w14:schemeClr w14:val="tx1"/>
            </w14:solidFill>
          </w14:textFill>
        </w:rPr>
        <w:t>82</w:t>
      </w:r>
      <w:r>
        <w:rPr>
          <w:rFonts w:hint="default" w:ascii="Arial" w:hAnsi="Arial" w:eastAsia="宋体" w:cs="Arial"/>
          <w:color w:val="000000" w:themeColor="text1"/>
          <w:sz w:val="24"/>
          <w:szCs w:val="24"/>
          <w14:textFill>
            <w14:solidFill>
              <w14:schemeClr w14:val="tx1"/>
            </w14:solidFill>
          </w14:textFill>
        </w:rPr>
        <w:t>MA28</w:t>
      </w:r>
      <w:r>
        <w:rPr>
          <w:rFonts w:hint="default" w:ascii="Arial" w:hAnsi="Arial" w:eastAsia="宋体" w:cs="Arial"/>
          <w:color w:val="000000" w:themeColor="text1"/>
          <w:sz w:val="24"/>
          <w:szCs w:val="24"/>
          <w:lang w:val="en-US" w:eastAsia="zh-CN"/>
          <w14:textFill>
            <w14:solidFill>
              <w14:schemeClr w14:val="tx1"/>
            </w14:solidFill>
          </w14:textFill>
        </w:rPr>
        <w:t>A9AEST。</w:t>
      </w:r>
    </w:p>
    <w:p w14:paraId="3E7DD2D3">
      <w:pPr>
        <w:snapToGrid w:val="0"/>
        <w:spacing w:line="360" w:lineRule="auto"/>
        <w:ind w:firstLine="480" w:firstLineChars="200"/>
        <w:rPr>
          <w:rFonts w:hint="default" w:ascii="Arial" w:hAnsi="Arial" w:eastAsia="宋体" w:cs="Arial"/>
          <w:color w:val="000000" w:themeColor="text1"/>
          <w:sz w:val="24"/>
          <w:szCs w:val="24"/>
          <w:lang w:val="en-US"/>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浙江汇轩汽车零部件</w:t>
      </w:r>
      <w:r>
        <w:rPr>
          <w:rFonts w:hint="default" w:ascii="Arial" w:hAnsi="Arial" w:eastAsia="宋体" w:cs="Arial"/>
          <w:color w:val="000000" w:themeColor="text1"/>
          <w:sz w:val="24"/>
          <w:szCs w:val="24"/>
          <w:lang w:eastAsia="zh-CN"/>
          <w14:textFill>
            <w14:solidFill>
              <w14:schemeClr w14:val="tx1"/>
            </w14:solidFill>
          </w14:textFill>
        </w:rPr>
        <w:t>有限公司</w:t>
      </w:r>
      <w:r>
        <w:rPr>
          <w:rFonts w:hint="default" w:ascii="Arial" w:hAnsi="Arial" w:eastAsia="宋体" w:cs="Arial"/>
          <w:color w:val="000000" w:themeColor="text1"/>
          <w:sz w:val="24"/>
          <w:szCs w:val="24"/>
          <w14:textFill>
            <w14:solidFill>
              <w14:schemeClr w14:val="tx1"/>
            </w14:solidFill>
          </w14:textFill>
        </w:rPr>
        <w:t>拟投资</w:t>
      </w:r>
      <w:r>
        <w:rPr>
          <w:rFonts w:hint="default" w:ascii="Arial" w:hAnsi="Arial" w:eastAsia="宋体" w:cs="Arial"/>
          <w:color w:val="000000" w:themeColor="text1"/>
          <w:sz w:val="24"/>
          <w:szCs w:val="24"/>
          <w:lang w:val="en-US" w:eastAsia="zh-CN"/>
          <w14:textFill>
            <w14:solidFill>
              <w14:schemeClr w14:val="tx1"/>
            </w14:solidFill>
          </w14:textFill>
        </w:rPr>
        <w:t>206.3</w:t>
      </w:r>
      <w:r>
        <w:rPr>
          <w:rFonts w:hint="default" w:ascii="Arial" w:hAnsi="Arial" w:eastAsia="宋体" w:cs="Arial"/>
          <w:color w:val="000000" w:themeColor="text1"/>
          <w:sz w:val="24"/>
          <w:szCs w:val="24"/>
          <w14:textFill>
            <w14:solidFill>
              <w14:schemeClr w14:val="tx1"/>
            </w14:solidFill>
          </w14:textFill>
        </w:rPr>
        <w:t>万元在浙江省嘉兴市平湖市五洲路</w:t>
      </w:r>
      <w:r>
        <w:rPr>
          <w:rFonts w:hint="default" w:ascii="Arial" w:hAnsi="Arial" w:eastAsia="宋体" w:cs="Arial"/>
          <w:color w:val="000000" w:themeColor="text1"/>
          <w:sz w:val="24"/>
          <w:szCs w:val="24"/>
          <w:lang w:val="en-US" w:eastAsia="zh-CN"/>
          <w14:textFill>
            <w14:solidFill>
              <w14:schemeClr w14:val="tx1"/>
            </w14:solidFill>
          </w14:textFill>
        </w:rPr>
        <w:t>1268</w:t>
      </w:r>
      <w:r>
        <w:rPr>
          <w:rFonts w:hint="default" w:ascii="Arial" w:hAnsi="Arial" w:eastAsia="宋体" w:cs="Arial"/>
          <w:color w:val="000000" w:themeColor="text1"/>
          <w:sz w:val="24"/>
          <w:szCs w:val="24"/>
          <w14:textFill>
            <w14:solidFill>
              <w14:schemeClr w14:val="tx1"/>
            </w14:solidFill>
          </w14:textFill>
        </w:rPr>
        <w:t>号</w:t>
      </w:r>
      <w:r>
        <w:rPr>
          <w:rFonts w:hint="default" w:ascii="Arial" w:hAnsi="Arial" w:eastAsia="宋体" w:cs="Arial"/>
          <w:color w:val="000000" w:themeColor="text1"/>
          <w:sz w:val="24"/>
          <w:szCs w:val="24"/>
          <w:lang w:val="en-US" w:eastAsia="zh-CN"/>
          <w14:textFill>
            <w14:solidFill>
              <w14:schemeClr w14:val="tx1"/>
            </w14:solidFill>
          </w14:textFill>
        </w:rPr>
        <w:t>进行年产30万套新能源转向总成及其零部件技改项目。新增30万套能源转向总成生产能力，并对现有项目的机加工、清洗等生产、检测设备进行改造和性能参数升级，打造适应于新能源转向总成及其零部件的生产线，以此来满足新能源车型提出的高性能的要求。</w:t>
      </w:r>
    </w:p>
    <w:p w14:paraId="0328491B">
      <w:pPr>
        <w:snapToGrid w:val="0"/>
        <w:spacing w:line="360" w:lineRule="auto"/>
        <w:ind w:firstLine="480" w:firstLineChars="200"/>
        <w:rPr>
          <w:rFonts w:hint="default" w:ascii="Arial" w:hAnsi="Arial" w:eastAsia="宋体" w:cs="Arial"/>
          <w:kern w:val="0"/>
          <w:sz w:val="24"/>
          <w:szCs w:val="24"/>
        </w:rPr>
      </w:pPr>
      <w:r>
        <w:rPr>
          <w:rFonts w:hint="default" w:ascii="Arial" w:hAnsi="Arial" w:eastAsia="宋体" w:cs="Arial"/>
          <w:color w:val="000000" w:themeColor="text1"/>
          <w:kern w:val="0"/>
          <w:sz w:val="24"/>
          <w:szCs w:val="24"/>
          <w14:textFill>
            <w14:solidFill>
              <w14:schemeClr w14:val="tx1"/>
            </w14:solidFill>
          </w14:textFill>
        </w:rPr>
        <w:t>根据《中华人民共和国环境影响评价法》、《建设项目环境保护管理条例》和《浙江省建设项目环境保护管理办法》的有</w:t>
      </w:r>
      <w:r>
        <w:rPr>
          <w:rFonts w:hint="default" w:ascii="Arial" w:hAnsi="Arial" w:eastAsia="宋体" w:cs="Arial"/>
          <w:kern w:val="0"/>
          <w:sz w:val="24"/>
          <w:szCs w:val="24"/>
        </w:rPr>
        <w:t>关规定，凡从事对环境有影响的建设项目必须进行环境影响评价，使经济建设与环境保护能够协调发展。为此，企业委托我单位进行项目的环境影响评价工作。</w:t>
      </w:r>
      <w:r>
        <w:rPr>
          <w:rFonts w:hint="default" w:ascii="Arial" w:hAnsi="Arial" w:eastAsia="宋体" w:cs="Arial"/>
          <w:sz w:val="24"/>
          <w:szCs w:val="24"/>
        </w:rPr>
        <w:t>根据《</w:t>
      </w:r>
      <w:r>
        <w:rPr>
          <w:rFonts w:hint="default" w:ascii="Arial" w:hAnsi="Arial" w:eastAsia="宋体" w:cs="Arial"/>
          <w:sz w:val="24"/>
        </w:rPr>
        <w:t>建设项目环境影响评价分类管理名录》（生态环境部令第16号）</w:t>
      </w:r>
      <w:r>
        <w:rPr>
          <w:rFonts w:hint="default" w:ascii="Arial" w:hAnsi="Arial" w:eastAsia="宋体" w:cs="Arial"/>
          <w:sz w:val="24"/>
          <w:szCs w:val="24"/>
        </w:rPr>
        <w:t>，本项目</w:t>
      </w:r>
      <w:r>
        <w:rPr>
          <w:rFonts w:hint="default" w:ascii="Arial" w:hAnsi="Arial" w:eastAsia="宋体" w:cs="Arial"/>
          <w:sz w:val="24"/>
          <w:szCs w:val="24"/>
          <w:lang w:val="en-US" w:eastAsia="zh-CN"/>
        </w:rPr>
        <w:t>主要对汽车零部件进行清洗检测</w:t>
      </w:r>
      <w:r>
        <w:rPr>
          <w:rFonts w:hint="default" w:ascii="Arial" w:hAnsi="Arial" w:eastAsia="宋体" w:cs="Arial"/>
          <w:sz w:val="24"/>
          <w:szCs w:val="24"/>
        </w:rPr>
        <w:t>，属于三十</w:t>
      </w:r>
      <w:r>
        <w:rPr>
          <w:rFonts w:hint="default" w:ascii="Arial" w:hAnsi="Arial" w:eastAsia="宋体" w:cs="Arial"/>
          <w:sz w:val="24"/>
          <w:szCs w:val="24"/>
          <w:lang w:val="en-US" w:eastAsia="zh-CN"/>
        </w:rPr>
        <w:t>三</w:t>
      </w:r>
      <w:r>
        <w:rPr>
          <w:rFonts w:hint="default" w:ascii="Arial" w:hAnsi="Arial" w:eastAsia="宋体" w:cs="Arial"/>
          <w:sz w:val="24"/>
          <w:szCs w:val="24"/>
        </w:rPr>
        <w:t>、</w:t>
      </w:r>
      <w:r>
        <w:rPr>
          <w:rFonts w:hint="default" w:ascii="Arial" w:hAnsi="Arial" w:eastAsia="宋体" w:cs="Arial"/>
          <w:sz w:val="24"/>
          <w:szCs w:val="24"/>
          <w:lang w:val="en-US" w:eastAsia="zh-CN"/>
        </w:rPr>
        <w:t>汽车</w:t>
      </w:r>
      <w:r>
        <w:rPr>
          <w:rFonts w:hint="default" w:ascii="Arial" w:hAnsi="Arial" w:eastAsia="宋体" w:cs="Arial"/>
          <w:sz w:val="24"/>
          <w:szCs w:val="24"/>
        </w:rPr>
        <w:t>制造业3</w:t>
      </w:r>
      <w:r>
        <w:rPr>
          <w:rFonts w:hint="default" w:ascii="Arial" w:hAnsi="Arial" w:eastAsia="宋体" w:cs="Arial"/>
          <w:sz w:val="24"/>
          <w:szCs w:val="24"/>
          <w:lang w:val="en-US" w:eastAsia="zh-CN"/>
        </w:rPr>
        <w:t>6</w:t>
      </w:r>
      <w:r>
        <w:rPr>
          <w:rFonts w:hint="default" w:ascii="Arial" w:hAnsi="Arial" w:eastAsia="宋体" w:cs="Arial"/>
          <w:sz w:val="24"/>
          <w:szCs w:val="24"/>
        </w:rPr>
        <w:t>—</w:t>
      </w:r>
      <w:r>
        <w:rPr>
          <w:rFonts w:hint="default" w:ascii="Arial" w:hAnsi="Arial" w:eastAsia="宋体" w:cs="Arial"/>
          <w:sz w:val="24"/>
          <w:szCs w:val="24"/>
          <w:lang w:val="en-US" w:eastAsia="zh-CN"/>
        </w:rPr>
        <w:t>汽车零部件及配件制造</w:t>
      </w:r>
      <w:r>
        <w:rPr>
          <w:rFonts w:hint="default" w:ascii="Arial" w:hAnsi="Arial" w:eastAsia="宋体" w:cs="Arial"/>
          <w:sz w:val="24"/>
          <w:szCs w:val="24"/>
        </w:rPr>
        <w:t xml:space="preserve"> 3</w:t>
      </w:r>
      <w:r>
        <w:rPr>
          <w:rFonts w:hint="default" w:ascii="Arial" w:hAnsi="Arial" w:eastAsia="宋体" w:cs="Arial"/>
          <w:sz w:val="24"/>
          <w:szCs w:val="24"/>
          <w:lang w:val="en-US" w:eastAsia="zh-CN"/>
        </w:rPr>
        <w:t>67</w:t>
      </w:r>
      <w:r>
        <w:rPr>
          <w:rFonts w:hint="default" w:ascii="Arial" w:hAnsi="Arial" w:eastAsia="宋体" w:cs="Arial"/>
          <w:sz w:val="24"/>
          <w:szCs w:val="24"/>
        </w:rPr>
        <w:t xml:space="preserve"> 中的“其他（年用非溶剂型低VOCs含量涂料10吨以下的除外）类项目。故本项目需在建设开工前编制环境影响报告表</w:t>
      </w:r>
      <w:r>
        <w:rPr>
          <w:rFonts w:hint="default" w:ascii="Arial" w:hAnsi="Arial" w:eastAsia="宋体" w:cs="Arial"/>
          <w:kern w:val="0"/>
          <w:sz w:val="24"/>
          <w:szCs w:val="24"/>
        </w:rPr>
        <w:t>。我单位通过对项目实施地周围实地踏勘、工程分析、收集相关资料的基础上，通过对相关资料的分析、研究，依据环境影响评价技术导则的要求，编制了本项目的环境影响报告表，现报请审查。</w:t>
      </w:r>
    </w:p>
    <w:p w14:paraId="33BE82DC">
      <w:pPr>
        <w:snapToGrid w:val="0"/>
        <w:spacing w:line="360" w:lineRule="auto"/>
        <w:ind w:firstLine="480" w:firstLineChars="200"/>
        <w:rPr>
          <w:rFonts w:hint="default" w:ascii="Arial" w:hAnsi="Arial" w:eastAsia="宋体" w:cs="Arial"/>
          <w:kern w:val="0"/>
          <w:sz w:val="24"/>
          <w:szCs w:val="24"/>
        </w:rPr>
      </w:pPr>
    </w:p>
    <w:p w14:paraId="22111FD3">
      <w:pPr>
        <w:snapToGrid w:val="0"/>
        <w:spacing w:line="360" w:lineRule="auto"/>
        <w:ind w:firstLine="480" w:firstLineChars="200"/>
        <w:rPr>
          <w:rFonts w:hint="default" w:ascii="Arial" w:hAnsi="Arial" w:eastAsia="宋体" w:cs="Arial"/>
          <w:kern w:val="0"/>
          <w:sz w:val="24"/>
          <w:szCs w:val="24"/>
        </w:rPr>
      </w:pPr>
    </w:p>
    <w:p w14:paraId="7E1A6163">
      <w:pPr>
        <w:snapToGrid w:val="0"/>
        <w:spacing w:line="360" w:lineRule="auto"/>
        <w:ind w:firstLine="480" w:firstLineChars="200"/>
        <w:rPr>
          <w:rFonts w:hint="default" w:ascii="Arial" w:hAnsi="Arial" w:eastAsia="宋体" w:cs="Arial"/>
          <w:kern w:val="0"/>
          <w:sz w:val="24"/>
          <w:szCs w:val="24"/>
        </w:rPr>
      </w:pPr>
    </w:p>
    <w:p w14:paraId="5C2E2757">
      <w:pPr>
        <w:snapToGrid w:val="0"/>
        <w:spacing w:line="360" w:lineRule="auto"/>
        <w:ind w:firstLine="480" w:firstLineChars="200"/>
        <w:rPr>
          <w:rFonts w:hint="default" w:ascii="Arial" w:hAnsi="Arial" w:eastAsia="宋体" w:cs="Arial"/>
          <w:kern w:val="0"/>
          <w:sz w:val="24"/>
          <w:szCs w:val="24"/>
        </w:rPr>
      </w:pPr>
    </w:p>
    <w:p w14:paraId="446DEB5F">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项目组成</w:t>
      </w:r>
    </w:p>
    <w:p w14:paraId="69A9E4C7">
      <w:pPr>
        <w:pStyle w:val="76"/>
        <w:numPr>
          <w:ilvl w:val="3"/>
          <w:numId w:val="4"/>
        </w:numPr>
        <w:ind w:left="777" w:leftChars="0" w:firstLine="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项目组成表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3"/>
        <w:gridCol w:w="1452"/>
        <w:gridCol w:w="5288"/>
        <w:gridCol w:w="704"/>
      </w:tblGrid>
      <w:tr w14:paraId="2206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45" w:type="dxa"/>
            <w:gridSpan w:val="2"/>
            <w:vAlign w:val="center"/>
          </w:tcPr>
          <w:p w14:paraId="7E024B37">
            <w:pPr>
              <w:widowControl/>
              <w:jc w:val="center"/>
              <w:rPr>
                <w:rFonts w:hint="default" w:ascii="Arial" w:hAnsi="Arial" w:eastAsia="宋体" w:cs="Arial"/>
                <w:kern w:val="0"/>
                <w:szCs w:val="21"/>
              </w:rPr>
            </w:pPr>
            <w:r>
              <w:rPr>
                <w:rFonts w:hint="default" w:ascii="Arial" w:hAnsi="Arial" w:eastAsia="宋体" w:cs="Arial"/>
                <w:kern w:val="0"/>
                <w:szCs w:val="21"/>
              </w:rPr>
              <w:t>工程类别</w:t>
            </w:r>
          </w:p>
        </w:tc>
        <w:tc>
          <w:tcPr>
            <w:tcW w:w="5288" w:type="dxa"/>
            <w:vAlign w:val="center"/>
          </w:tcPr>
          <w:p w14:paraId="6094A30D">
            <w:pPr>
              <w:widowControl/>
              <w:jc w:val="center"/>
              <w:rPr>
                <w:rFonts w:hint="default" w:ascii="Arial" w:hAnsi="Arial" w:eastAsia="宋体" w:cs="Arial"/>
                <w:kern w:val="0"/>
                <w:szCs w:val="21"/>
              </w:rPr>
            </w:pPr>
            <w:r>
              <w:rPr>
                <w:rFonts w:hint="default" w:ascii="Arial" w:hAnsi="Arial" w:eastAsia="宋体" w:cs="Arial"/>
                <w:kern w:val="0"/>
                <w:szCs w:val="21"/>
              </w:rPr>
              <w:t>主要内容</w:t>
            </w:r>
          </w:p>
        </w:tc>
        <w:tc>
          <w:tcPr>
            <w:tcW w:w="704" w:type="dxa"/>
            <w:vAlign w:val="center"/>
          </w:tcPr>
          <w:p w14:paraId="43A8A382">
            <w:pPr>
              <w:widowControl/>
              <w:jc w:val="center"/>
              <w:rPr>
                <w:rFonts w:hint="default" w:ascii="Arial" w:hAnsi="Arial" w:eastAsia="宋体" w:cs="Arial"/>
                <w:kern w:val="0"/>
                <w:szCs w:val="21"/>
              </w:rPr>
            </w:pPr>
            <w:r>
              <w:rPr>
                <w:rFonts w:hint="default" w:ascii="Arial" w:hAnsi="Arial" w:eastAsia="宋体" w:cs="Arial"/>
                <w:kern w:val="0"/>
                <w:szCs w:val="21"/>
              </w:rPr>
              <w:t>备注</w:t>
            </w:r>
          </w:p>
        </w:tc>
      </w:tr>
      <w:tr w14:paraId="2928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Align w:val="center"/>
          </w:tcPr>
          <w:p w14:paraId="3B3388C0">
            <w:pPr>
              <w:jc w:val="center"/>
              <w:rPr>
                <w:rFonts w:hint="default" w:ascii="Arial" w:hAnsi="Arial" w:eastAsia="宋体" w:cs="Arial"/>
                <w:kern w:val="0"/>
                <w:szCs w:val="21"/>
              </w:rPr>
            </w:pPr>
            <w:r>
              <w:rPr>
                <w:rFonts w:hint="default" w:ascii="Arial" w:hAnsi="Arial" w:eastAsia="宋体" w:cs="Arial"/>
                <w:kern w:val="0"/>
                <w:szCs w:val="21"/>
              </w:rPr>
              <w:t>主体工程</w:t>
            </w:r>
          </w:p>
        </w:tc>
        <w:tc>
          <w:tcPr>
            <w:tcW w:w="1452" w:type="dxa"/>
            <w:vAlign w:val="center"/>
          </w:tcPr>
          <w:p w14:paraId="3A4940D1">
            <w:pPr>
              <w:widowControl/>
              <w:jc w:val="center"/>
              <w:rPr>
                <w:rFonts w:hint="default" w:ascii="Arial" w:hAnsi="Arial" w:eastAsia="宋体" w:cs="Arial"/>
                <w:kern w:val="0"/>
                <w:szCs w:val="21"/>
              </w:rPr>
            </w:pPr>
            <w:r>
              <w:rPr>
                <w:rFonts w:hint="default" w:ascii="Arial" w:hAnsi="Arial" w:eastAsia="宋体" w:cs="Arial"/>
                <w:kern w:val="0"/>
                <w:szCs w:val="21"/>
              </w:rPr>
              <w:t>整体</w:t>
            </w:r>
          </w:p>
        </w:tc>
        <w:tc>
          <w:tcPr>
            <w:tcW w:w="5288" w:type="dxa"/>
            <w:vAlign w:val="center"/>
          </w:tcPr>
          <w:p w14:paraId="369F152B">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厂区共有4座生产车间。1#车间为办公区与品检车间；2#车间为机加工和热处理车间；3#车间为仓库与电机小总成生产车间；4#车间用于仓储。</w:t>
            </w:r>
          </w:p>
        </w:tc>
        <w:tc>
          <w:tcPr>
            <w:tcW w:w="704" w:type="dxa"/>
            <w:vAlign w:val="center"/>
          </w:tcPr>
          <w:p w14:paraId="0A5F0E4F">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依托</w:t>
            </w:r>
          </w:p>
        </w:tc>
      </w:tr>
      <w:tr w14:paraId="6560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restart"/>
            <w:vAlign w:val="center"/>
          </w:tcPr>
          <w:p w14:paraId="59E105DA">
            <w:pPr>
              <w:jc w:val="center"/>
              <w:rPr>
                <w:rFonts w:hint="default" w:ascii="Arial" w:hAnsi="Arial" w:eastAsia="宋体" w:cs="Arial"/>
                <w:szCs w:val="21"/>
              </w:rPr>
            </w:pPr>
            <w:r>
              <w:rPr>
                <w:rFonts w:hint="default" w:ascii="Arial" w:hAnsi="Arial" w:eastAsia="宋体" w:cs="Arial"/>
                <w:szCs w:val="21"/>
              </w:rPr>
              <w:t>公用工程</w:t>
            </w:r>
          </w:p>
        </w:tc>
        <w:tc>
          <w:tcPr>
            <w:tcW w:w="1452" w:type="dxa"/>
            <w:vAlign w:val="center"/>
          </w:tcPr>
          <w:p w14:paraId="18BE8A1F">
            <w:pPr>
              <w:widowControl/>
              <w:jc w:val="center"/>
              <w:rPr>
                <w:rFonts w:hint="default" w:ascii="Arial" w:hAnsi="Arial" w:eastAsia="宋体" w:cs="Arial"/>
                <w:kern w:val="0"/>
                <w:szCs w:val="21"/>
              </w:rPr>
            </w:pPr>
            <w:r>
              <w:rPr>
                <w:rFonts w:hint="default" w:ascii="Arial" w:hAnsi="Arial" w:eastAsia="宋体" w:cs="Arial"/>
                <w:kern w:val="0"/>
                <w:szCs w:val="21"/>
              </w:rPr>
              <w:t>给水</w:t>
            </w:r>
          </w:p>
        </w:tc>
        <w:tc>
          <w:tcPr>
            <w:tcW w:w="5288" w:type="dxa"/>
            <w:vAlign w:val="center"/>
          </w:tcPr>
          <w:p w14:paraId="548CE10C">
            <w:pPr>
              <w:jc w:val="center"/>
              <w:rPr>
                <w:rFonts w:hint="default" w:ascii="Arial" w:hAnsi="Arial" w:eastAsia="宋体" w:cs="Arial"/>
                <w:kern w:val="0"/>
                <w:szCs w:val="21"/>
              </w:rPr>
            </w:pPr>
            <w:r>
              <w:rPr>
                <w:rFonts w:hint="default" w:ascii="Arial" w:hAnsi="Arial" w:eastAsia="宋体" w:cs="Arial"/>
                <w:kern w:val="0"/>
                <w:szCs w:val="21"/>
              </w:rPr>
              <w:t>企业</w:t>
            </w:r>
            <w:r>
              <w:rPr>
                <w:rFonts w:hint="default" w:ascii="Arial" w:hAnsi="Arial" w:eastAsia="宋体" w:cs="Arial"/>
                <w:kern w:val="0"/>
                <w:szCs w:val="21"/>
                <w:lang w:val="en-US" w:eastAsia="zh-CN"/>
              </w:rPr>
              <w:t>依托原有</w:t>
            </w:r>
            <w:r>
              <w:rPr>
                <w:rFonts w:hint="default" w:ascii="Arial" w:hAnsi="Arial" w:eastAsia="宋体" w:cs="Arial"/>
                <w:kern w:val="0"/>
                <w:szCs w:val="21"/>
              </w:rPr>
              <w:t>给水系统，给水由市政给水管网供给</w:t>
            </w:r>
          </w:p>
        </w:tc>
        <w:tc>
          <w:tcPr>
            <w:tcW w:w="704" w:type="dxa"/>
            <w:vAlign w:val="center"/>
          </w:tcPr>
          <w:p w14:paraId="5326BFFE">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依托</w:t>
            </w:r>
          </w:p>
        </w:tc>
      </w:tr>
      <w:tr w14:paraId="3D8C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239D45A2">
            <w:pPr>
              <w:widowControl/>
              <w:jc w:val="left"/>
              <w:rPr>
                <w:rFonts w:hint="default" w:ascii="Arial" w:hAnsi="Arial" w:eastAsia="宋体" w:cs="Arial"/>
                <w:szCs w:val="21"/>
              </w:rPr>
            </w:pPr>
          </w:p>
        </w:tc>
        <w:tc>
          <w:tcPr>
            <w:tcW w:w="1452" w:type="dxa"/>
            <w:vAlign w:val="center"/>
          </w:tcPr>
          <w:p w14:paraId="64E69B0F">
            <w:pPr>
              <w:widowControl/>
              <w:jc w:val="center"/>
              <w:rPr>
                <w:rFonts w:hint="default" w:ascii="Arial" w:hAnsi="Arial" w:eastAsia="宋体" w:cs="Arial"/>
                <w:kern w:val="0"/>
                <w:szCs w:val="21"/>
              </w:rPr>
            </w:pPr>
            <w:r>
              <w:rPr>
                <w:rFonts w:hint="default" w:ascii="Arial" w:hAnsi="Arial" w:eastAsia="宋体" w:cs="Arial"/>
                <w:kern w:val="0"/>
                <w:szCs w:val="21"/>
              </w:rPr>
              <w:t>排水</w:t>
            </w:r>
          </w:p>
        </w:tc>
        <w:tc>
          <w:tcPr>
            <w:tcW w:w="5288" w:type="dxa"/>
            <w:vAlign w:val="center"/>
          </w:tcPr>
          <w:p w14:paraId="3E4EAD95">
            <w:pPr>
              <w:widowControl/>
              <w:jc w:val="center"/>
              <w:rPr>
                <w:rFonts w:hint="default" w:ascii="Arial" w:hAnsi="Arial" w:eastAsia="宋体" w:cs="Arial"/>
                <w:kern w:val="0"/>
                <w:szCs w:val="21"/>
              </w:rPr>
            </w:pPr>
            <w:r>
              <w:rPr>
                <w:rFonts w:hint="default" w:ascii="Arial" w:hAnsi="Arial" w:eastAsia="宋体" w:cs="Arial"/>
                <w:kern w:val="0"/>
                <w:szCs w:val="21"/>
              </w:rPr>
              <w:t>企业</w:t>
            </w:r>
            <w:r>
              <w:rPr>
                <w:rFonts w:hint="default" w:ascii="Arial" w:hAnsi="Arial" w:eastAsia="宋体" w:cs="Arial"/>
                <w:kern w:val="0"/>
                <w:szCs w:val="21"/>
                <w:lang w:val="en-US" w:eastAsia="zh-CN"/>
              </w:rPr>
              <w:t>依托原有</w:t>
            </w:r>
            <w:r>
              <w:rPr>
                <w:rFonts w:hint="default" w:ascii="Arial" w:hAnsi="Arial" w:eastAsia="宋体" w:cs="Arial"/>
                <w:kern w:val="0"/>
                <w:szCs w:val="21"/>
              </w:rPr>
              <w:t>排水系统，雨污分流制。雨水排入雨水管；</w:t>
            </w:r>
            <w:r>
              <w:rPr>
                <w:rFonts w:hint="default" w:ascii="Arial" w:hAnsi="Arial" w:eastAsia="宋体" w:cs="Arial"/>
                <w:kern w:val="0"/>
                <w:szCs w:val="21"/>
                <w:lang w:val="en-US" w:eastAsia="zh-CN"/>
              </w:rPr>
              <w:t>生产废水、</w:t>
            </w:r>
            <w:r>
              <w:rPr>
                <w:rFonts w:hint="default" w:ascii="Arial" w:hAnsi="Arial" w:eastAsia="宋体" w:cs="Arial"/>
                <w:kern w:val="0"/>
                <w:szCs w:val="21"/>
              </w:rPr>
              <w:t>生活污水处理达标后纳管排放</w:t>
            </w:r>
          </w:p>
        </w:tc>
        <w:tc>
          <w:tcPr>
            <w:tcW w:w="704" w:type="dxa"/>
            <w:vAlign w:val="center"/>
          </w:tcPr>
          <w:p w14:paraId="7F16EB86">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依托</w:t>
            </w:r>
          </w:p>
        </w:tc>
      </w:tr>
      <w:tr w14:paraId="6334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3D365F75">
            <w:pPr>
              <w:widowControl/>
              <w:jc w:val="left"/>
              <w:rPr>
                <w:rFonts w:hint="default" w:ascii="Arial" w:hAnsi="Arial" w:eastAsia="宋体" w:cs="Arial"/>
                <w:szCs w:val="21"/>
              </w:rPr>
            </w:pPr>
          </w:p>
        </w:tc>
        <w:tc>
          <w:tcPr>
            <w:tcW w:w="1452" w:type="dxa"/>
            <w:noWrap/>
            <w:vAlign w:val="center"/>
          </w:tcPr>
          <w:p w14:paraId="331C58AD">
            <w:pPr>
              <w:widowControl/>
              <w:jc w:val="center"/>
              <w:rPr>
                <w:rFonts w:hint="default" w:ascii="Arial" w:hAnsi="Arial" w:eastAsia="宋体" w:cs="Arial"/>
                <w:kern w:val="0"/>
                <w:szCs w:val="21"/>
              </w:rPr>
            </w:pPr>
            <w:r>
              <w:rPr>
                <w:rFonts w:hint="default" w:ascii="Arial" w:hAnsi="Arial" w:eastAsia="宋体" w:cs="Arial"/>
                <w:kern w:val="0"/>
                <w:szCs w:val="21"/>
              </w:rPr>
              <w:t>供电</w:t>
            </w:r>
          </w:p>
        </w:tc>
        <w:tc>
          <w:tcPr>
            <w:tcW w:w="5288" w:type="dxa"/>
            <w:noWrap/>
            <w:vAlign w:val="center"/>
          </w:tcPr>
          <w:p w14:paraId="3567841F">
            <w:pPr>
              <w:widowControl/>
              <w:jc w:val="center"/>
              <w:rPr>
                <w:rFonts w:hint="default" w:ascii="Arial" w:hAnsi="Arial" w:eastAsia="宋体" w:cs="Arial"/>
                <w:kern w:val="0"/>
                <w:szCs w:val="21"/>
                <w:lang w:val="en-US" w:eastAsia="zh-CN"/>
              </w:rPr>
            </w:pPr>
            <w:r>
              <w:rPr>
                <w:rFonts w:hint="default" w:ascii="Arial" w:hAnsi="Arial" w:eastAsia="宋体" w:cs="Arial"/>
                <w:kern w:val="0"/>
                <w:szCs w:val="21"/>
              </w:rPr>
              <w:t>项目用电由当地供电部门供电，厂区内电力线路</w:t>
            </w:r>
            <w:r>
              <w:rPr>
                <w:rFonts w:hint="default" w:ascii="Arial" w:hAnsi="Arial" w:eastAsia="宋体" w:cs="Arial"/>
                <w:kern w:val="0"/>
                <w:szCs w:val="21"/>
                <w:lang w:val="en-US" w:eastAsia="zh-CN"/>
              </w:rPr>
              <w:t>依托原有电力线路</w:t>
            </w:r>
          </w:p>
        </w:tc>
        <w:tc>
          <w:tcPr>
            <w:tcW w:w="704" w:type="dxa"/>
            <w:vAlign w:val="center"/>
          </w:tcPr>
          <w:p w14:paraId="34F952A5">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依托</w:t>
            </w:r>
          </w:p>
        </w:tc>
      </w:tr>
      <w:tr w14:paraId="2C58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restart"/>
            <w:vAlign w:val="center"/>
          </w:tcPr>
          <w:p w14:paraId="475FCFB2">
            <w:pPr>
              <w:widowControl/>
              <w:jc w:val="center"/>
              <w:rPr>
                <w:rFonts w:hint="default" w:ascii="Arial" w:hAnsi="Arial" w:eastAsia="宋体" w:cs="Arial"/>
                <w:kern w:val="0"/>
                <w:szCs w:val="21"/>
              </w:rPr>
            </w:pPr>
            <w:r>
              <w:rPr>
                <w:rFonts w:hint="default" w:ascii="Arial" w:hAnsi="Arial" w:eastAsia="宋体" w:cs="Arial"/>
                <w:kern w:val="0"/>
                <w:szCs w:val="21"/>
              </w:rPr>
              <w:t>环保工程</w:t>
            </w:r>
          </w:p>
        </w:tc>
        <w:tc>
          <w:tcPr>
            <w:tcW w:w="1452" w:type="dxa"/>
            <w:vAlign w:val="center"/>
          </w:tcPr>
          <w:p w14:paraId="7ECD7E5C">
            <w:pPr>
              <w:widowControl/>
              <w:jc w:val="center"/>
              <w:rPr>
                <w:rFonts w:hint="default" w:ascii="Arial" w:hAnsi="Arial" w:eastAsia="宋体" w:cs="Arial"/>
                <w:kern w:val="0"/>
                <w:szCs w:val="21"/>
              </w:rPr>
            </w:pPr>
            <w:r>
              <w:rPr>
                <w:rFonts w:hint="default" w:ascii="Arial" w:hAnsi="Arial" w:eastAsia="宋体" w:cs="Arial"/>
                <w:kern w:val="0"/>
                <w:szCs w:val="21"/>
              </w:rPr>
              <w:t>废水处理</w:t>
            </w:r>
          </w:p>
        </w:tc>
        <w:tc>
          <w:tcPr>
            <w:tcW w:w="5288" w:type="dxa"/>
            <w:vAlign w:val="center"/>
          </w:tcPr>
          <w:p w14:paraId="6943585D">
            <w:pPr>
              <w:jc w:val="center"/>
              <w:rPr>
                <w:rFonts w:hint="default" w:ascii="Arial" w:hAnsi="Arial" w:eastAsia="宋体" w:cs="Arial"/>
                <w:kern w:val="0"/>
                <w:szCs w:val="21"/>
              </w:rPr>
            </w:pPr>
            <w:r>
              <w:rPr>
                <w:rFonts w:hint="default" w:ascii="Arial" w:hAnsi="Arial" w:eastAsia="宋体" w:cs="Arial"/>
                <w:kern w:val="0"/>
                <w:szCs w:val="21"/>
                <w:lang w:val="en-US" w:eastAsia="zh-CN"/>
              </w:rPr>
              <w:t>生产废水经低温浓缩+膜过滤设备处理达标后纳管排放；</w:t>
            </w:r>
            <w:r>
              <w:rPr>
                <w:rFonts w:hint="default" w:ascii="Arial" w:hAnsi="Arial" w:eastAsia="宋体" w:cs="Arial"/>
                <w:kern w:val="0"/>
                <w:szCs w:val="21"/>
              </w:rPr>
              <w:t>生活污水经新建化粪池处理达标后纳管排放</w:t>
            </w:r>
          </w:p>
        </w:tc>
        <w:tc>
          <w:tcPr>
            <w:tcW w:w="704" w:type="dxa"/>
            <w:vAlign w:val="center"/>
          </w:tcPr>
          <w:p w14:paraId="31D9AB29">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依托</w:t>
            </w:r>
          </w:p>
        </w:tc>
      </w:tr>
      <w:tr w14:paraId="28FA6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3A219844">
            <w:pPr>
              <w:widowControl/>
              <w:jc w:val="left"/>
              <w:rPr>
                <w:rFonts w:hint="default" w:ascii="Arial" w:hAnsi="Arial" w:eastAsia="宋体" w:cs="Arial"/>
                <w:kern w:val="0"/>
                <w:szCs w:val="21"/>
              </w:rPr>
            </w:pPr>
          </w:p>
        </w:tc>
        <w:tc>
          <w:tcPr>
            <w:tcW w:w="1452" w:type="dxa"/>
            <w:vAlign w:val="center"/>
          </w:tcPr>
          <w:p w14:paraId="1B6F848E">
            <w:pPr>
              <w:ind w:right="-108"/>
              <w:jc w:val="center"/>
              <w:rPr>
                <w:rFonts w:hint="default" w:ascii="Arial" w:hAnsi="Arial" w:eastAsia="宋体" w:cs="Arial"/>
                <w:kern w:val="0"/>
                <w:szCs w:val="21"/>
              </w:rPr>
            </w:pPr>
            <w:r>
              <w:rPr>
                <w:rFonts w:hint="default" w:ascii="Arial" w:hAnsi="Arial" w:eastAsia="宋体" w:cs="Arial"/>
                <w:kern w:val="0"/>
                <w:szCs w:val="21"/>
              </w:rPr>
              <w:t>降噪措施</w:t>
            </w:r>
          </w:p>
        </w:tc>
        <w:tc>
          <w:tcPr>
            <w:tcW w:w="5288" w:type="dxa"/>
            <w:vAlign w:val="center"/>
          </w:tcPr>
          <w:p w14:paraId="389A53BB">
            <w:pPr>
              <w:jc w:val="center"/>
              <w:rPr>
                <w:rFonts w:hint="default" w:ascii="Arial" w:hAnsi="Arial" w:eastAsia="宋体" w:cs="Arial"/>
                <w:kern w:val="0"/>
                <w:szCs w:val="21"/>
              </w:rPr>
            </w:pPr>
            <w:r>
              <w:rPr>
                <w:rFonts w:hint="default" w:ascii="Arial" w:hAnsi="Arial" w:eastAsia="宋体" w:cs="Arial"/>
                <w:kern w:val="0"/>
                <w:szCs w:val="21"/>
              </w:rPr>
              <w:t>设备的减振、隔声降噪</w:t>
            </w:r>
          </w:p>
        </w:tc>
        <w:tc>
          <w:tcPr>
            <w:tcW w:w="704" w:type="dxa"/>
            <w:vAlign w:val="center"/>
          </w:tcPr>
          <w:p w14:paraId="5B66A762">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依托</w:t>
            </w:r>
          </w:p>
        </w:tc>
      </w:tr>
      <w:tr w14:paraId="5D3F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69111921">
            <w:pPr>
              <w:widowControl/>
              <w:jc w:val="left"/>
              <w:rPr>
                <w:rFonts w:hint="default" w:ascii="Arial" w:hAnsi="Arial" w:eastAsia="宋体" w:cs="Arial"/>
                <w:kern w:val="0"/>
                <w:szCs w:val="21"/>
              </w:rPr>
            </w:pPr>
          </w:p>
        </w:tc>
        <w:tc>
          <w:tcPr>
            <w:tcW w:w="1452" w:type="dxa"/>
            <w:vMerge w:val="restart"/>
            <w:vAlign w:val="center"/>
          </w:tcPr>
          <w:p w14:paraId="59398AAD">
            <w:pPr>
              <w:ind w:right="-108"/>
              <w:jc w:val="center"/>
              <w:rPr>
                <w:rFonts w:hint="default" w:ascii="Arial" w:hAnsi="Arial" w:eastAsia="宋体" w:cs="Arial"/>
                <w:kern w:val="0"/>
                <w:szCs w:val="21"/>
              </w:rPr>
            </w:pPr>
            <w:r>
              <w:rPr>
                <w:rFonts w:hint="default" w:ascii="Arial" w:hAnsi="Arial" w:eastAsia="宋体" w:cs="Arial"/>
                <w:kern w:val="0"/>
                <w:szCs w:val="21"/>
              </w:rPr>
              <w:t>固废处理</w:t>
            </w:r>
          </w:p>
        </w:tc>
        <w:tc>
          <w:tcPr>
            <w:tcW w:w="5288" w:type="dxa"/>
            <w:vAlign w:val="center"/>
          </w:tcPr>
          <w:p w14:paraId="6CAF025B">
            <w:pPr>
              <w:jc w:val="center"/>
              <w:rPr>
                <w:rFonts w:hint="default" w:ascii="Arial" w:hAnsi="Arial" w:eastAsia="宋体" w:cs="Arial"/>
                <w:kern w:val="0"/>
                <w:szCs w:val="21"/>
                <w:lang w:val="en-US"/>
              </w:rPr>
            </w:pPr>
            <w:r>
              <w:rPr>
                <w:rFonts w:hint="default" w:ascii="Arial" w:hAnsi="Arial" w:eastAsia="宋体" w:cs="Arial"/>
                <w:kern w:val="0"/>
                <w:szCs w:val="21"/>
              </w:rPr>
              <w:t>危废仓库</w:t>
            </w:r>
            <w:r>
              <w:rPr>
                <w:rFonts w:hint="default" w:ascii="Arial" w:hAnsi="Arial" w:eastAsia="宋体" w:cs="Arial"/>
                <w:kern w:val="0"/>
                <w:szCs w:val="21"/>
                <w:lang w:val="en-US" w:eastAsia="zh-CN"/>
              </w:rPr>
              <w:t>位于4#车间，面积</w:t>
            </w:r>
            <w:r>
              <w:rPr>
                <w:rFonts w:hint="default" w:ascii="Arial" w:hAnsi="Arial" w:eastAsia="宋体" w:cs="Arial"/>
                <w:kern w:val="0"/>
                <w:szCs w:val="21"/>
              </w:rPr>
              <w:t>15m</w:t>
            </w:r>
            <w:r>
              <w:rPr>
                <w:rFonts w:hint="default" w:ascii="Arial" w:hAnsi="Arial" w:eastAsia="宋体" w:cs="Arial"/>
                <w:kern w:val="0"/>
                <w:szCs w:val="21"/>
                <w:vertAlign w:val="superscript"/>
              </w:rPr>
              <w:t>2</w:t>
            </w:r>
            <w:r>
              <w:rPr>
                <w:rFonts w:hint="default" w:ascii="Arial" w:hAnsi="Arial" w:eastAsia="宋体" w:cs="Arial"/>
                <w:kern w:val="0"/>
                <w:szCs w:val="21"/>
                <w:lang w:eastAsia="zh-CN"/>
              </w:rPr>
              <w:t>，</w:t>
            </w:r>
            <w:r>
              <w:rPr>
                <w:rFonts w:hint="default" w:ascii="Arial" w:hAnsi="Arial" w:eastAsia="宋体" w:cs="Arial"/>
                <w:kern w:val="0"/>
                <w:szCs w:val="21"/>
                <w:lang w:val="en-US" w:eastAsia="zh-CN"/>
              </w:rPr>
              <w:t>用于危险废物暂存；</w:t>
            </w:r>
            <w:r>
              <w:rPr>
                <w:rFonts w:hint="default" w:ascii="Arial" w:hAnsi="Arial" w:eastAsia="宋体" w:cs="Arial"/>
                <w:kern w:val="0"/>
                <w:szCs w:val="21"/>
              </w:rPr>
              <w:t>危废仓库</w:t>
            </w:r>
            <w:r>
              <w:rPr>
                <w:rFonts w:hint="default" w:ascii="Arial" w:hAnsi="Arial" w:eastAsia="宋体" w:cs="Arial"/>
                <w:kern w:val="0"/>
                <w:szCs w:val="21"/>
                <w:lang w:val="en-US" w:eastAsia="zh-CN"/>
              </w:rPr>
              <w:t>位于4#车间，面积300</w:t>
            </w:r>
            <w:r>
              <w:rPr>
                <w:rFonts w:hint="default" w:ascii="Arial" w:hAnsi="Arial" w:eastAsia="宋体" w:cs="Arial"/>
                <w:kern w:val="0"/>
                <w:szCs w:val="21"/>
              </w:rPr>
              <w:t>m</w:t>
            </w:r>
            <w:r>
              <w:rPr>
                <w:rFonts w:hint="default" w:ascii="Arial" w:hAnsi="Arial" w:eastAsia="宋体" w:cs="Arial"/>
                <w:kern w:val="0"/>
                <w:szCs w:val="21"/>
                <w:vertAlign w:val="superscript"/>
              </w:rPr>
              <w:t>2</w:t>
            </w:r>
            <w:r>
              <w:rPr>
                <w:rFonts w:hint="default" w:ascii="Arial" w:hAnsi="Arial" w:eastAsia="宋体" w:cs="Arial"/>
                <w:kern w:val="0"/>
                <w:szCs w:val="21"/>
                <w:lang w:eastAsia="zh-CN"/>
              </w:rPr>
              <w:t>，</w:t>
            </w:r>
            <w:r>
              <w:rPr>
                <w:rFonts w:hint="default" w:ascii="Arial" w:hAnsi="Arial" w:eastAsia="宋体" w:cs="Arial"/>
                <w:kern w:val="0"/>
                <w:szCs w:val="21"/>
                <w:lang w:val="en-US" w:eastAsia="zh-CN"/>
              </w:rPr>
              <w:t>用于一般固废暂存。</w:t>
            </w:r>
          </w:p>
        </w:tc>
        <w:tc>
          <w:tcPr>
            <w:tcW w:w="704" w:type="dxa"/>
            <w:vAlign w:val="center"/>
          </w:tcPr>
          <w:p w14:paraId="6446ACF9">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依托</w:t>
            </w:r>
          </w:p>
        </w:tc>
      </w:tr>
      <w:tr w14:paraId="60CA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93" w:type="dxa"/>
            <w:vMerge w:val="continue"/>
            <w:vAlign w:val="center"/>
          </w:tcPr>
          <w:p w14:paraId="28FD70DB">
            <w:pPr>
              <w:widowControl/>
              <w:jc w:val="left"/>
              <w:rPr>
                <w:rFonts w:hint="default" w:ascii="Arial" w:hAnsi="Arial" w:eastAsia="宋体" w:cs="Arial"/>
                <w:kern w:val="0"/>
                <w:szCs w:val="21"/>
              </w:rPr>
            </w:pPr>
          </w:p>
        </w:tc>
        <w:tc>
          <w:tcPr>
            <w:tcW w:w="1452" w:type="dxa"/>
            <w:vMerge w:val="continue"/>
            <w:vAlign w:val="center"/>
          </w:tcPr>
          <w:p w14:paraId="4841266A">
            <w:pPr>
              <w:ind w:right="-108"/>
              <w:jc w:val="center"/>
              <w:rPr>
                <w:rFonts w:hint="default" w:ascii="Arial" w:hAnsi="Arial" w:eastAsia="宋体" w:cs="Arial"/>
                <w:kern w:val="0"/>
                <w:szCs w:val="21"/>
              </w:rPr>
            </w:pPr>
          </w:p>
        </w:tc>
        <w:tc>
          <w:tcPr>
            <w:tcW w:w="5288" w:type="dxa"/>
            <w:vAlign w:val="center"/>
          </w:tcPr>
          <w:p w14:paraId="3B731605">
            <w:pPr>
              <w:jc w:val="center"/>
              <w:rPr>
                <w:rFonts w:hint="default" w:ascii="Arial" w:hAnsi="Arial" w:eastAsia="宋体" w:cs="Arial"/>
                <w:kern w:val="0"/>
                <w:szCs w:val="21"/>
              </w:rPr>
            </w:pPr>
            <w:r>
              <w:rPr>
                <w:rFonts w:hint="default" w:ascii="Arial" w:hAnsi="Arial" w:eastAsia="宋体" w:cs="Arial"/>
                <w:kern w:val="0"/>
                <w:szCs w:val="21"/>
                <w:lang w:val="en-US" w:eastAsia="zh-CN"/>
              </w:rPr>
              <w:t>在4#车间一层，设置废水处理浓缩液贮存库，面积40</w:t>
            </w:r>
            <w:r>
              <w:rPr>
                <w:rFonts w:hint="default" w:ascii="Arial" w:hAnsi="Arial" w:eastAsia="宋体" w:cs="Arial"/>
                <w:kern w:val="0"/>
                <w:szCs w:val="21"/>
              </w:rPr>
              <w:t>m</w:t>
            </w:r>
            <w:r>
              <w:rPr>
                <w:rFonts w:hint="default" w:ascii="Arial" w:hAnsi="Arial" w:eastAsia="宋体" w:cs="Arial"/>
                <w:kern w:val="0"/>
                <w:szCs w:val="21"/>
                <w:vertAlign w:val="superscript"/>
              </w:rPr>
              <w:t>2</w:t>
            </w:r>
            <w:r>
              <w:rPr>
                <w:rFonts w:hint="default" w:ascii="Arial" w:hAnsi="Arial" w:eastAsia="宋体" w:cs="Arial"/>
                <w:kern w:val="0"/>
                <w:szCs w:val="21"/>
                <w:lang w:val="en-US" w:eastAsia="zh-CN"/>
              </w:rPr>
              <w:t>，专门用于废水处理浓缩液贮存。</w:t>
            </w:r>
          </w:p>
        </w:tc>
        <w:tc>
          <w:tcPr>
            <w:tcW w:w="704" w:type="dxa"/>
            <w:vAlign w:val="center"/>
          </w:tcPr>
          <w:p w14:paraId="7F8D4126">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新建</w:t>
            </w:r>
          </w:p>
        </w:tc>
      </w:tr>
    </w:tbl>
    <w:p w14:paraId="1907382C">
      <w:pPr>
        <w:pStyle w:val="76"/>
        <w:numPr>
          <w:ilvl w:val="2"/>
          <w:numId w:val="4"/>
        </w:numPr>
        <w:spacing w:line="360" w:lineRule="auto"/>
        <w:ind w:left="535" w:leftChars="0" w:hanging="325" w:firstLineChars="0"/>
        <w:outlineLvl w:val="2"/>
        <w:rPr>
          <w:rFonts w:hint="default" w:ascii="Arial" w:hAnsi="Arial" w:eastAsia="宋体" w:cs="Arial"/>
          <w:b/>
          <w:bCs/>
          <w:sz w:val="24"/>
          <w:szCs w:val="24"/>
        </w:rPr>
      </w:pPr>
      <w:r>
        <w:rPr>
          <w:rFonts w:hint="default" w:ascii="Arial" w:hAnsi="Arial" w:eastAsia="宋体" w:cs="Arial"/>
          <w:b/>
          <w:bCs/>
          <w:sz w:val="24"/>
          <w:szCs w:val="24"/>
        </w:rPr>
        <w:t>项目产品方案</w:t>
      </w:r>
    </w:p>
    <w:p w14:paraId="76FC7DEA">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w:t>
      </w:r>
      <w:r>
        <w:rPr>
          <w:rFonts w:hint="default" w:ascii="Arial" w:hAnsi="Arial" w:eastAsia="宋体" w:cs="Arial"/>
          <w:color w:val="000000" w:themeColor="text1"/>
          <w:sz w:val="24"/>
          <w:szCs w:val="24"/>
          <w14:textFill>
            <w14:solidFill>
              <w14:schemeClr w14:val="tx1"/>
            </w14:solidFill>
          </w14:textFill>
        </w:rPr>
        <w:t>项目</w:t>
      </w:r>
      <w:r>
        <w:rPr>
          <w:rFonts w:hint="default" w:ascii="Arial" w:hAnsi="Arial" w:eastAsia="宋体" w:cs="Arial"/>
          <w:color w:val="000000" w:themeColor="text1"/>
          <w:sz w:val="24"/>
          <w:szCs w:val="24"/>
          <w:lang w:val="en-US" w:eastAsia="zh-CN"/>
          <w14:textFill>
            <w14:solidFill>
              <w14:schemeClr w14:val="tx1"/>
            </w14:solidFill>
          </w14:textFill>
        </w:rPr>
        <w:t>为全厂技改扩建，对现有项目机加工、清洗等工艺进行技术改造；现有项目审批产能为300万套，技改后新增汽车转向总成30万套，本次项目实施后全厂汽车转向总成产能</w:t>
      </w:r>
      <w:r>
        <w:rPr>
          <w:rFonts w:hint="default" w:ascii="Arial" w:hAnsi="Arial" w:eastAsia="宋体" w:cs="Arial"/>
          <w:sz w:val="24"/>
          <w:szCs w:val="24"/>
          <w:lang w:val="en-US" w:eastAsia="zh-CN"/>
        </w:rPr>
        <w:t>为330万套/年。技改项目后，新能源转向总成每套包含输入轴、电镀SSU输入轴、扭杆、齿轮轴、电机小总成5类零件，具体</w:t>
      </w:r>
      <w:r>
        <w:rPr>
          <w:rFonts w:hint="default" w:ascii="Arial" w:hAnsi="Arial" w:eastAsia="宋体" w:cs="Arial"/>
          <w:sz w:val="24"/>
          <w:szCs w:val="24"/>
        </w:rPr>
        <w:t>产品方案如下表：</w:t>
      </w:r>
    </w:p>
    <w:p w14:paraId="2D7F0A7C">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企业产品方案</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777"/>
        <w:gridCol w:w="2034"/>
        <w:gridCol w:w="2735"/>
        <w:gridCol w:w="1391"/>
      </w:tblGrid>
      <w:tr w14:paraId="1CF6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1119" w:type="pct"/>
            <w:tcMar>
              <w:left w:w="57" w:type="dxa"/>
              <w:right w:w="57" w:type="dxa"/>
            </w:tcMar>
            <w:vAlign w:val="center"/>
          </w:tcPr>
          <w:p w14:paraId="75788AC9">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产品名称</w:t>
            </w:r>
          </w:p>
        </w:tc>
        <w:tc>
          <w:tcPr>
            <w:tcW w:w="1281" w:type="pct"/>
            <w:tcMar>
              <w:left w:w="57" w:type="dxa"/>
              <w:right w:w="57" w:type="dxa"/>
            </w:tcMar>
            <w:vAlign w:val="center"/>
          </w:tcPr>
          <w:p w14:paraId="31216CE7">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技改前生产数量</w:t>
            </w:r>
          </w:p>
          <w:p w14:paraId="3FAF7CCE">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（万套/年）</w:t>
            </w:r>
          </w:p>
        </w:tc>
        <w:tc>
          <w:tcPr>
            <w:tcW w:w="1722" w:type="pct"/>
            <w:vAlign w:val="center"/>
          </w:tcPr>
          <w:p w14:paraId="4FCA1819">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技改后生产数量</w:t>
            </w:r>
          </w:p>
          <w:p w14:paraId="0937D595">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（万套/年）</w:t>
            </w:r>
          </w:p>
        </w:tc>
        <w:tc>
          <w:tcPr>
            <w:tcW w:w="876" w:type="pct"/>
            <w:vAlign w:val="center"/>
          </w:tcPr>
          <w:p w14:paraId="43013CD1">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变化情况</w:t>
            </w:r>
          </w:p>
          <w:p w14:paraId="30CB123E">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（万套/年）</w:t>
            </w:r>
          </w:p>
        </w:tc>
      </w:tr>
      <w:tr w14:paraId="61D1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1119" w:type="pct"/>
            <w:tcMar>
              <w:left w:w="57" w:type="dxa"/>
              <w:right w:w="57" w:type="dxa"/>
            </w:tcMar>
            <w:vAlign w:val="center"/>
          </w:tcPr>
          <w:p w14:paraId="490EAC5A">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新能源转向总成</w:t>
            </w:r>
          </w:p>
        </w:tc>
        <w:tc>
          <w:tcPr>
            <w:tcW w:w="1281" w:type="pct"/>
            <w:shd w:val="clear" w:color="auto" w:fill="auto"/>
            <w:tcMar>
              <w:left w:w="57" w:type="dxa"/>
              <w:right w:w="57" w:type="dxa"/>
            </w:tcMar>
            <w:vAlign w:val="center"/>
          </w:tcPr>
          <w:p w14:paraId="2601BCA6">
            <w:pPr>
              <w:widowControl/>
              <w:contextualSpacing/>
              <w:jc w:val="center"/>
              <w:rPr>
                <w:rFonts w:hint="default" w:ascii="Arial" w:hAnsi="Arial" w:eastAsia="宋体" w:cs="Arial"/>
                <w:color w:val="000000" w:themeColor="text1"/>
                <w:kern w:val="0"/>
                <w:sz w:val="21"/>
                <w:szCs w:val="21"/>
                <w:lang w:val="en-US" w:eastAsia="zh-CN" w:bidi="ar-SA"/>
                <w14:textFill>
                  <w14:solidFill>
                    <w14:schemeClr w14:val="tx1"/>
                  </w14:solidFill>
                </w14:textFill>
              </w:rPr>
            </w:pPr>
            <w:r>
              <w:rPr>
                <w:rFonts w:hint="default" w:ascii="Arial" w:hAnsi="Arial" w:eastAsia="宋体" w:cs="Arial"/>
                <w:color w:val="000000" w:themeColor="text1"/>
                <w:kern w:val="0"/>
                <w:szCs w:val="21"/>
                <w:lang w:val="en-US" w:eastAsia="zh-CN"/>
                <w14:textFill>
                  <w14:solidFill>
                    <w14:schemeClr w14:val="tx1"/>
                  </w14:solidFill>
                </w14:textFill>
              </w:rPr>
              <w:t>300</w:t>
            </w:r>
          </w:p>
        </w:tc>
        <w:tc>
          <w:tcPr>
            <w:tcW w:w="1722" w:type="pct"/>
            <w:vAlign w:val="center"/>
          </w:tcPr>
          <w:p w14:paraId="455A40F2">
            <w:pPr>
              <w:widowControl/>
              <w:contextualSpacing/>
              <w:jc w:val="center"/>
              <w:rPr>
                <w:rFonts w:hint="default" w:ascii="Arial" w:hAnsi="Arial" w:eastAsia="宋体" w:cs="Arial"/>
                <w:color w:val="000000" w:themeColor="text1"/>
                <w:kern w:val="0"/>
                <w:szCs w:val="21"/>
                <w:lang w:val="en-US" w:eastAsia="zh-CN"/>
                <w14:textFill>
                  <w14:solidFill>
                    <w14:schemeClr w14:val="tx1"/>
                  </w14:solidFill>
                </w14:textFill>
              </w:rPr>
            </w:pPr>
            <w:r>
              <w:rPr>
                <w:rFonts w:hint="eastAsia" w:ascii="Arial" w:hAnsi="Arial" w:eastAsia="宋体" w:cs="Arial"/>
                <w:color w:val="000000" w:themeColor="text1"/>
                <w:kern w:val="0"/>
                <w:szCs w:val="21"/>
                <w:lang w:val="en-US" w:eastAsia="zh-CN"/>
                <w14:textFill>
                  <w14:solidFill>
                    <w14:schemeClr w14:val="tx1"/>
                  </w14:solidFill>
                </w14:textFill>
              </w:rPr>
              <w:t>3</w:t>
            </w:r>
            <w:r>
              <w:rPr>
                <w:rFonts w:hint="default" w:ascii="Arial" w:hAnsi="Arial" w:eastAsia="宋体" w:cs="Arial"/>
                <w:color w:val="000000" w:themeColor="text1"/>
                <w:kern w:val="0"/>
                <w:szCs w:val="21"/>
                <w:lang w:val="en-US" w:eastAsia="zh-CN"/>
                <w14:textFill>
                  <w14:solidFill>
                    <w14:schemeClr w14:val="tx1"/>
                  </w14:solidFill>
                </w14:textFill>
              </w:rPr>
              <w:t>30</w:t>
            </w:r>
          </w:p>
        </w:tc>
        <w:tc>
          <w:tcPr>
            <w:tcW w:w="876" w:type="pct"/>
            <w:vAlign w:val="center"/>
          </w:tcPr>
          <w:p w14:paraId="2E7F7429">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+30</w:t>
            </w:r>
          </w:p>
        </w:tc>
      </w:tr>
    </w:tbl>
    <w:p w14:paraId="2878EEFF">
      <w:pPr>
        <w:pStyle w:val="76"/>
        <w:keepNext w:val="0"/>
        <w:keepLines w:val="0"/>
        <w:pageBreakBefore w:val="0"/>
        <w:widowControl w:val="0"/>
        <w:numPr>
          <w:ilvl w:val="0"/>
          <w:numId w:val="0"/>
        </w:numPr>
        <w:kinsoku/>
        <w:wordWrap/>
        <w:overflowPunct/>
        <w:topLinePunct w:val="0"/>
        <w:autoSpaceDE/>
        <w:autoSpaceDN/>
        <w:bidi w:val="0"/>
        <w:adjustRightInd/>
        <w:snapToGrid/>
        <w:spacing w:before="171" w:beforeLines="50"/>
        <w:jc w:val="both"/>
        <w:textAlignment w:val="auto"/>
        <w:outlineLvl w:val="3"/>
        <w:rPr>
          <w:rFonts w:hint="default" w:ascii="Arial" w:hAnsi="Arial" w:eastAsia="宋体" w:cs="Arial"/>
          <w:b/>
          <w:bCs/>
          <w:sz w:val="24"/>
          <w:szCs w:val="24"/>
        </w:rPr>
      </w:pPr>
    </w:p>
    <w:p w14:paraId="2B66AE80">
      <w:pPr>
        <w:pStyle w:val="76"/>
        <w:keepNext w:val="0"/>
        <w:keepLines w:val="0"/>
        <w:pageBreakBefore w:val="0"/>
        <w:widowControl w:val="0"/>
        <w:numPr>
          <w:ilvl w:val="0"/>
          <w:numId w:val="0"/>
        </w:numPr>
        <w:kinsoku/>
        <w:wordWrap/>
        <w:overflowPunct/>
        <w:topLinePunct w:val="0"/>
        <w:autoSpaceDE/>
        <w:autoSpaceDN/>
        <w:bidi w:val="0"/>
        <w:adjustRightInd/>
        <w:snapToGrid/>
        <w:spacing w:before="171" w:beforeLines="50"/>
        <w:jc w:val="both"/>
        <w:textAlignment w:val="auto"/>
        <w:outlineLvl w:val="3"/>
        <w:rPr>
          <w:rFonts w:hint="default" w:ascii="Arial" w:hAnsi="Arial" w:eastAsia="宋体" w:cs="Arial"/>
          <w:b/>
          <w:bCs/>
          <w:sz w:val="24"/>
          <w:szCs w:val="24"/>
        </w:rPr>
      </w:pPr>
    </w:p>
    <w:p w14:paraId="7BC1F9D9">
      <w:pPr>
        <w:pStyle w:val="76"/>
        <w:keepNext w:val="0"/>
        <w:keepLines w:val="0"/>
        <w:pageBreakBefore w:val="0"/>
        <w:widowControl w:val="0"/>
        <w:numPr>
          <w:ilvl w:val="0"/>
          <w:numId w:val="0"/>
        </w:numPr>
        <w:kinsoku/>
        <w:wordWrap/>
        <w:overflowPunct/>
        <w:topLinePunct w:val="0"/>
        <w:autoSpaceDE/>
        <w:autoSpaceDN/>
        <w:bidi w:val="0"/>
        <w:adjustRightInd/>
        <w:snapToGrid/>
        <w:spacing w:before="171" w:beforeLines="50"/>
        <w:jc w:val="both"/>
        <w:textAlignment w:val="auto"/>
        <w:outlineLvl w:val="3"/>
        <w:rPr>
          <w:rFonts w:hint="default" w:ascii="Arial" w:hAnsi="Arial" w:eastAsia="宋体" w:cs="Arial"/>
          <w:b/>
          <w:bCs/>
          <w:sz w:val="24"/>
          <w:szCs w:val="24"/>
        </w:rPr>
      </w:pPr>
    </w:p>
    <w:p w14:paraId="1B52F35A">
      <w:pPr>
        <w:pStyle w:val="76"/>
        <w:keepNext w:val="0"/>
        <w:keepLines w:val="0"/>
        <w:pageBreakBefore w:val="0"/>
        <w:widowControl w:val="0"/>
        <w:numPr>
          <w:ilvl w:val="0"/>
          <w:numId w:val="0"/>
        </w:numPr>
        <w:kinsoku/>
        <w:wordWrap/>
        <w:overflowPunct/>
        <w:topLinePunct w:val="0"/>
        <w:autoSpaceDE/>
        <w:autoSpaceDN/>
        <w:bidi w:val="0"/>
        <w:adjustRightInd/>
        <w:snapToGrid/>
        <w:spacing w:before="171" w:beforeLines="50"/>
        <w:jc w:val="both"/>
        <w:textAlignment w:val="auto"/>
        <w:outlineLvl w:val="3"/>
        <w:rPr>
          <w:rFonts w:hint="default" w:ascii="Arial" w:hAnsi="Arial" w:eastAsia="宋体" w:cs="Arial"/>
          <w:b/>
          <w:bCs/>
          <w:sz w:val="24"/>
          <w:szCs w:val="24"/>
        </w:rPr>
      </w:pPr>
    </w:p>
    <w:p w14:paraId="16ED15E3">
      <w:pPr>
        <w:pStyle w:val="76"/>
        <w:keepNext w:val="0"/>
        <w:keepLines w:val="0"/>
        <w:pageBreakBefore w:val="0"/>
        <w:widowControl w:val="0"/>
        <w:numPr>
          <w:ilvl w:val="3"/>
          <w:numId w:val="4"/>
        </w:numPr>
        <w:kinsoku/>
        <w:wordWrap/>
        <w:overflowPunct/>
        <w:topLinePunct w:val="0"/>
        <w:autoSpaceDE/>
        <w:autoSpaceDN/>
        <w:bidi w:val="0"/>
        <w:adjustRightInd/>
        <w:snapToGrid/>
        <w:spacing w:before="171" w:beforeLines="50"/>
        <w:ind w:left="105" w:leftChars="5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新能源转向总成零部件组成一览表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1321"/>
        <w:gridCol w:w="1807"/>
        <w:gridCol w:w="2050"/>
        <w:gridCol w:w="1192"/>
        <w:gridCol w:w="1567"/>
      </w:tblGrid>
      <w:tr w14:paraId="32A7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567" w:hRule="atLeast"/>
          <w:tblHeader/>
          <w:jc w:val="center"/>
        </w:trPr>
        <w:tc>
          <w:tcPr>
            <w:tcW w:w="4012" w:type="pct"/>
            <w:gridSpan w:val="4"/>
            <w:vAlign w:val="center"/>
          </w:tcPr>
          <w:p w14:paraId="36266C58">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技改后各零件生产数量</w:t>
            </w:r>
          </w:p>
        </w:tc>
        <w:tc>
          <w:tcPr>
            <w:tcW w:w="987" w:type="pct"/>
            <w:vMerge w:val="restart"/>
            <w:vAlign w:val="center"/>
          </w:tcPr>
          <w:p w14:paraId="5719E280">
            <w:pPr>
              <w:contextualSpacing/>
              <w:jc w:val="center"/>
              <w:rPr>
                <w:rFonts w:hint="default" w:ascii="Arial" w:hAnsi="Arial" w:eastAsia="宋体" w:cs="Arial"/>
                <w:kern w:val="0"/>
                <w:szCs w:val="21"/>
              </w:rPr>
            </w:pPr>
            <w:r>
              <w:rPr>
                <w:rFonts w:hint="default" w:ascii="Arial" w:hAnsi="Arial" w:eastAsia="宋体" w:cs="Arial"/>
                <w:kern w:val="0"/>
                <w:szCs w:val="21"/>
              </w:rPr>
              <w:t>备注</w:t>
            </w:r>
          </w:p>
        </w:tc>
      </w:tr>
      <w:tr w14:paraId="152D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567" w:hRule="atLeast"/>
          <w:tblHeader/>
          <w:jc w:val="center"/>
        </w:trPr>
        <w:tc>
          <w:tcPr>
            <w:tcW w:w="832" w:type="pct"/>
            <w:vMerge w:val="restart"/>
            <w:vAlign w:val="center"/>
          </w:tcPr>
          <w:p w14:paraId="74CC845E">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新能源转向总成</w:t>
            </w:r>
          </w:p>
        </w:tc>
        <w:tc>
          <w:tcPr>
            <w:tcW w:w="1138" w:type="pct"/>
            <w:vAlign w:val="center"/>
          </w:tcPr>
          <w:p w14:paraId="2271890A">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（万套/年）</w:t>
            </w:r>
          </w:p>
        </w:tc>
        <w:tc>
          <w:tcPr>
            <w:tcW w:w="2042" w:type="pct"/>
            <w:gridSpan w:val="2"/>
            <w:vAlign w:val="center"/>
          </w:tcPr>
          <w:p w14:paraId="31864166">
            <w:pPr>
              <w:contextualSpacing/>
              <w:jc w:val="center"/>
              <w:rPr>
                <w:rFonts w:hint="default" w:ascii="Arial" w:hAnsi="Arial" w:eastAsia="宋体" w:cs="Arial"/>
                <w:kern w:val="0"/>
                <w:szCs w:val="21"/>
                <w:lang w:val="en-US" w:eastAsia="zh-CN"/>
              </w:rPr>
            </w:pPr>
            <w:r>
              <w:rPr>
                <w:rFonts w:hint="default" w:ascii="Arial" w:hAnsi="Arial" w:eastAsia="宋体" w:cs="Arial"/>
                <w:kern w:val="0"/>
                <w:szCs w:val="21"/>
              </w:rPr>
              <w:t>（</w:t>
            </w:r>
            <w:r>
              <w:rPr>
                <w:rFonts w:hint="default" w:ascii="Arial" w:hAnsi="Arial" w:eastAsia="宋体" w:cs="Arial"/>
                <w:kern w:val="0"/>
                <w:szCs w:val="21"/>
                <w:lang w:val="en-US" w:eastAsia="zh-CN"/>
              </w:rPr>
              <w:t>万件</w:t>
            </w:r>
            <w:r>
              <w:rPr>
                <w:rFonts w:hint="default" w:ascii="Arial" w:hAnsi="Arial" w:eastAsia="宋体" w:cs="Arial"/>
                <w:kern w:val="0"/>
                <w:szCs w:val="21"/>
              </w:rPr>
              <w:t>/年）</w:t>
            </w:r>
          </w:p>
        </w:tc>
        <w:tc>
          <w:tcPr>
            <w:tcW w:w="987" w:type="pct"/>
            <w:vMerge w:val="continue"/>
            <w:vAlign w:val="center"/>
          </w:tcPr>
          <w:p w14:paraId="7BD111B1">
            <w:pPr>
              <w:contextualSpacing/>
              <w:jc w:val="center"/>
              <w:rPr>
                <w:rFonts w:hint="default" w:ascii="Arial" w:hAnsi="Arial" w:eastAsia="宋体" w:cs="Arial"/>
                <w:kern w:val="0"/>
                <w:szCs w:val="21"/>
                <w:lang w:val="en-US" w:eastAsia="zh-CN"/>
              </w:rPr>
            </w:pPr>
          </w:p>
        </w:tc>
      </w:tr>
      <w:tr w14:paraId="392C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832" w:type="pct"/>
            <w:vMerge w:val="continue"/>
            <w:vAlign w:val="center"/>
          </w:tcPr>
          <w:p w14:paraId="59286939">
            <w:pPr>
              <w:widowControl/>
              <w:contextualSpacing/>
              <w:jc w:val="center"/>
              <w:rPr>
                <w:rFonts w:hint="default" w:ascii="Arial" w:hAnsi="Arial" w:eastAsia="宋体" w:cs="Arial"/>
                <w:kern w:val="0"/>
                <w:szCs w:val="21"/>
                <w:lang w:val="en-US" w:eastAsia="zh-CN"/>
              </w:rPr>
            </w:pPr>
          </w:p>
        </w:tc>
        <w:tc>
          <w:tcPr>
            <w:tcW w:w="1138" w:type="pct"/>
            <w:vMerge w:val="restart"/>
            <w:vAlign w:val="center"/>
          </w:tcPr>
          <w:p w14:paraId="696C6AE6">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330</w:t>
            </w:r>
          </w:p>
        </w:tc>
        <w:tc>
          <w:tcPr>
            <w:tcW w:w="1291" w:type="pct"/>
            <w:shd w:val="clear" w:color="auto" w:fill="auto"/>
            <w:vAlign w:val="center"/>
          </w:tcPr>
          <w:p w14:paraId="0BC7CEFF">
            <w:pPr>
              <w:widowControl/>
              <w:contextualSpacing/>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输入轴</w:t>
            </w:r>
          </w:p>
        </w:tc>
        <w:tc>
          <w:tcPr>
            <w:tcW w:w="750" w:type="pct"/>
            <w:vAlign w:val="center"/>
          </w:tcPr>
          <w:p w14:paraId="63412690">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460</w:t>
            </w:r>
          </w:p>
        </w:tc>
        <w:tc>
          <w:tcPr>
            <w:tcW w:w="987" w:type="pct"/>
            <w:shd w:val="clear" w:color="auto" w:fill="auto"/>
            <w:vAlign w:val="center"/>
          </w:tcPr>
          <w:p w14:paraId="50530F1E">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w:t>
            </w:r>
          </w:p>
        </w:tc>
      </w:tr>
      <w:tr w14:paraId="51C9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832" w:type="pct"/>
            <w:vMerge w:val="continue"/>
            <w:vAlign w:val="center"/>
          </w:tcPr>
          <w:p w14:paraId="3FD6FF65">
            <w:pPr>
              <w:widowControl/>
              <w:contextualSpacing/>
              <w:jc w:val="center"/>
              <w:rPr>
                <w:rFonts w:hint="default" w:ascii="Arial" w:hAnsi="Arial" w:eastAsia="宋体" w:cs="Arial"/>
                <w:kern w:val="0"/>
                <w:szCs w:val="21"/>
                <w:lang w:val="en-US" w:eastAsia="zh-CN"/>
              </w:rPr>
            </w:pPr>
          </w:p>
        </w:tc>
        <w:tc>
          <w:tcPr>
            <w:tcW w:w="1138" w:type="pct"/>
            <w:vMerge w:val="continue"/>
            <w:vAlign w:val="center"/>
          </w:tcPr>
          <w:p w14:paraId="6A0F2947">
            <w:pPr>
              <w:widowControl/>
              <w:contextualSpacing/>
              <w:jc w:val="center"/>
              <w:rPr>
                <w:rFonts w:hint="default" w:ascii="Arial" w:hAnsi="Arial" w:eastAsia="宋体" w:cs="Arial"/>
                <w:kern w:val="0"/>
                <w:szCs w:val="21"/>
                <w:lang w:val="en-US" w:eastAsia="zh-CN"/>
              </w:rPr>
            </w:pPr>
          </w:p>
        </w:tc>
        <w:tc>
          <w:tcPr>
            <w:tcW w:w="1291" w:type="pct"/>
            <w:shd w:val="clear" w:color="auto" w:fill="auto"/>
            <w:vAlign w:val="center"/>
          </w:tcPr>
          <w:p w14:paraId="2A58795D">
            <w:pPr>
              <w:widowControl/>
              <w:contextualSpacing/>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电镀SSU输入轴</w:t>
            </w:r>
          </w:p>
        </w:tc>
        <w:tc>
          <w:tcPr>
            <w:tcW w:w="750" w:type="pct"/>
            <w:vAlign w:val="center"/>
          </w:tcPr>
          <w:p w14:paraId="65F0FAD5">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200</w:t>
            </w:r>
          </w:p>
        </w:tc>
        <w:tc>
          <w:tcPr>
            <w:tcW w:w="987" w:type="pct"/>
            <w:shd w:val="clear" w:color="auto" w:fill="auto"/>
            <w:vAlign w:val="center"/>
          </w:tcPr>
          <w:p w14:paraId="071D3679">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w:t>
            </w:r>
          </w:p>
        </w:tc>
      </w:tr>
      <w:tr w14:paraId="7A076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832" w:type="pct"/>
            <w:vMerge w:val="continue"/>
            <w:vAlign w:val="center"/>
          </w:tcPr>
          <w:p w14:paraId="3D5093E1">
            <w:pPr>
              <w:widowControl/>
              <w:contextualSpacing/>
              <w:jc w:val="center"/>
              <w:rPr>
                <w:rFonts w:hint="default" w:ascii="Arial" w:hAnsi="Arial" w:eastAsia="宋体" w:cs="Arial"/>
                <w:kern w:val="0"/>
                <w:szCs w:val="21"/>
                <w:lang w:val="en-US" w:eastAsia="zh-CN"/>
              </w:rPr>
            </w:pPr>
          </w:p>
        </w:tc>
        <w:tc>
          <w:tcPr>
            <w:tcW w:w="1138" w:type="pct"/>
            <w:vMerge w:val="continue"/>
            <w:vAlign w:val="center"/>
          </w:tcPr>
          <w:p w14:paraId="0AC82A68">
            <w:pPr>
              <w:widowControl/>
              <w:contextualSpacing/>
              <w:jc w:val="center"/>
              <w:rPr>
                <w:rFonts w:hint="default" w:ascii="Arial" w:hAnsi="Arial" w:eastAsia="宋体" w:cs="Arial"/>
                <w:kern w:val="0"/>
                <w:szCs w:val="21"/>
                <w:lang w:val="en-US" w:eastAsia="zh-CN"/>
              </w:rPr>
            </w:pPr>
          </w:p>
        </w:tc>
        <w:tc>
          <w:tcPr>
            <w:tcW w:w="1291" w:type="pct"/>
            <w:shd w:val="clear" w:color="auto" w:fill="auto"/>
            <w:vAlign w:val="center"/>
          </w:tcPr>
          <w:p w14:paraId="40FC63BD">
            <w:pPr>
              <w:widowControl/>
              <w:contextualSpacing/>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扭杆</w:t>
            </w:r>
          </w:p>
        </w:tc>
        <w:tc>
          <w:tcPr>
            <w:tcW w:w="750" w:type="pct"/>
            <w:vAlign w:val="center"/>
          </w:tcPr>
          <w:p w14:paraId="33063EE3">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900</w:t>
            </w:r>
          </w:p>
        </w:tc>
        <w:tc>
          <w:tcPr>
            <w:tcW w:w="987" w:type="pct"/>
            <w:shd w:val="clear" w:color="auto" w:fill="auto"/>
            <w:vAlign w:val="center"/>
          </w:tcPr>
          <w:p w14:paraId="193FC88A">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w:t>
            </w:r>
          </w:p>
        </w:tc>
      </w:tr>
      <w:tr w14:paraId="2053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832" w:type="pct"/>
            <w:vMerge w:val="continue"/>
            <w:vAlign w:val="center"/>
          </w:tcPr>
          <w:p w14:paraId="1E93C12E">
            <w:pPr>
              <w:widowControl/>
              <w:contextualSpacing/>
              <w:jc w:val="center"/>
              <w:rPr>
                <w:rFonts w:hint="default" w:ascii="Arial" w:hAnsi="Arial" w:eastAsia="宋体" w:cs="Arial"/>
                <w:kern w:val="0"/>
                <w:szCs w:val="21"/>
                <w:lang w:val="en-US" w:eastAsia="zh-CN"/>
              </w:rPr>
            </w:pPr>
          </w:p>
        </w:tc>
        <w:tc>
          <w:tcPr>
            <w:tcW w:w="1138" w:type="pct"/>
            <w:vMerge w:val="continue"/>
            <w:vAlign w:val="center"/>
          </w:tcPr>
          <w:p w14:paraId="673F3488">
            <w:pPr>
              <w:widowControl/>
              <w:contextualSpacing/>
              <w:jc w:val="center"/>
              <w:rPr>
                <w:rFonts w:hint="default" w:ascii="Arial" w:hAnsi="Arial" w:eastAsia="宋体" w:cs="Arial"/>
                <w:kern w:val="0"/>
                <w:szCs w:val="21"/>
                <w:lang w:val="en-US" w:eastAsia="zh-CN"/>
              </w:rPr>
            </w:pPr>
          </w:p>
        </w:tc>
        <w:tc>
          <w:tcPr>
            <w:tcW w:w="1291" w:type="pct"/>
            <w:shd w:val="clear" w:color="auto" w:fill="auto"/>
            <w:vAlign w:val="center"/>
          </w:tcPr>
          <w:p w14:paraId="6D9AD3B7">
            <w:pPr>
              <w:widowControl/>
              <w:contextualSpacing/>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齿轮轴</w:t>
            </w:r>
          </w:p>
        </w:tc>
        <w:tc>
          <w:tcPr>
            <w:tcW w:w="750" w:type="pct"/>
            <w:vAlign w:val="center"/>
          </w:tcPr>
          <w:p w14:paraId="5F08F283">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20</w:t>
            </w:r>
          </w:p>
        </w:tc>
        <w:tc>
          <w:tcPr>
            <w:tcW w:w="987" w:type="pct"/>
            <w:shd w:val="clear" w:color="auto" w:fill="auto"/>
            <w:vAlign w:val="center"/>
          </w:tcPr>
          <w:p w14:paraId="5D244766">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w:t>
            </w:r>
          </w:p>
        </w:tc>
      </w:tr>
      <w:tr w14:paraId="4676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40" w:hRule="atLeast"/>
          <w:tblHeader/>
          <w:jc w:val="center"/>
        </w:trPr>
        <w:tc>
          <w:tcPr>
            <w:tcW w:w="832" w:type="pct"/>
            <w:vMerge w:val="continue"/>
            <w:vAlign w:val="center"/>
          </w:tcPr>
          <w:p w14:paraId="39AFCBB7">
            <w:pPr>
              <w:widowControl/>
              <w:contextualSpacing/>
              <w:jc w:val="center"/>
              <w:rPr>
                <w:rFonts w:hint="default" w:ascii="Arial" w:hAnsi="Arial" w:eastAsia="宋体" w:cs="Arial"/>
                <w:kern w:val="0"/>
                <w:szCs w:val="21"/>
                <w:lang w:val="en-US" w:eastAsia="zh-CN"/>
              </w:rPr>
            </w:pPr>
          </w:p>
        </w:tc>
        <w:tc>
          <w:tcPr>
            <w:tcW w:w="1138" w:type="pct"/>
            <w:vMerge w:val="continue"/>
            <w:vAlign w:val="center"/>
          </w:tcPr>
          <w:p w14:paraId="005A8FCD">
            <w:pPr>
              <w:widowControl/>
              <w:contextualSpacing/>
              <w:jc w:val="center"/>
              <w:rPr>
                <w:rFonts w:hint="default" w:ascii="Arial" w:hAnsi="Arial" w:eastAsia="宋体" w:cs="Arial"/>
                <w:kern w:val="0"/>
                <w:szCs w:val="21"/>
                <w:lang w:val="en-US" w:eastAsia="zh-CN"/>
              </w:rPr>
            </w:pPr>
          </w:p>
        </w:tc>
        <w:tc>
          <w:tcPr>
            <w:tcW w:w="1291" w:type="pct"/>
            <w:shd w:val="clear" w:color="auto" w:fill="auto"/>
            <w:vAlign w:val="center"/>
          </w:tcPr>
          <w:p w14:paraId="3248A0E1">
            <w:pPr>
              <w:widowControl/>
              <w:contextualSpacing/>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电机小总成</w:t>
            </w:r>
          </w:p>
        </w:tc>
        <w:tc>
          <w:tcPr>
            <w:tcW w:w="750" w:type="pct"/>
            <w:vAlign w:val="center"/>
          </w:tcPr>
          <w:p w14:paraId="4F8862D8">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20</w:t>
            </w:r>
          </w:p>
        </w:tc>
        <w:tc>
          <w:tcPr>
            <w:tcW w:w="987" w:type="pct"/>
            <w:shd w:val="clear" w:color="auto" w:fill="auto"/>
            <w:vAlign w:val="center"/>
          </w:tcPr>
          <w:p w14:paraId="3B67F47B">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仅组装</w:t>
            </w:r>
          </w:p>
        </w:tc>
      </w:tr>
    </w:tbl>
    <w:p w14:paraId="5C2A52A6">
      <w:pPr>
        <w:pStyle w:val="76"/>
        <w:numPr>
          <w:ilvl w:val="2"/>
          <w:numId w:val="4"/>
        </w:numPr>
        <w:spacing w:line="360" w:lineRule="auto"/>
        <w:ind w:left="535" w:leftChars="0" w:hanging="325" w:firstLineChars="0"/>
        <w:outlineLvl w:val="2"/>
        <w:rPr>
          <w:rFonts w:hint="default" w:ascii="Arial" w:hAnsi="Arial" w:eastAsia="宋体" w:cs="Arial"/>
          <w:b/>
          <w:bCs/>
          <w:sz w:val="24"/>
          <w:szCs w:val="24"/>
        </w:rPr>
      </w:pPr>
      <w:r>
        <w:rPr>
          <w:rFonts w:hint="default" w:ascii="Arial" w:hAnsi="Arial" w:eastAsia="宋体" w:cs="Arial"/>
          <w:b/>
          <w:bCs/>
          <w:sz w:val="24"/>
          <w:szCs w:val="24"/>
        </w:rPr>
        <w:t>原辅材料消耗</w:t>
      </w:r>
    </w:p>
    <w:p w14:paraId="27C32C8C">
      <w:pPr>
        <w:pStyle w:val="76"/>
        <w:widowControl/>
        <w:spacing w:line="360" w:lineRule="auto"/>
        <w:ind w:left="567"/>
        <w:contextualSpacing/>
        <w:rPr>
          <w:rFonts w:hint="default" w:ascii="Arial" w:hAnsi="Arial" w:eastAsia="宋体" w:cs="Arial"/>
          <w:sz w:val="24"/>
          <w:szCs w:val="24"/>
        </w:rPr>
      </w:pPr>
      <w:r>
        <w:rPr>
          <w:rFonts w:hint="default" w:ascii="Arial" w:hAnsi="Arial" w:eastAsia="宋体" w:cs="Arial"/>
          <w:sz w:val="24"/>
          <w:szCs w:val="24"/>
        </w:rPr>
        <w:t>本项目建设后主要原辅料及消耗量见表2-</w:t>
      </w:r>
      <w:r>
        <w:rPr>
          <w:rFonts w:hint="eastAsia" w:ascii="Arial" w:hAnsi="Arial" w:eastAsia="宋体" w:cs="Arial"/>
          <w:sz w:val="24"/>
          <w:szCs w:val="24"/>
          <w:lang w:val="en-US" w:eastAsia="zh-CN"/>
        </w:rPr>
        <w:t>4</w:t>
      </w:r>
      <w:r>
        <w:rPr>
          <w:rFonts w:hint="default" w:ascii="Arial" w:hAnsi="Arial" w:eastAsia="宋体" w:cs="Arial"/>
          <w:sz w:val="24"/>
          <w:szCs w:val="24"/>
        </w:rPr>
        <w:t>。</w:t>
      </w:r>
    </w:p>
    <w:p w14:paraId="419F10CA">
      <w:pPr>
        <w:pStyle w:val="76"/>
        <w:numPr>
          <w:ilvl w:val="3"/>
          <w:numId w:val="4"/>
        </w:numPr>
        <w:ind w:left="777" w:leftChars="0" w:firstLineChars="0"/>
        <w:jc w:val="center"/>
        <w:outlineLvl w:val="3"/>
        <w:rPr>
          <w:rFonts w:hint="default" w:ascii="Arial" w:hAnsi="Arial" w:eastAsia="宋体" w:cs="Arial"/>
          <w:b/>
          <w:bCs/>
          <w:sz w:val="24"/>
          <w:szCs w:val="24"/>
        </w:rPr>
      </w:pPr>
      <w:bookmarkStart w:id="2" w:name="_Hlk129172656"/>
      <w:r>
        <w:rPr>
          <w:rFonts w:hint="default" w:ascii="Arial" w:hAnsi="Arial" w:eastAsia="宋体" w:cs="Arial"/>
          <w:b/>
          <w:bCs/>
          <w:sz w:val="24"/>
          <w:szCs w:val="24"/>
        </w:rPr>
        <w:t xml:space="preserve">  建设项目建设后主要原辅材料一览表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950"/>
        <w:gridCol w:w="2910"/>
        <w:gridCol w:w="1452"/>
        <w:gridCol w:w="1088"/>
      </w:tblGrid>
      <w:tr w14:paraId="288C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Align w:val="center"/>
          </w:tcPr>
          <w:p w14:paraId="3B8CDEE4">
            <w:pPr>
              <w:widowControl/>
              <w:jc w:val="center"/>
              <w:rPr>
                <w:rFonts w:hint="default" w:ascii="Arial" w:hAnsi="Arial" w:eastAsia="宋体" w:cs="Arial"/>
                <w:kern w:val="0"/>
                <w:szCs w:val="21"/>
              </w:rPr>
            </w:pPr>
            <w:bookmarkStart w:id="3" w:name="_Hlk129172755"/>
            <w:r>
              <w:rPr>
                <w:rFonts w:hint="default" w:ascii="Arial" w:hAnsi="Arial" w:eastAsia="宋体" w:cs="Arial"/>
                <w:kern w:val="0"/>
                <w:szCs w:val="21"/>
              </w:rPr>
              <w:t>序号</w:t>
            </w:r>
          </w:p>
        </w:tc>
        <w:tc>
          <w:tcPr>
            <w:tcW w:w="1950" w:type="dxa"/>
            <w:vAlign w:val="center"/>
          </w:tcPr>
          <w:p w14:paraId="6F2310AC">
            <w:pPr>
              <w:widowControl/>
              <w:jc w:val="center"/>
              <w:rPr>
                <w:rFonts w:hint="default" w:ascii="Arial" w:hAnsi="Arial" w:eastAsia="宋体" w:cs="Arial"/>
                <w:kern w:val="0"/>
                <w:szCs w:val="21"/>
              </w:rPr>
            </w:pPr>
            <w:r>
              <w:rPr>
                <w:rFonts w:hint="default" w:ascii="Arial" w:hAnsi="Arial" w:eastAsia="宋体" w:cs="Arial"/>
                <w:kern w:val="0"/>
                <w:szCs w:val="21"/>
              </w:rPr>
              <w:t>名称</w:t>
            </w:r>
          </w:p>
        </w:tc>
        <w:tc>
          <w:tcPr>
            <w:tcW w:w="2910" w:type="dxa"/>
            <w:vAlign w:val="center"/>
          </w:tcPr>
          <w:p w14:paraId="57BFBB68">
            <w:pPr>
              <w:widowControl/>
              <w:jc w:val="center"/>
              <w:rPr>
                <w:rFonts w:hint="default" w:ascii="Arial" w:hAnsi="Arial" w:eastAsia="宋体" w:cs="Arial"/>
                <w:kern w:val="0"/>
                <w:szCs w:val="21"/>
              </w:rPr>
            </w:pPr>
            <w:r>
              <w:rPr>
                <w:rFonts w:hint="default" w:ascii="Arial" w:hAnsi="Arial" w:eastAsia="宋体" w:cs="Arial"/>
                <w:kern w:val="0"/>
                <w:szCs w:val="21"/>
              </w:rPr>
              <w:t>规格</w:t>
            </w:r>
          </w:p>
        </w:tc>
        <w:tc>
          <w:tcPr>
            <w:tcW w:w="1452" w:type="dxa"/>
            <w:vAlign w:val="center"/>
          </w:tcPr>
          <w:p w14:paraId="49D94A8B">
            <w:pPr>
              <w:widowControl/>
              <w:jc w:val="center"/>
              <w:rPr>
                <w:rFonts w:hint="default" w:ascii="Arial" w:hAnsi="Arial" w:eastAsia="宋体" w:cs="Arial"/>
                <w:kern w:val="0"/>
                <w:szCs w:val="21"/>
              </w:rPr>
            </w:pPr>
            <w:r>
              <w:rPr>
                <w:rFonts w:hint="default" w:ascii="Arial" w:hAnsi="Arial" w:eastAsia="宋体" w:cs="Arial"/>
                <w:kern w:val="0"/>
                <w:szCs w:val="21"/>
              </w:rPr>
              <w:t>最大储存量</w:t>
            </w:r>
            <w:r>
              <w:rPr>
                <w:rFonts w:hint="default" w:ascii="Arial" w:hAnsi="Arial" w:eastAsia="宋体" w:cs="Arial"/>
                <w:kern w:val="0"/>
                <w:szCs w:val="21"/>
                <w:lang w:eastAsia="zh-CN"/>
              </w:rPr>
              <w:t>（</w:t>
            </w:r>
            <w:r>
              <w:rPr>
                <w:rFonts w:hint="default" w:ascii="Arial" w:hAnsi="Arial" w:eastAsia="宋体" w:cs="Arial"/>
                <w:kern w:val="0"/>
                <w:szCs w:val="21"/>
                <w:lang w:val="en-US" w:eastAsia="zh-CN"/>
              </w:rPr>
              <w:t>t/a</w:t>
            </w:r>
            <w:r>
              <w:rPr>
                <w:rFonts w:hint="default" w:ascii="Arial" w:hAnsi="Arial" w:eastAsia="宋体" w:cs="Arial"/>
                <w:kern w:val="0"/>
                <w:szCs w:val="21"/>
                <w:lang w:eastAsia="zh-CN"/>
              </w:rPr>
              <w:t>）</w:t>
            </w:r>
          </w:p>
        </w:tc>
        <w:tc>
          <w:tcPr>
            <w:tcW w:w="1088" w:type="dxa"/>
            <w:vAlign w:val="center"/>
          </w:tcPr>
          <w:p w14:paraId="322DBE0B">
            <w:pPr>
              <w:widowControl/>
              <w:jc w:val="center"/>
              <w:rPr>
                <w:rFonts w:hint="default" w:ascii="Arial" w:hAnsi="Arial" w:eastAsia="宋体" w:cs="Arial"/>
                <w:kern w:val="0"/>
                <w:szCs w:val="21"/>
                <w:lang w:eastAsia="zh-CN"/>
              </w:rPr>
            </w:pPr>
            <w:r>
              <w:rPr>
                <w:rFonts w:hint="default" w:ascii="Arial" w:hAnsi="Arial" w:eastAsia="宋体" w:cs="Arial"/>
                <w:kern w:val="0"/>
                <w:szCs w:val="21"/>
              </w:rPr>
              <w:t>用量</w:t>
            </w:r>
            <w:r>
              <w:rPr>
                <w:rFonts w:hint="default" w:ascii="Arial" w:hAnsi="Arial" w:eastAsia="宋体" w:cs="Arial"/>
                <w:kern w:val="0"/>
                <w:szCs w:val="21"/>
                <w:lang w:eastAsia="zh-CN"/>
              </w:rPr>
              <w:t>（</w:t>
            </w:r>
            <w:r>
              <w:rPr>
                <w:rFonts w:hint="default" w:ascii="Arial" w:hAnsi="Arial" w:eastAsia="宋体" w:cs="Arial"/>
                <w:kern w:val="0"/>
                <w:szCs w:val="21"/>
                <w:lang w:val="en-US" w:eastAsia="zh-CN"/>
              </w:rPr>
              <w:t>t/a</w:t>
            </w:r>
            <w:r>
              <w:rPr>
                <w:rFonts w:hint="default" w:ascii="Arial" w:hAnsi="Arial" w:eastAsia="宋体" w:cs="Arial"/>
                <w:kern w:val="0"/>
                <w:szCs w:val="21"/>
                <w:lang w:eastAsia="zh-CN"/>
              </w:rPr>
              <w:t>）</w:t>
            </w:r>
          </w:p>
        </w:tc>
      </w:tr>
      <w:tr w14:paraId="08AB7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Align w:val="center"/>
          </w:tcPr>
          <w:p w14:paraId="007CD3DD">
            <w:pPr>
              <w:widowControl/>
              <w:jc w:val="center"/>
              <w:rPr>
                <w:rFonts w:hint="default" w:ascii="Arial" w:hAnsi="Arial" w:eastAsia="宋体" w:cs="Arial"/>
                <w:kern w:val="0"/>
                <w:szCs w:val="21"/>
              </w:rPr>
            </w:pPr>
            <w:r>
              <w:rPr>
                <w:rFonts w:hint="default" w:ascii="Arial" w:hAnsi="Arial" w:eastAsia="宋体" w:cs="Arial"/>
                <w:kern w:val="0"/>
                <w:szCs w:val="21"/>
              </w:rPr>
              <w:t>1</w:t>
            </w:r>
          </w:p>
        </w:tc>
        <w:tc>
          <w:tcPr>
            <w:tcW w:w="1950" w:type="dxa"/>
            <w:vAlign w:val="center"/>
          </w:tcPr>
          <w:p w14:paraId="0EE580C8">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清洗剂</w:t>
            </w:r>
          </w:p>
        </w:tc>
        <w:tc>
          <w:tcPr>
            <w:tcW w:w="2910" w:type="dxa"/>
            <w:vAlign w:val="center"/>
          </w:tcPr>
          <w:p w14:paraId="783D50A8">
            <w:pPr>
              <w:widowControl/>
              <w:jc w:val="center"/>
              <w:rPr>
                <w:rFonts w:hint="default" w:ascii="Arial" w:hAnsi="Arial" w:eastAsia="宋体" w:cs="Arial"/>
                <w:kern w:val="0"/>
                <w:szCs w:val="21"/>
              </w:rPr>
            </w:pPr>
            <w:r>
              <w:rPr>
                <w:rFonts w:hint="default" w:ascii="Arial" w:hAnsi="Arial" w:eastAsia="宋体" w:cs="Arial"/>
                <w:kern w:val="0"/>
                <w:szCs w:val="21"/>
              </w:rPr>
              <w:t>QOH-1022Z</w:t>
            </w:r>
          </w:p>
        </w:tc>
        <w:tc>
          <w:tcPr>
            <w:tcW w:w="1452" w:type="dxa"/>
            <w:vAlign w:val="center"/>
          </w:tcPr>
          <w:p w14:paraId="6A86DA9D">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0.3</w:t>
            </w:r>
          </w:p>
        </w:tc>
        <w:tc>
          <w:tcPr>
            <w:tcW w:w="1088" w:type="dxa"/>
            <w:vAlign w:val="center"/>
          </w:tcPr>
          <w:p w14:paraId="2B3D8E53">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2.8</w:t>
            </w:r>
          </w:p>
        </w:tc>
      </w:tr>
      <w:tr w14:paraId="1C04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Align w:val="center"/>
          </w:tcPr>
          <w:p w14:paraId="0B5A7B5C">
            <w:pPr>
              <w:widowControl/>
              <w:jc w:val="center"/>
              <w:rPr>
                <w:rFonts w:hint="default" w:ascii="Arial" w:hAnsi="Arial" w:eastAsia="宋体" w:cs="Arial"/>
                <w:kern w:val="0"/>
                <w:szCs w:val="21"/>
              </w:rPr>
            </w:pPr>
            <w:r>
              <w:rPr>
                <w:rFonts w:hint="default" w:ascii="Arial" w:hAnsi="Arial" w:eastAsia="宋体" w:cs="Arial"/>
                <w:kern w:val="0"/>
                <w:szCs w:val="21"/>
              </w:rPr>
              <w:t>2</w:t>
            </w:r>
          </w:p>
        </w:tc>
        <w:tc>
          <w:tcPr>
            <w:tcW w:w="1950" w:type="dxa"/>
            <w:vAlign w:val="center"/>
          </w:tcPr>
          <w:p w14:paraId="04C2CCE4">
            <w:pPr>
              <w:widowControl/>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lang w:val="en-US" w:eastAsia="zh-CN"/>
                <w14:textFill>
                  <w14:solidFill>
                    <w14:schemeClr w14:val="tx1"/>
                  </w14:solidFill>
                </w14:textFill>
              </w:rPr>
              <w:t>防锈剂</w:t>
            </w:r>
          </w:p>
        </w:tc>
        <w:tc>
          <w:tcPr>
            <w:tcW w:w="2910" w:type="dxa"/>
            <w:vAlign w:val="center"/>
          </w:tcPr>
          <w:p w14:paraId="4A6F814C">
            <w:pPr>
              <w:widowControl/>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QV-750</w:t>
            </w:r>
          </w:p>
        </w:tc>
        <w:tc>
          <w:tcPr>
            <w:tcW w:w="1452" w:type="dxa"/>
            <w:vAlign w:val="center"/>
          </w:tcPr>
          <w:p w14:paraId="0F503E95">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1.0</w:t>
            </w:r>
          </w:p>
        </w:tc>
        <w:tc>
          <w:tcPr>
            <w:tcW w:w="1088" w:type="dxa"/>
            <w:vAlign w:val="center"/>
          </w:tcPr>
          <w:p w14:paraId="58749982">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20.</w:t>
            </w:r>
            <w:r>
              <w:rPr>
                <w:rFonts w:hint="eastAsia" w:ascii="Arial" w:hAnsi="Arial" w:eastAsia="宋体" w:cs="Arial"/>
                <w:kern w:val="0"/>
                <w:szCs w:val="21"/>
                <w:lang w:val="en-US" w:eastAsia="zh-CN"/>
              </w:rPr>
              <w:t>5</w:t>
            </w:r>
          </w:p>
        </w:tc>
      </w:tr>
      <w:tr w14:paraId="3562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Align w:val="center"/>
          </w:tcPr>
          <w:p w14:paraId="2732456A">
            <w:pPr>
              <w:widowControl/>
              <w:jc w:val="center"/>
              <w:rPr>
                <w:rFonts w:hint="default" w:ascii="Arial" w:hAnsi="Arial" w:eastAsia="宋体" w:cs="Arial"/>
                <w:kern w:val="0"/>
                <w:szCs w:val="21"/>
              </w:rPr>
            </w:pPr>
            <w:r>
              <w:rPr>
                <w:rFonts w:hint="default" w:ascii="Arial" w:hAnsi="Arial" w:eastAsia="宋体" w:cs="Arial"/>
                <w:kern w:val="0"/>
                <w:szCs w:val="21"/>
              </w:rPr>
              <w:t>3</w:t>
            </w:r>
          </w:p>
        </w:tc>
        <w:tc>
          <w:tcPr>
            <w:tcW w:w="1950" w:type="dxa"/>
            <w:vAlign w:val="center"/>
          </w:tcPr>
          <w:p w14:paraId="5C7FA86E">
            <w:pPr>
              <w:widowControl/>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lang w:val="en-US" w:eastAsia="zh-CN"/>
                <w14:textFill>
                  <w14:solidFill>
                    <w14:schemeClr w14:val="tx1"/>
                  </w14:solidFill>
                </w14:textFill>
              </w:rPr>
              <w:t>防锈剂</w:t>
            </w:r>
          </w:p>
        </w:tc>
        <w:tc>
          <w:tcPr>
            <w:tcW w:w="2910" w:type="dxa"/>
            <w:vAlign w:val="center"/>
          </w:tcPr>
          <w:p w14:paraId="310C25D5">
            <w:pPr>
              <w:widowControl/>
              <w:jc w:val="center"/>
              <w:rPr>
                <w:rFonts w:hint="default" w:ascii="Arial" w:hAnsi="Arial" w:eastAsia="宋体" w:cs="Arial"/>
                <w:color w:val="000000" w:themeColor="text1"/>
                <w:kern w:val="0"/>
                <w:szCs w:val="21"/>
                <w14:textFill>
                  <w14:solidFill>
                    <w14:schemeClr w14:val="tx1"/>
                  </w14:solidFill>
                </w14:textFill>
              </w:rPr>
            </w:pPr>
            <w:r>
              <w:rPr>
                <w:rFonts w:hint="eastAsia" w:ascii="Arial" w:hAnsi="Arial" w:eastAsia="宋体" w:cs="Arial"/>
                <w:color w:val="000000" w:themeColor="text1"/>
                <w:kern w:val="0"/>
                <w:szCs w:val="21"/>
                <w:lang w:val="en-US" w:eastAsia="zh-CN"/>
                <w14:textFill>
                  <w14:solidFill>
                    <w14:schemeClr w14:val="tx1"/>
                  </w14:solidFill>
                </w14:textFill>
              </w:rPr>
              <w:t>FD-16</w:t>
            </w:r>
          </w:p>
        </w:tc>
        <w:tc>
          <w:tcPr>
            <w:tcW w:w="1452" w:type="dxa"/>
            <w:vAlign w:val="center"/>
          </w:tcPr>
          <w:p w14:paraId="48C95A74">
            <w:pPr>
              <w:widowControl/>
              <w:jc w:val="center"/>
              <w:rPr>
                <w:rFonts w:hint="default" w:ascii="Arial" w:hAnsi="Arial" w:eastAsia="宋体" w:cs="Arial"/>
                <w:kern w:val="0"/>
                <w:szCs w:val="21"/>
                <w:lang w:val="en-US"/>
              </w:rPr>
            </w:pPr>
            <w:r>
              <w:rPr>
                <w:rFonts w:hint="default" w:ascii="Arial" w:hAnsi="Arial" w:eastAsia="宋体" w:cs="Arial"/>
                <w:kern w:val="0"/>
                <w:szCs w:val="21"/>
                <w:lang w:val="en-US" w:eastAsia="zh-CN"/>
              </w:rPr>
              <w:t>0.5</w:t>
            </w:r>
          </w:p>
        </w:tc>
        <w:tc>
          <w:tcPr>
            <w:tcW w:w="1088" w:type="dxa"/>
            <w:vAlign w:val="center"/>
          </w:tcPr>
          <w:p w14:paraId="67397C07">
            <w:pPr>
              <w:widowControl/>
              <w:jc w:val="center"/>
              <w:rPr>
                <w:rFonts w:hint="eastAsia" w:ascii="Arial" w:hAnsi="Arial" w:eastAsia="宋体" w:cs="Arial"/>
                <w:kern w:val="0"/>
                <w:szCs w:val="21"/>
                <w:lang w:val="en-US" w:eastAsia="zh-CN"/>
              </w:rPr>
            </w:pPr>
            <w:r>
              <w:rPr>
                <w:rFonts w:hint="eastAsia" w:ascii="Arial" w:hAnsi="Arial" w:eastAsia="宋体" w:cs="Arial"/>
                <w:kern w:val="0"/>
                <w:szCs w:val="21"/>
                <w:lang w:val="en-US" w:eastAsia="zh-CN"/>
              </w:rPr>
              <w:t>9</w:t>
            </w:r>
          </w:p>
        </w:tc>
      </w:tr>
      <w:tr w14:paraId="2D70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Align w:val="center"/>
          </w:tcPr>
          <w:p w14:paraId="3FCA923E">
            <w:pPr>
              <w:widowControl/>
              <w:jc w:val="center"/>
              <w:rPr>
                <w:rFonts w:hint="default" w:ascii="Arial" w:hAnsi="Arial" w:eastAsia="宋体" w:cs="Arial"/>
                <w:kern w:val="0"/>
                <w:szCs w:val="21"/>
              </w:rPr>
            </w:pPr>
            <w:r>
              <w:rPr>
                <w:rFonts w:hint="default" w:ascii="Arial" w:hAnsi="Arial" w:eastAsia="宋体" w:cs="Arial"/>
                <w:kern w:val="0"/>
                <w:szCs w:val="21"/>
              </w:rPr>
              <w:t>4</w:t>
            </w:r>
          </w:p>
        </w:tc>
        <w:tc>
          <w:tcPr>
            <w:tcW w:w="1950" w:type="dxa"/>
            <w:vAlign w:val="center"/>
          </w:tcPr>
          <w:p w14:paraId="7EF9023C">
            <w:pPr>
              <w:widowControl/>
              <w:jc w:val="center"/>
              <w:rPr>
                <w:rFonts w:hint="default" w:ascii="Arial" w:hAnsi="Arial" w:eastAsia="宋体" w:cs="Arial"/>
                <w:color w:val="000000" w:themeColor="text1"/>
                <w:kern w:val="0"/>
                <w:szCs w:val="21"/>
                <w:lang w:val="en-US" w:eastAsia="zh-CN"/>
                <w14:textFill>
                  <w14:solidFill>
                    <w14:schemeClr w14:val="tx1"/>
                  </w14:solidFill>
                </w14:textFill>
              </w:rPr>
            </w:pPr>
            <w:r>
              <w:rPr>
                <w:rFonts w:hint="default" w:ascii="Arial" w:hAnsi="Arial" w:eastAsia="宋体" w:cs="Arial"/>
                <w:color w:val="000000" w:themeColor="text1"/>
                <w:kern w:val="0"/>
                <w:szCs w:val="21"/>
                <w:lang w:val="en-US" w:eastAsia="zh-CN"/>
                <w14:textFill>
                  <w14:solidFill>
                    <w14:schemeClr w14:val="tx1"/>
                  </w14:solidFill>
                </w14:textFill>
              </w:rPr>
              <w:t>合金结构钢</w:t>
            </w:r>
          </w:p>
        </w:tc>
        <w:tc>
          <w:tcPr>
            <w:tcW w:w="2910" w:type="dxa"/>
            <w:vAlign w:val="center"/>
          </w:tcPr>
          <w:p w14:paraId="574FADA7">
            <w:pPr>
              <w:widowControl/>
              <w:jc w:val="center"/>
              <w:rPr>
                <w:rFonts w:hint="default" w:ascii="Arial" w:hAnsi="Arial" w:eastAsia="宋体" w:cs="Arial"/>
                <w:color w:val="000000" w:themeColor="text1"/>
                <w:kern w:val="0"/>
                <w:szCs w:val="21"/>
                <w:lang w:val="en-US" w:eastAsia="zh-CN"/>
                <w14:textFill>
                  <w14:solidFill>
                    <w14:schemeClr w14:val="tx1"/>
                  </w14:solidFill>
                </w14:textFill>
              </w:rPr>
            </w:pPr>
            <w:r>
              <w:rPr>
                <w:rFonts w:hint="default" w:ascii="Arial" w:hAnsi="Arial" w:eastAsia="宋体" w:cs="Arial"/>
                <w:color w:val="000000" w:themeColor="text1"/>
                <w:kern w:val="0"/>
                <w:szCs w:val="21"/>
                <w:lang w:val="en-US" w:eastAsia="zh-CN"/>
                <w14:textFill>
                  <w14:solidFill>
                    <w14:schemeClr w14:val="tx1"/>
                  </w14:solidFill>
                </w14:textFill>
              </w:rPr>
              <w:t>材质为：37CrS4、ML40Cr、51CrN4</w:t>
            </w:r>
          </w:p>
        </w:tc>
        <w:tc>
          <w:tcPr>
            <w:tcW w:w="1452" w:type="dxa"/>
            <w:vAlign w:val="center"/>
          </w:tcPr>
          <w:p w14:paraId="578CA6C3">
            <w:pPr>
              <w:widowControl/>
              <w:jc w:val="center"/>
              <w:rPr>
                <w:rFonts w:hint="default" w:ascii="Arial" w:hAnsi="Arial" w:eastAsia="宋体" w:cs="Arial"/>
                <w:kern w:val="0"/>
                <w:szCs w:val="21"/>
              </w:rPr>
            </w:pPr>
            <w:r>
              <w:rPr>
                <w:rFonts w:hint="default" w:ascii="Arial" w:hAnsi="Arial" w:eastAsia="宋体" w:cs="Arial"/>
                <w:kern w:val="0"/>
                <w:szCs w:val="21"/>
              </w:rPr>
              <w:t>-</w:t>
            </w:r>
          </w:p>
        </w:tc>
        <w:tc>
          <w:tcPr>
            <w:tcW w:w="1088" w:type="dxa"/>
            <w:vAlign w:val="center"/>
          </w:tcPr>
          <w:p w14:paraId="32E6B6C2">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6000</w:t>
            </w:r>
          </w:p>
        </w:tc>
      </w:tr>
      <w:tr w14:paraId="3623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Align w:val="center"/>
          </w:tcPr>
          <w:p w14:paraId="6EB0FB76">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950" w:type="dxa"/>
            <w:vAlign w:val="center"/>
          </w:tcPr>
          <w:p w14:paraId="77F6FF2A">
            <w:pPr>
              <w:widowControl/>
              <w:jc w:val="center"/>
              <w:rPr>
                <w:rFonts w:hint="default" w:ascii="Arial" w:hAnsi="Arial" w:eastAsia="宋体" w:cs="Arial"/>
                <w:color w:val="000000" w:themeColor="text1"/>
                <w:kern w:val="0"/>
                <w:szCs w:val="21"/>
                <w:lang w:val="en-US" w:eastAsia="zh-CN"/>
                <w14:textFill>
                  <w14:solidFill>
                    <w14:schemeClr w14:val="tx1"/>
                  </w14:solidFill>
                </w14:textFill>
              </w:rPr>
            </w:pPr>
            <w:r>
              <w:rPr>
                <w:rFonts w:hint="default" w:ascii="Arial" w:hAnsi="Arial" w:eastAsia="宋体" w:cs="Arial"/>
                <w:color w:val="000000" w:themeColor="text1"/>
                <w:kern w:val="0"/>
                <w:szCs w:val="21"/>
                <w:lang w:val="en-US" w:eastAsia="zh-CN"/>
                <w14:textFill>
                  <w14:solidFill>
                    <w14:schemeClr w14:val="tx1"/>
                  </w14:solidFill>
                </w14:textFill>
              </w:rPr>
              <w:t>淬火液</w:t>
            </w:r>
          </w:p>
        </w:tc>
        <w:tc>
          <w:tcPr>
            <w:tcW w:w="2910" w:type="dxa"/>
            <w:vAlign w:val="center"/>
          </w:tcPr>
          <w:p w14:paraId="1B74CC7A">
            <w:pPr>
              <w:widowControl/>
              <w:jc w:val="center"/>
              <w:rPr>
                <w:rFonts w:hint="default" w:ascii="Arial" w:hAnsi="Arial" w:eastAsia="宋体" w:cs="Arial"/>
                <w:color w:val="000000" w:themeColor="text1"/>
                <w:kern w:val="0"/>
                <w:szCs w:val="21"/>
                <w:lang w:val="en-US" w:eastAsia="zh-CN"/>
                <w14:textFill>
                  <w14:solidFill>
                    <w14:schemeClr w14:val="tx1"/>
                  </w14:solidFill>
                </w14:textFill>
              </w:rPr>
            </w:pPr>
            <w:r>
              <w:rPr>
                <w:rFonts w:hint="default" w:ascii="Arial" w:hAnsi="Arial" w:eastAsia="宋体" w:cs="Arial"/>
                <w:color w:val="000000" w:themeColor="text1"/>
                <w:kern w:val="0"/>
                <w:szCs w:val="21"/>
                <w:lang w:val="en-US" w:eastAsia="zh-CN"/>
                <w14:textFill>
                  <w14:solidFill>
                    <w14:schemeClr w14:val="tx1"/>
                  </w14:solidFill>
                </w14:textFill>
              </w:rPr>
              <w:t>/</w:t>
            </w:r>
          </w:p>
        </w:tc>
        <w:tc>
          <w:tcPr>
            <w:tcW w:w="1452" w:type="dxa"/>
            <w:vAlign w:val="center"/>
          </w:tcPr>
          <w:p w14:paraId="2DC14EDE">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0.3</w:t>
            </w:r>
          </w:p>
        </w:tc>
        <w:tc>
          <w:tcPr>
            <w:tcW w:w="1088" w:type="dxa"/>
            <w:vAlign w:val="center"/>
          </w:tcPr>
          <w:p w14:paraId="24DA46C1">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1.2</w:t>
            </w:r>
          </w:p>
        </w:tc>
      </w:tr>
      <w:tr w14:paraId="6528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Align w:val="center"/>
          </w:tcPr>
          <w:p w14:paraId="2E392158">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6</w:t>
            </w:r>
          </w:p>
        </w:tc>
        <w:tc>
          <w:tcPr>
            <w:tcW w:w="1950" w:type="dxa"/>
            <w:vAlign w:val="center"/>
          </w:tcPr>
          <w:p w14:paraId="790CA84A">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切削液</w:t>
            </w:r>
          </w:p>
        </w:tc>
        <w:tc>
          <w:tcPr>
            <w:tcW w:w="2910" w:type="dxa"/>
            <w:vAlign w:val="center"/>
          </w:tcPr>
          <w:p w14:paraId="648B95FF">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w:t>
            </w:r>
          </w:p>
        </w:tc>
        <w:tc>
          <w:tcPr>
            <w:tcW w:w="1452" w:type="dxa"/>
            <w:vAlign w:val="center"/>
          </w:tcPr>
          <w:p w14:paraId="6B8AA86C">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5</w:t>
            </w:r>
          </w:p>
        </w:tc>
        <w:tc>
          <w:tcPr>
            <w:tcW w:w="1088" w:type="dxa"/>
            <w:vAlign w:val="center"/>
          </w:tcPr>
          <w:p w14:paraId="0B8CAD52">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165</w:t>
            </w:r>
          </w:p>
        </w:tc>
      </w:tr>
      <w:tr w14:paraId="36F3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shd w:val="clear" w:color="auto" w:fill="auto"/>
            <w:vAlign w:val="center"/>
          </w:tcPr>
          <w:p w14:paraId="3E386F3E">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7</w:t>
            </w:r>
          </w:p>
        </w:tc>
        <w:tc>
          <w:tcPr>
            <w:tcW w:w="1950" w:type="dxa"/>
            <w:shd w:val="clear" w:color="auto" w:fill="auto"/>
            <w:vAlign w:val="center"/>
          </w:tcPr>
          <w:p w14:paraId="36C45DE8">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荧光粉</w:t>
            </w:r>
          </w:p>
        </w:tc>
        <w:tc>
          <w:tcPr>
            <w:tcW w:w="2910" w:type="dxa"/>
            <w:shd w:val="clear" w:color="auto" w:fill="auto"/>
            <w:vAlign w:val="center"/>
          </w:tcPr>
          <w:p w14:paraId="6B4CA863">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w:t>
            </w:r>
          </w:p>
        </w:tc>
        <w:tc>
          <w:tcPr>
            <w:tcW w:w="1452" w:type="dxa"/>
            <w:shd w:val="clear" w:color="auto" w:fill="auto"/>
            <w:vAlign w:val="center"/>
          </w:tcPr>
          <w:p w14:paraId="7C906E8C">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0.0006</w:t>
            </w:r>
          </w:p>
        </w:tc>
        <w:tc>
          <w:tcPr>
            <w:tcW w:w="1088" w:type="dxa"/>
            <w:shd w:val="clear" w:color="auto" w:fill="auto"/>
            <w:vAlign w:val="center"/>
          </w:tcPr>
          <w:p w14:paraId="2500337C">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0.0006</w:t>
            </w:r>
          </w:p>
        </w:tc>
      </w:tr>
      <w:tr w14:paraId="3C32E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7" w:type="dxa"/>
            <w:vAlign w:val="center"/>
          </w:tcPr>
          <w:p w14:paraId="644AFB82">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8</w:t>
            </w:r>
          </w:p>
        </w:tc>
        <w:tc>
          <w:tcPr>
            <w:tcW w:w="1950" w:type="dxa"/>
            <w:shd w:val="clear" w:color="auto" w:fill="auto"/>
            <w:vAlign w:val="center"/>
          </w:tcPr>
          <w:p w14:paraId="21AF33C4">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电机小总成零部件</w:t>
            </w:r>
          </w:p>
        </w:tc>
        <w:tc>
          <w:tcPr>
            <w:tcW w:w="2910" w:type="dxa"/>
            <w:shd w:val="clear" w:color="auto" w:fill="auto"/>
            <w:vAlign w:val="center"/>
          </w:tcPr>
          <w:p w14:paraId="0B127963">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w:t>
            </w:r>
          </w:p>
        </w:tc>
        <w:tc>
          <w:tcPr>
            <w:tcW w:w="1452" w:type="dxa"/>
            <w:shd w:val="clear" w:color="auto" w:fill="auto"/>
            <w:vAlign w:val="center"/>
          </w:tcPr>
          <w:p w14:paraId="5A8C86A1">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2万套</w:t>
            </w:r>
          </w:p>
        </w:tc>
        <w:tc>
          <w:tcPr>
            <w:tcW w:w="1088" w:type="dxa"/>
            <w:shd w:val="clear" w:color="auto" w:fill="auto"/>
            <w:vAlign w:val="center"/>
          </w:tcPr>
          <w:p w14:paraId="58E23810">
            <w:pPr>
              <w:widowControl/>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20万套</w:t>
            </w:r>
          </w:p>
        </w:tc>
      </w:tr>
    </w:tbl>
    <w:p w14:paraId="7F21A63F">
      <w:pPr>
        <w:numPr>
          <w:ilvl w:val="3"/>
          <w:numId w:val="4"/>
        </w:numPr>
        <w:spacing w:line="360" w:lineRule="auto"/>
        <w:ind w:left="777" w:leftChars="0" w:firstLine="0" w:firstLineChars="0"/>
        <w:jc w:val="center"/>
        <w:rPr>
          <w:rFonts w:hint="default" w:ascii="Arial" w:hAnsi="Arial" w:eastAsia="宋体" w:cs="Arial"/>
          <w:b/>
          <w:bCs/>
          <w:kern w:val="2"/>
          <w:sz w:val="24"/>
          <w:szCs w:val="24"/>
          <w:lang w:val="en-US" w:eastAsia="zh-CN" w:bidi="ar-SA"/>
        </w:rPr>
      </w:pPr>
      <w:r>
        <w:rPr>
          <w:rFonts w:hint="default" w:ascii="Arial" w:hAnsi="Arial" w:eastAsia="宋体" w:cs="Arial"/>
          <w:b/>
          <w:bCs/>
          <w:kern w:val="2"/>
          <w:sz w:val="24"/>
          <w:szCs w:val="24"/>
          <w:lang w:val="en-US" w:eastAsia="zh-CN" w:bidi="ar-SA"/>
        </w:rPr>
        <w:t xml:space="preserve">  项目主要原料及其主要组分理化性质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6946"/>
      </w:tblGrid>
      <w:tr w14:paraId="422E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gridSpan w:val="2"/>
            <w:shd w:val="clear" w:color="auto" w:fill="auto"/>
            <w:vAlign w:val="center"/>
          </w:tcPr>
          <w:p w14:paraId="740B6464">
            <w:pPr>
              <w:jc w:val="center"/>
              <w:rPr>
                <w:rFonts w:hint="default" w:ascii="Arial" w:hAnsi="Arial" w:eastAsia="宋体" w:cs="Arial"/>
                <w:szCs w:val="21"/>
                <w:lang w:val="en-US" w:eastAsia="zh-CN"/>
              </w:rPr>
            </w:pPr>
            <w:r>
              <w:rPr>
                <w:rFonts w:hint="default" w:ascii="Arial" w:hAnsi="Arial" w:eastAsia="宋体" w:cs="Arial"/>
                <w:szCs w:val="21"/>
                <w:lang w:val="zh-CN"/>
              </w:rPr>
              <w:t>1、</w:t>
            </w:r>
            <w:r>
              <w:rPr>
                <w:rFonts w:hint="default" w:ascii="Arial" w:hAnsi="Arial" w:eastAsia="宋体" w:cs="Arial"/>
                <w:szCs w:val="21"/>
                <w:lang w:val="en-US" w:eastAsia="zh-CN"/>
              </w:rPr>
              <w:t>防锈剂QV-750</w:t>
            </w:r>
          </w:p>
        </w:tc>
      </w:tr>
      <w:tr w14:paraId="24F7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24" w:type="pct"/>
            <w:shd w:val="clear" w:color="auto" w:fill="auto"/>
            <w:vAlign w:val="center"/>
          </w:tcPr>
          <w:p w14:paraId="48735514">
            <w:pPr>
              <w:tabs>
                <w:tab w:val="left" w:pos="1380"/>
              </w:tabs>
              <w:jc w:val="center"/>
              <w:rPr>
                <w:rFonts w:hint="default" w:ascii="Arial" w:hAnsi="Arial" w:eastAsia="宋体" w:cs="Arial"/>
                <w:szCs w:val="21"/>
                <w:lang w:val="zh-CN"/>
              </w:rPr>
            </w:pPr>
            <w:r>
              <w:rPr>
                <w:rFonts w:hint="default" w:ascii="Arial" w:hAnsi="Arial" w:eastAsia="宋体" w:cs="Arial"/>
                <w:szCs w:val="21"/>
                <w:lang w:val="zh-CN"/>
              </w:rPr>
              <w:t>成分</w:t>
            </w:r>
          </w:p>
        </w:tc>
        <w:tc>
          <w:tcPr>
            <w:tcW w:w="4375" w:type="pct"/>
            <w:shd w:val="clear" w:color="auto" w:fill="auto"/>
            <w:vAlign w:val="center"/>
          </w:tcPr>
          <w:p w14:paraId="130C5A34">
            <w:pPr>
              <w:jc w:val="center"/>
              <w:rPr>
                <w:rFonts w:hint="default" w:ascii="Arial" w:hAnsi="Arial" w:eastAsia="宋体" w:cs="Arial"/>
                <w:szCs w:val="21"/>
                <w:lang w:val="en-US" w:eastAsia="zh-CN"/>
              </w:rPr>
            </w:pPr>
            <w:r>
              <w:rPr>
                <w:rFonts w:hint="default" w:ascii="Arial" w:hAnsi="Arial" w:eastAsia="宋体" w:cs="Arial"/>
                <w:szCs w:val="21"/>
                <w:lang w:val="en-US" w:eastAsia="zh-CN"/>
              </w:rPr>
              <w:t>硼酸酯15-20%、有机胺盐0.5-1%、抗硬水沉淀稳定剂0.5%、表面活性剂1-2%、去离子水20-80%</w:t>
            </w:r>
          </w:p>
        </w:tc>
      </w:tr>
      <w:tr w14:paraId="1E3F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24" w:type="pct"/>
            <w:shd w:val="clear" w:color="auto" w:fill="auto"/>
            <w:vAlign w:val="center"/>
          </w:tcPr>
          <w:p w14:paraId="70A968F6">
            <w:pPr>
              <w:tabs>
                <w:tab w:val="left" w:pos="1380"/>
              </w:tabs>
              <w:jc w:val="center"/>
              <w:rPr>
                <w:rFonts w:hint="default" w:ascii="Arial" w:hAnsi="Arial" w:eastAsia="宋体" w:cs="Arial"/>
                <w:szCs w:val="21"/>
                <w:lang w:val="zh-CN"/>
              </w:rPr>
            </w:pPr>
            <w:r>
              <w:rPr>
                <w:rFonts w:hint="default" w:ascii="Arial" w:hAnsi="Arial" w:eastAsia="宋体" w:cs="Arial"/>
                <w:szCs w:val="21"/>
                <w:lang w:val="zh-CN"/>
              </w:rPr>
              <w:t>理化性质</w:t>
            </w:r>
          </w:p>
        </w:tc>
        <w:tc>
          <w:tcPr>
            <w:tcW w:w="4375" w:type="pct"/>
            <w:shd w:val="clear" w:color="auto" w:fill="auto"/>
            <w:vAlign w:val="center"/>
          </w:tcPr>
          <w:p w14:paraId="7252582C">
            <w:pPr>
              <w:jc w:val="center"/>
              <w:rPr>
                <w:rFonts w:hint="default" w:ascii="Arial" w:hAnsi="Arial" w:eastAsia="宋体" w:cs="Arial"/>
                <w:szCs w:val="21"/>
                <w:lang w:val="en-US" w:eastAsia="zh-CN"/>
              </w:rPr>
            </w:pPr>
            <w:r>
              <w:rPr>
                <w:rFonts w:hint="default" w:ascii="Arial" w:hAnsi="Arial" w:eastAsia="宋体" w:cs="Arial"/>
                <w:szCs w:val="21"/>
                <w:lang w:val="en-US" w:eastAsia="zh-CN"/>
              </w:rPr>
              <w:t>外观：黄色液体；气味：无味；沸点≥100℃；pH：7-9；溶解性：完全溶解于水</w:t>
            </w:r>
            <w:r>
              <w:rPr>
                <w:rFonts w:hint="eastAsia" w:ascii="Arial" w:hAnsi="Arial" w:eastAsia="宋体" w:cs="Arial"/>
                <w:szCs w:val="21"/>
                <w:lang w:val="en-US" w:eastAsia="zh-CN"/>
              </w:rPr>
              <w:t>；相对密度 1.05</w:t>
            </w:r>
          </w:p>
        </w:tc>
      </w:tr>
      <w:tr w14:paraId="00012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2"/>
            <w:shd w:val="clear" w:color="auto" w:fill="auto"/>
            <w:vAlign w:val="center"/>
          </w:tcPr>
          <w:p w14:paraId="38084E06">
            <w:pPr>
              <w:jc w:val="center"/>
              <w:rPr>
                <w:rFonts w:hint="default" w:ascii="Arial" w:hAnsi="Arial" w:eastAsia="宋体" w:cs="Arial"/>
                <w:szCs w:val="21"/>
                <w:lang w:val="en-US" w:eastAsia="zh-CN"/>
              </w:rPr>
            </w:pPr>
            <w:r>
              <w:rPr>
                <w:rFonts w:hint="default" w:ascii="Arial" w:hAnsi="Arial" w:eastAsia="宋体" w:cs="Arial"/>
                <w:szCs w:val="21"/>
                <w:lang w:val="zh-CN"/>
              </w:rPr>
              <w:t>2、</w:t>
            </w:r>
            <w:r>
              <w:rPr>
                <w:rFonts w:hint="default" w:ascii="Arial" w:hAnsi="Arial" w:eastAsia="宋体" w:cs="Arial"/>
                <w:szCs w:val="21"/>
                <w:lang w:val="en-US" w:eastAsia="zh-CN"/>
              </w:rPr>
              <w:t>清洗剂QOH1022Z</w:t>
            </w:r>
          </w:p>
        </w:tc>
      </w:tr>
      <w:tr w14:paraId="29E0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24" w:type="pct"/>
            <w:shd w:val="clear" w:color="auto" w:fill="auto"/>
            <w:vAlign w:val="center"/>
          </w:tcPr>
          <w:p w14:paraId="3C97200A">
            <w:pPr>
              <w:jc w:val="center"/>
              <w:rPr>
                <w:rFonts w:hint="default" w:ascii="Arial" w:hAnsi="Arial" w:eastAsia="宋体" w:cs="Arial"/>
                <w:szCs w:val="21"/>
                <w:lang w:val="zh-CN"/>
              </w:rPr>
            </w:pPr>
            <w:r>
              <w:rPr>
                <w:rFonts w:hint="default" w:ascii="Arial" w:hAnsi="Arial" w:eastAsia="宋体" w:cs="Arial"/>
                <w:szCs w:val="21"/>
                <w:lang w:val="zh-CN"/>
              </w:rPr>
              <w:t>成分</w:t>
            </w:r>
          </w:p>
        </w:tc>
        <w:tc>
          <w:tcPr>
            <w:tcW w:w="4375" w:type="pct"/>
            <w:shd w:val="clear" w:color="auto" w:fill="auto"/>
            <w:vAlign w:val="center"/>
          </w:tcPr>
          <w:p w14:paraId="62E6EE6A">
            <w:pPr>
              <w:jc w:val="center"/>
              <w:rPr>
                <w:rFonts w:hint="default" w:ascii="Arial" w:hAnsi="Arial" w:eastAsia="宋体" w:cs="Arial"/>
                <w:szCs w:val="21"/>
                <w:lang w:val="en-US" w:eastAsia="zh-CN"/>
              </w:rPr>
            </w:pPr>
            <w:r>
              <w:rPr>
                <w:rFonts w:hint="default" w:ascii="Arial" w:hAnsi="Arial" w:eastAsia="宋体" w:cs="Arial"/>
                <w:szCs w:val="21"/>
                <w:lang w:val="en-US" w:eastAsia="zh-CN"/>
              </w:rPr>
              <w:t>氢氧化钾5-15%；氢氧化钠2-5%；阴离子表面活性剂15-20%；阳离子表面活性剂15-20%；去离子水余量。</w:t>
            </w:r>
          </w:p>
        </w:tc>
      </w:tr>
      <w:tr w14:paraId="685CB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24" w:type="pct"/>
            <w:shd w:val="clear" w:color="auto" w:fill="auto"/>
            <w:vAlign w:val="center"/>
          </w:tcPr>
          <w:p w14:paraId="371C2124">
            <w:pPr>
              <w:jc w:val="center"/>
              <w:rPr>
                <w:rFonts w:hint="default" w:ascii="Arial" w:hAnsi="Arial" w:eastAsia="宋体" w:cs="Arial"/>
                <w:szCs w:val="21"/>
                <w:lang w:val="zh-CN"/>
              </w:rPr>
            </w:pPr>
            <w:r>
              <w:rPr>
                <w:rFonts w:hint="default" w:ascii="Arial" w:hAnsi="Arial" w:eastAsia="宋体" w:cs="Arial"/>
                <w:szCs w:val="21"/>
                <w:lang w:val="zh-CN"/>
              </w:rPr>
              <w:t>理化性质</w:t>
            </w:r>
          </w:p>
        </w:tc>
        <w:tc>
          <w:tcPr>
            <w:tcW w:w="4375" w:type="pct"/>
            <w:shd w:val="clear" w:color="auto" w:fill="auto"/>
            <w:vAlign w:val="center"/>
          </w:tcPr>
          <w:p w14:paraId="12B2EAC2">
            <w:pPr>
              <w:jc w:val="center"/>
              <w:rPr>
                <w:rFonts w:hint="default" w:ascii="Arial" w:hAnsi="Arial" w:eastAsia="宋体" w:cs="Arial"/>
                <w:szCs w:val="21"/>
                <w:lang w:val="en-US" w:eastAsia="zh-CN"/>
              </w:rPr>
            </w:pPr>
            <w:r>
              <w:rPr>
                <w:rFonts w:hint="default" w:ascii="Arial" w:hAnsi="Arial" w:eastAsia="宋体" w:cs="Arial"/>
                <w:szCs w:val="21"/>
                <w:lang w:val="en-US" w:eastAsia="zh-CN"/>
              </w:rPr>
              <w:t>透明微乳色液体，无味，相对密度1.20-1.30，pH 13-14。</w:t>
            </w:r>
          </w:p>
        </w:tc>
      </w:tr>
      <w:tr w14:paraId="1465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2"/>
            <w:shd w:val="clear" w:color="auto" w:fill="auto"/>
            <w:vAlign w:val="center"/>
          </w:tcPr>
          <w:p w14:paraId="0D51227E">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zh-CN"/>
              </w:rPr>
              <w:t>3、</w:t>
            </w:r>
            <w:r>
              <w:rPr>
                <w:rFonts w:hint="default" w:ascii="Arial" w:hAnsi="Arial" w:eastAsia="宋体" w:cs="Arial"/>
                <w:color w:val="auto"/>
                <w:szCs w:val="21"/>
                <w:lang w:val="en-US" w:eastAsia="zh-CN"/>
              </w:rPr>
              <w:t>防锈剂</w:t>
            </w:r>
            <w:r>
              <w:rPr>
                <w:rFonts w:hint="eastAsia" w:ascii="Arial" w:hAnsi="Arial" w:eastAsia="宋体" w:cs="Arial"/>
                <w:color w:val="auto"/>
                <w:szCs w:val="21"/>
                <w:lang w:val="en-US" w:eastAsia="zh-CN"/>
              </w:rPr>
              <w:t>FD-16</w:t>
            </w:r>
          </w:p>
        </w:tc>
      </w:tr>
      <w:tr w14:paraId="0C49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24" w:type="pct"/>
            <w:shd w:val="clear" w:color="auto" w:fill="auto"/>
            <w:vAlign w:val="center"/>
          </w:tcPr>
          <w:p w14:paraId="42A4B77D">
            <w:pPr>
              <w:jc w:val="center"/>
              <w:rPr>
                <w:rFonts w:hint="default" w:ascii="Arial" w:hAnsi="Arial" w:eastAsia="宋体" w:cs="Arial"/>
                <w:color w:val="auto"/>
                <w:szCs w:val="21"/>
                <w:lang w:val="zh-CN"/>
              </w:rPr>
            </w:pPr>
            <w:r>
              <w:rPr>
                <w:rFonts w:hint="default" w:ascii="Arial" w:hAnsi="Arial" w:eastAsia="宋体" w:cs="Arial"/>
                <w:color w:val="auto"/>
                <w:szCs w:val="21"/>
                <w:lang w:val="zh-CN"/>
              </w:rPr>
              <w:t>成分</w:t>
            </w:r>
          </w:p>
        </w:tc>
        <w:tc>
          <w:tcPr>
            <w:tcW w:w="4375" w:type="pct"/>
            <w:shd w:val="clear" w:color="auto" w:fill="auto"/>
            <w:vAlign w:val="center"/>
          </w:tcPr>
          <w:p w14:paraId="3AA6EEBA">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醇胺</w:t>
            </w:r>
            <w:r>
              <w:rPr>
                <w:rFonts w:hint="eastAsia" w:ascii="Arial" w:hAnsi="Arial" w:eastAsia="宋体" w:cs="Arial"/>
                <w:color w:val="auto"/>
                <w:szCs w:val="21"/>
                <w:lang w:val="en-US" w:eastAsia="zh-CN"/>
              </w:rPr>
              <w:t>5-10</w:t>
            </w:r>
            <w:r>
              <w:rPr>
                <w:rFonts w:hint="default" w:ascii="Arial" w:hAnsi="Arial" w:eastAsia="宋体" w:cs="Arial"/>
                <w:color w:val="auto"/>
                <w:szCs w:val="21"/>
                <w:lang w:val="en-US" w:eastAsia="zh-CN"/>
              </w:rPr>
              <w:t>%、有机酸</w:t>
            </w:r>
            <w:r>
              <w:rPr>
                <w:rFonts w:hint="eastAsia" w:ascii="Arial" w:hAnsi="Arial" w:eastAsia="宋体" w:cs="Arial"/>
                <w:color w:val="auto"/>
                <w:szCs w:val="21"/>
                <w:lang w:val="en-US" w:eastAsia="zh-CN"/>
              </w:rPr>
              <w:t>5-</w:t>
            </w:r>
            <w:r>
              <w:rPr>
                <w:rFonts w:hint="default" w:ascii="Arial" w:hAnsi="Arial" w:eastAsia="宋体" w:cs="Arial"/>
                <w:color w:val="auto"/>
                <w:szCs w:val="21"/>
                <w:lang w:val="en-US" w:eastAsia="zh-CN"/>
              </w:rPr>
              <w:t>1</w:t>
            </w:r>
            <w:r>
              <w:rPr>
                <w:rFonts w:hint="eastAsia" w:ascii="Arial" w:hAnsi="Arial" w:eastAsia="宋体" w:cs="Arial"/>
                <w:color w:val="auto"/>
                <w:szCs w:val="21"/>
                <w:lang w:val="en-US" w:eastAsia="zh-CN"/>
              </w:rPr>
              <w:t>0</w:t>
            </w:r>
            <w:r>
              <w:rPr>
                <w:rFonts w:hint="default" w:ascii="Arial" w:hAnsi="Arial" w:eastAsia="宋体" w:cs="Arial"/>
                <w:color w:val="auto"/>
                <w:szCs w:val="21"/>
                <w:lang w:val="en-US" w:eastAsia="zh-CN"/>
              </w:rPr>
              <w:t>%、表面活性剂3-5%、水余量。</w:t>
            </w:r>
          </w:p>
        </w:tc>
      </w:tr>
      <w:tr w14:paraId="2732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24" w:type="pct"/>
            <w:shd w:val="clear" w:color="auto" w:fill="auto"/>
            <w:vAlign w:val="center"/>
          </w:tcPr>
          <w:p w14:paraId="3BBAE864">
            <w:pPr>
              <w:jc w:val="center"/>
              <w:rPr>
                <w:rFonts w:hint="default" w:ascii="Arial" w:hAnsi="Arial" w:eastAsia="宋体" w:cs="Arial"/>
                <w:color w:val="auto"/>
                <w:szCs w:val="21"/>
                <w:lang w:val="zh-CN"/>
              </w:rPr>
            </w:pPr>
            <w:r>
              <w:rPr>
                <w:rFonts w:hint="default" w:ascii="Arial" w:hAnsi="Arial" w:eastAsia="宋体" w:cs="Arial"/>
                <w:color w:val="auto"/>
                <w:szCs w:val="21"/>
                <w:lang w:val="zh-CN"/>
              </w:rPr>
              <w:t>理化性质</w:t>
            </w:r>
          </w:p>
        </w:tc>
        <w:tc>
          <w:tcPr>
            <w:tcW w:w="4375" w:type="pct"/>
            <w:shd w:val="clear" w:color="auto" w:fill="auto"/>
            <w:vAlign w:val="center"/>
          </w:tcPr>
          <w:p w14:paraId="285A9FDE">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液体，</w:t>
            </w:r>
            <w:r>
              <w:rPr>
                <w:rFonts w:hint="eastAsia" w:ascii="Arial" w:hAnsi="Arial" w:eastAsia="宋体" w:cs="Arial"/>
                <w:color w:val="auto"/>
                <w:szCs w:val="21"/>
                <w:lang w:val="en-US" w:eastAsia="zh-CN"/>
              </w:rPr>
              <w:t>黄色</w:t>
            </w:r>
            <w:r>
              <w:rPr>
                <w:rFonts w:hint="default" w:ascii="Arial" w:hAnsi="Arial" w:eastAsia="宋体" w:cs="Arial"/>
                <w:color w:val="auto"/>
                <w:szCs w:val="21"/>
                <w:lang w:val="en-US" w:eastAsia="zh-CN"/>
              </w:rPr>
              <w:t>，本品不自燃不爆炸，pH8.5</w:t>
            </w:r>
            <w:r>
              <w:rPr>
                <w:rFonts w:hint="eastAsia" w:ascii="Arial" w:hAnsi="Arial" w:eastAsia="宋体" w:cs="Arial"/>
                <w:color w:val="auto"/>
                <w:szCs w:val="21"/>
                <w:lang w:val="en-US" w:eastAsia="zh-CN"/>
              </w:rPr>
              <w:t>-9.5、密度1.05-1.10</w:t>
            </w:r>
            <w:r>
              <w:rPr>
                <w:rFonts w:hint="default" w:ascii="Arial" w:hAnsi="Arial" w:eastAsia="宋体" w:cs="Arial"/>
                <w:color w:val="auto"/>
                <w:szCs w:val="21"/>
                <w:lang w:val="en-US" w:eastAsia="zh-CN"/>
              </w:rPr>
              <w:t>。</w:t>
            </w:r>
          </w:p>
        </w:tc>
      </w:tr>
      <w:tr w14:paraId="6967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2"/>
            <w:shd w:val="clear" w:color="auto" w:fill="auto"/>
            <w:vAlign w:val="center"/>
          </w:tcPr>
          <w:p w14:paraId="2AF7A99C">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4、淬火液</w:t>
            </w:r>
          </w:p>
        </w:tc>
      </w:tr>
      <w:tr w14:paraId="4D74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24" w:type="pct"/>
            <w:shd w:val="clear" w:color="auto" w:fill="auto"/>
            <w:vAlign w:val="center"/>
          </w:tcPr>
          <w:p w14:paraId="24B36FA6">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成分</w:t>
            </w:r>
          </w:p>
        </w:tc>
        <w:tc>
          <w:tcPr>
            <w:tcW w:w="4375" w:type="pct"/>
            <w:shd w:val="clear" w:color="auto" w:fill="auto"/>
            <w:vAlign w:val="center"/>
          </w:tcPr>
          <w:p w14:paraId="409CA15C">
            <w:pPr>
              <w:jc w:val="center"/>
              <w:rPr>
                <w:rFonts w:hint="eastAsia" w:ascii="Arial" w:hAnsi="Arial" w:eastAsia="宋体" w:cs="Arial"/>
                <w:color w:val="auto"/>
                <w:szCs w:val="21"/>
                <w:lang w:val="en-US" w:eastAsia="zh-CN"/>
              </w:rPr>
            </w:pPr>
            <w:r>
              <w:rPr>
                <w:rFonts w:hint="default" w:ascii="Arial" w:hAnsi="Arial" w:eastAsia="宋体" w:cs="Arial"/>
                <w:sz w:val="21"/>
                <w:szCs w:val="21"/>
              </w:rPr>
              <w:t>聚烷撑乙二醇</w:t>
            </w:r>
            <w:r>
              <w:rPr>
                <w:rFonts w:hint="eastAsia" w:ascii="Arial" w:hAnsi="Arial" w:eastAsia="宋体" w:cs="Arial"/>
                <w:sz w:val="21"/>
                <w:szCs w:val="21"/>
                <w:lang w:val="en-US" w:eastAsia="zh-CN"/>
              </w:rPr>
              <w:t>聚合物，杀菌剂、防锈剂、消泡剂、催冷剂</w:t>
            </w:r>
          </w:p>
        </w:tc>
      </w:tr>
      <w:tr w14:paraId="619F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24" w:type="pct"/>
            <w:shd w:val="clear" w:color="auto" w:fill="auto"/>
            <w:vAlign w:val="center"/>
          </w:tcPr>
          <w:p w14:paraId="7AA2BFB8">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理化性质</w:t>
            </w:r>
          </w:p>
        </w:tc>
        <w:tc>
          <w:tcPr>
            <w:tcW w:w="4375" w:type="pct"/>
            <w:shd w:val="clear" w:color="auto" w:fill="auto"/>
            <w:vAlign w:val="center"/>
          </w:tcPr>
          <w:p w14:paraId="3B68959D">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浅黄色液体，</w:t>
            </w:r>
            <w:r>
              <w:rPr>
                <w:rFonts w:hint="default" w:ascii="Arial" w:hAnsi="Arial" w:eastAsia="宋体" w:cs="Arial"/>
                <w:szCs w:val="21"/>
                <w:lang w:val="en-US" w:eastAsia="zh-CN"/>
              </w:rPr>
              <w:t xml:space="preserve">相对密度1.08，pH </w:t>
            </w:r>
            <w:r>
              <w:rPr>
                <w:rFonts w:hint="eastAsia" w:ascii="Arial" w:hAnsi="Arial" w:eastAsia="宋体" w:cs="Arial"/>
                <w:szCs w:val="21"/>
                <w:lang w:val="en-US" w:eastAsia="zh-CN"/>
              </w:rPr>
              <w:t>8.0-10.0</w:t>
            </w:r>
            <w:r>
              <w:rPr>
                <w:rFonts w:hint="default" w:ascii="Arial" w:hAnsi="Arial" w:eastAsia="宋体" w:cs="Arial"/>
                <w:szCs w:val="21"/>
                <w:lang w:val="en-US" w:eastAsia="zh-CN"/>
              </w:rPr>
              <w:t>。</w:t>
            </w:r>
          </w:p>
        </w:tc>
      </w:tr>
    </w:tbl>
    <w:p w14:paraId="692E908D">
      <w:pPr>
        <w:spacing w:line="360" w:lineRule="auto"/>
        <w:rPr>
          <w:rFonts w:hint="default" w:ascii="Arial" w:hAnsi="Arial" w:eastAsia="宋体" w:cs="Arial"/>
          <w:b/>
          <w:bCs/>
          <w:sz w:val="24"/>
          <w:szCs w:val="24"/>
        </w:rPr>
      </w:pPr>
      <w:r>
        <w:rPr>
          <w:rFonts w:hint="default" w:ascii="Arial" w:hAnsi="Arial" w:eastAsia="宋体" w:cs="Arial"/>
          <w:b/>
          <w:bCs/>
          <w:sz w:val="24"/>
          <w:szCs w:val="24"/>
        </w:rPr>
        <w:t>《清洗剂挥发性有机化合物含量限值》（GB 38508-2020）符合性分析</w:t>
      </w:r>
    </w:p>
    <w:p w14:paraId="27D5787C">
      <w:pPr>
        <w:pStyle w:val="93"/>
        <w:adjustRightInd w:val="0"/>
        <w:snapToGrid w:val="0"/>
        <w:spacing w:before="60" w:beforeLines="0" w:line="360" w:lineRule="auto"/>
        <w:ind w:firstLine="480"/>
        <w:jc w:val="left"/>
        <w:rPr>
          <w:rFonts w:hint="default" w:ascii="Arial" w:hAnsi="Arial" w:eastAsia="宋体" w:cs="Arial"/>
          <w:lang w:val="en-US"/>
        </w:rPr>
      </w:pPr>
      <w:r>
        <w:rPr>
          <w:rFonts w:hint="default" w:ascii="Arial" w:hAnsi="Arial" w:eastAsia="宋体" w:cs="Arial"/>
        </w:rPr>
        <w:t>根据企业提供的</w:t>
      </w:r>
      <w:r>
        <w:rPr>
          <w:rFonts w:hint="default" w:ascii="Arial" w:hAnsi="Arial" w:eastAsia="宋体" w:cs="Arial"/>
          <w:lang w:val="en-US" w:eastAsia="zh-CN"/>
        </w:rPr>
        <w:t>清洗剂、防锈剂</w:t>
      </w:r>
      <w:r>
        <w:rPr>
          <w:rFonts w:hint="default" w:ascii="Arial" w:hAnsi="Arial" w:eastAsia="宋体" w:cs="Arial"/>
        </w:rPr>
        <w:t>MSDS，</w:t>
      </w:r>
      <w:r>
        <w:rPr>
          <w:rFonts w:hint="default" w:ascii="Arial" w:hAnsi="Arial" w:eastAsia="宋体" w:cs="Arial"/>
          <w:lang w:val="en-US" w:eastAsia="zh-CN"/>
        </w:rPr>
        <w:t>项目使用清洗剂为水基，</w:t>
      </w:r>
      <w:r>
        <w:rPr>
          <w:rFonts w:hint="default" w:ascii="Arial" w:hAnsi="Arial" w:eastAsia="宋体" w:cs="Arial"/>
          <w:szCs w:val="21"/>
          <w:lang w:val="en-US" w:eastAsia="zh-CN"/>
        </w:rPr>
        <w:t>防锈剂QV-750</w:t>
      </w:r>
      <w:r>
        <w:rPr>
          <w:rFonts w:hint="eastAsia" w:ascii="Arial" w:hAnsi="Arial" w:cs="Arial"/>
          <w:szCs w:val="21"/>
          <w:lang w:val="en-US" w:eastAsia="zh-CN"/>
        </w:rPr>
        <w:t>、</w:t>
      </w:r>
      <w:r>
        <w:rPr>
          <w:rFonts w:hint="default" w:ascii="Arial" w:hAnsi="Arial" w:eastAsia="宋体" w:cs="Arial"/>
          <w:color w:val="auto"/>
          <w:szCs w:val="21"/>
          <w:lang w:val="en-US" w:eastAsia="zh-CN"/>
        </w:rPr>
        <w:t>防锈剂</w:t>
      </w:r>
      <w:r>
        <w:rPr>
          <w:rFonts w:hint="eastAsia" w:ascii="Arial" w:hAnsi="Arial" w:cs="Arial"/>
          <w:color w:val="auto"/>
          <w:szCs w:val="21"/>
          <w:lang w:val="en-US" w:eastAsia="zh-CN"/>
        </w:rPr>
        <w:t>FD-16</w:t>
      </w:r>
      <w:r>
        <w:rPr>
          <w:rFonts w:hint="default" w:ascii="Arial" w:hAnsi="Arial" w:eastAsia="宋体" w:cs="Arial"/>
          <w:color w:val="auto"/>
          <w:szCs w:val="21"/>
          <w:lang w:val="en-US" w:eastAsia="zh-CN"/>
        </w:rPr>
        <w:t>为</w:t>
      </w:r>
      <w:r>
        <w:rPr>
          <w:rFonts w:hint="default" w:ascii="Arial" w:hAnsi="Arial" w:eastAsia="宋体" w:cs="Arial"/>
          <w:lang w:val="en-US" w:eastAsia="zh-CN"/>
        </w:rPr>
        <w:t>水基</w:t>
      </w:r>
      <w:r>
        <w:rPr>
          <w:rFonts w:hint="default" w:ascii="Arial" w:hAnsi="Arial" w:eastAsia="宋体" w:cs="Arial"/>
          <w:color w:val="auto"/>
          <w:szCs w:val="21"/>
          <w:lang w:val="en-US" w:eastAsia="zh-CN"/>
        </w:rPr>
        <w:t>清洗剂，均</w:t>
      </w:r>
      <w:r>
        <w:rPr>
          <w:rFonts w:hint="default" w:ascii="Arial" w:hAnsi="Arial" w:eastAsia="宋体" w:cs="Arial"/>
        </w:rPr>
        <w:t>不含有二氯甲烷、三氯甲烷、三氯乙烯、四氯乙烯、甲醛</w:t>
      </w:r>
      <w:r>
        <w:rPr>
          <w:rFonts w:hint="default" w:ascii="Arial" w:hAnsi="Arial" w:eastAsia="宋体" w:cs="Arial"/>
          <w:lang w:eastAsia="zh-CN"/>
        </w:rPr>
        <w:t>、</w:t>
      </w:r>
      <w:r>
        <w:rPr>
          <w:rFonts w:hint="default" w:ascii="Arial" w:hAnsi="Arial" w:eastAsia="宋体" w:cs="Arial"/>
        </w:rPr>
        <w:t>苯、甲苯、乙苯和二甲苯等挥发性有机物。</w:t>
      </w:r>
    </w:p>
    <w:p w14:paraId="5B540B92">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eastAsia" w:ascii="Arial" w:hAnsi="Arial" w:eastAsia="宋体" w:cs="Arial"/>
          <w:b/>
          <w:bCs/>
          <w:sz w:val="24"/>
          <w:szCs w:val="24"/>
          <w:lang w:val="en-US" w:eastAsia="zh-CN"/>
        </w:rPr>
        <w:t>本项目清洗剂与《清洗剂挥发性有机化合物含量限值》（GB 38508-2020）符合性分析表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213"/>
        <w:gridCol w:w="2214"/>
        <w:gridCol w:w="1696"/>
        <w:gridCol w:w="1088"/>
      </w:tblGrid>
      <w:tr w14:paraId="487E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14:paraId="279BCE2E">
            <w:pPr>
              <w:widowControl/>
              <w:jc w:val="center"/>
              <w:rPr>
                <w:rFonts w:hint="default" w:ascii="Arial" w:hAnsi="Arial" w:eastAsia="宋体" w:cs="Arial"/>
                <w:kern w:val="0"/>
                <w:szCs w:val="21"/>
              </w:rPr>
            </w:pPr>
            <w:r>
              <w:rPr>
                <w:rFonts w:hint="default" w:ascii="Arial" w:hAnsi="Arial" w:eastAsia="宋体" w:cs="Arial"/>
                <w:kern w:val="0"/>
                <w:szCs w:val="21"/>
              </w:rPr>
              <w:t>序号</w:t>
            </w:r>
          </w:p>
        </w:tc>
        <w:tc>
          <w:tcPr>
            <w:tcW w:w="2213" w:type="dxa"/>
            <w:vAlign w:val="center"/>
          </w:tcPr>
          <w:p w14:paraId="1640ACC4">
            <w:pPr>
              <w:widowControl/>
              <w:jc w:val="center"/>
              <w:rPr>
                <w:rFonts w:hint="default" w:ascii="Arial" w:hAnsi="Arial" w:eastAsia="宋体" w:cs="Arial"/>
                <w:kern w:val="0"/>
                <w:szCs w:val="21"/>
              </w:rPr>
            </w:pPr>
            <w:r>
              <w:rPr>
                <w:rFonts w:hint="default" w:ascii="Arial" w:hAnsi="Arial" w:eastAsia="宋体" w:cs="Arial"/>
                <w:kern w:val="0"/>
                <w:szCs w:val="21"/>
              </w:rPr>
              <w:t>名称</w:t>
            </w:r>
          </w:p>
        </w:tc>
        <w:tc>
          <w:tcPr>
            <w:tcW w:w="2214" w:type="dxa"/>
            <w:vAlign w:val="center"/>
          </w:tcPr>
          <w:p w14:paraId="0F24B2AE">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VOC含量（g/L）</w:t>
            </w:r>
          </w:p>
        </w:tc>
        <w:tc>
          <w:tcPr>
            <w:tcW w:w="1696" w:type="dxa"/>
            <w:vAlign w:val="center"/>
          </w:tcPr>
          <w:p w14:paraId="4838FA80">
            <w:pPr>
              <w:widowControl/>
              <w:jc w:val="center"/>
              <w:rPr>
                <w:rFonts w:hint="eastAsia" w:ascii="Arial" w:hAnsi="Arial" w:eastAsia="宋体" w:cs="Arial"/>
                <w:kern w:val="0"/>
                <w:szCs w:val="21"/>
                <w:lang w:val="en-US" w:eastAsia="zh-CN"/>
              </w:rPr>
            </w:pPr>
            <w:r>
              <w:rPr>
                <w:rFonts w:hint="eastAsia" w:ascii="Arial" w:hAnsi="Arial" w:eastAsia="宋体" w:cs="Arial"/>
                <w:kern w:val="0"/>
                <w:szCs w:val="21"/>
                <w:lang w:val="en-US" w:eastAsia="zh-CN"/>
              </w:rPr>
              <w:t>限值（g/L）</w:t>
            </w:r>
          </w:p>
        </w:tc>
        <w:tc>
          <w:tcPr>
            <w:tcW w:w="1088" w:type="dxa"/>
            <w:vAlign w:val="center"/>
          </w:tcPr>
          <w:p w14:paraId="3B598B86">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符合性</w:t>
            </w:r>
          </w:p>
        </w:tc>
      </w:tr>
      <w:tr w14:paraId="4DEA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14:paraId="279458DA">
            <w:pPr>
              <w:widowControl/>
              <w:jc w:val="center"/>
              <w:rPr>
                <w:rFonts w:hint="default" w:ascii="Arial" w:hAnsi="Arial" w:eastAsia="宋体" w:cs="Arial"/>
                <w:kern w:val="0"/>
                <w:szCs w:val="21"/>
              </w:rPr>
            </w:pPr>
            <w:r>
              <w:rPr>
                <w:rFonts w:hint="default" w:ascii="Arial" w:hAnsi="Arial" w:eastAsia="宋体" w:cs="Arial"/>
                <w:kern w:val="0"/>
                <w:szCs w:val="21"/>
              </w:rPr>
              <w:t>1</w:t>
            </w:r>
          </w:p>
        </w:tc>
        <w:tc>
          <w:tcPr>
            <w:tcW w:w="2213" w:type="dxa"/>
            <w:vAlign w:val="center"/>
          </w:tcPr>
          <w:p w14:paraId="3239B097">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清洗剂</w:t>
            </w:r>
            <w:r>
              <w:rPr>
                <w:rFonts w:hint="default" w:ascii="Arial" w:hAnsi="Arial" w:eastAsia="宋体" w:cs="Arial"/>
                <w:kern w:val="0"/>
                <w:szCs w:val="21"/>
              </w:rPr>
              <w:t>QOH-1022Z</w:t>
            </w:r>
          </w:p>
        </w:tc>
        <w:tc>
          <w:tcPr>
            <w:tcW w:w="2214" w:type="dxa"/>
            <w:vAlign w:val="center"/>
          </w:tcPr>
          <w:p w14:paraId="53A3A322">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0</w:t>
            </w:r>
          </w:p>
        </w:tc>
        <w:tc>
          <w:tcPr>
            <w:tcW w:w="1696" w:type="dxa"/>
            <w:vAlign w:val="center"/>
          </w:tcPr>
          <w:p w14:paraId="003741B0">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50</w:t>
            </w:r>
          </w:p>
        </w:tc>
        <w:tc>
          <w:tcPr>
            <w:tcW w:w="1088" w:type="dxa"/>
            <w:vAlign w:val="center"/>
          </w:tcPr>
          <w:p w14:paraId="5266DA24">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符合</w:t>
            </w:r>
          </w:p>
        </w:tc>
      </w:tr>
      <w:tr w14:paraId="35F2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6" w:type="dxa"/>
            <w:vAlign w:val="center"/>
          </w:tcPr>
          <w:p w14:paraId="4531EAF7">
            <w:pPr>
              <w:widowControl/>
              <w:jc w:val="center"/>
              <w:rPr>
                <w:rFonts w:hint="default" w:ascii="Arial" w:hAnsi="Arial" w:eastAsia="宋体" w:cs="Arial"/>
                <w:kern w:val="0"/>
                <w:szCs w:val="21"/>
              </w:rPr>
            </w:pPr>
            <w:r>
              <w:rPr>
                <w:rFonts w:hint="default" w:ascii="Arial" w:hAnsi="Arial" w:eastAsia="宋体" w:cs="Arial"/>
                <w:kern w:val="0"/>
                <w:szCs w:val="21"/>
              </w:rPr>
              <w:t>2</w:t>
            </w:r>
          </w:p>
        </w:tc>
        <w:tc>
          <w:tcPr>
            <w:tcW w:w="2213" w:type="dxa"/>
            <w:vAlign w:val="center"/>
          </w:tcPr>
          <w:p w14:paraId="6097C7BA">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防锈剂</w:t>
            </w:r>
            <w:r>
              <w:rPr>
                <w:rFonts w:hint="default" w:ascii="Arial" w:hAnsi="Arial" w:eastAsia="宋体" w:cs="Arial"/>
                <w:kern w:val="0"/>
                <w:szCs w:val="21"/>
              </w:rPr>
              <w:t>QV-750</w:t>
            </w:r>
          </w:p>
        </w:tc>
        <w:tc>
          <w:tcPr>
            <w:tcW w:w="2214" w:type="dxa"/>
            <w:vAlign w:val="center"/>
          </w:tcPr>
          <w:p w14:paraId="700573E0">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0.6</w:t>
            </w:r>
          </w:p>
        </w:tc>
        <w:tc>
          <w:tcPr>
            <w:tcW w:w="1696" w:type="dxa"/>
            <w:vAlign w:val="center"/>
          </w:tcPr>
          <w:p w14:paraId="206C2336">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50</w:t>
            </w:r>
          </w:p>
        </w:tc>
        <w:tc>
          <w:tcPr>
            <w:tcW w:w="1088" w:type="dxa"/>
            <w:vAlign w:val="center"/>
          </w:tcPr>
          <w:p w14:paraId="05D1EA6A">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符合</w:t>
            </w:r>
          </w:p>
        </w:tc>
      </w:tr>
      <w:tr w14:paraId="58A8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6" w:type="dxa"/>
            <w:vAlign w:val="center"/>
          </w:tcPr>
          <w:p w14:paraId="13D24120">
            <w:pPr>
              <w:widowControl/>
              <w:jc w:val="center"/>
              <w:rPr>
                <w:rFonts w:hint="default" w:ascii="Arial" w:hAnsi="Arial" w:eastAsia="宋体" w:cs="Arial"/>
                <w:kern w:val="0"/>
                <w:szCs w:val="21"/>
              </w:rPr>
            </w:pPr>
            <w:r>
              <w:rPr>
                <w:rFonts w:hint="default" w:ascii="Arial" w:hAnsi="Arial" w:eastAsia="宋体" w:cs="Arial"/>
                <w:kern w:val="0"/>
                <w:szCs w:val="21"/>
              </w:rPr>
              <w:t>3</w:t>
            </w:r>
          </w:p>
        </w:tc>
        <w:tc>
          <w:tcPr>
            <w:tcW w:w="2213" w:type="dxa"/>
            <w:vAlign w:val="center"/>
          </w:tcPr>
          <w:p w14:paraId="7A4CF96B">
            <w:pPr>
              <w:widowControl/>
              <w:jc w:val="center"/>
              <w:rPr>
                <w:rFonts w:hint="default" w:ascii="Arial" w:hAnsi="Arial" w:eastAsia="宋体" w:cs="Arial"/>
                <w:kern w:val="0"/>
                <w:szCs w:val="21"/>
              </w:rPr>
            </w:pPr>
            <w:r>
              <w:rPr>
                <w:rFonts w:hint="default" w:ascii="Arial" w:hAnsi="Arial" w:eastAsia="宋体" w:cs="Arial"/>
                <w:kern w:val="0"/>
                <w:szCs w:val="21"/>
                <w:lang w:val="en-US" w:eastAsia="zh-CN"/>
              </w:rPr>
              <w:t>防锈剂</w:t>
            </w:r>
            <w:r>
              <w:rPr>
                <w:rFonts w:hint="eastAsia" w:ascii="Arial" w:hAnsi="Arial" w:eastAsia="宋体" w:cs="Arial"/>
                <w:kern w:val="0"/>
                <w:szCs w:val="21"/>
                <w:lang w:val="en-US" w:eastAsia="zh-CN"/>
              </w:rPr>
              <w:t>FD-16</w:t>
            </w:r>
          </w:p>
        </w:tc>
        <w:tc>
          <w:tcPr>
            <w:tcW w:w="2214" w:type="dxa"/>
            <w:vAlign w:val="center"/>
          </w:tcPr>
          <w:p w14:paraId="2466A918">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12.6</w:t>
            </w:r>
          </w:p>
        </w:tc>
        <w:tc>
          <w:tcPr>
            <w:tcW w:w="1696" w:type="dxa"/>
            <w:vAlign w:val="center"/>
          </w:tcPr>
          <w:p w14:paraId="66287C8C">
            <w:pPr>
              <w:widowControl/>
              <w:jc w:val="center"/>
              <w:rPr>
                <w:rFonts w:hint="default" w:ascii="Arial" w:hAnsi="Arial" w:eastAsia="宋体" w:cs="Arial"/>
                <w:kern w:val="0"/>
                <w:szCs w:val="21"/>
                <w:lang w:val="en-US" w:eastAsia="zh-CN"/>
              </w:rPr>
            </w:pPr>
            <w:r>
              <w:rPr>
                <w:rFonts w:hint="eastAsia" w:ascii="Arial" w:hAnsi="Arial" w:eastAsia="宋体" w:cs="Arial"/>
                <w:kern w:val="0"/>
                <w:szCs w:val="21"/>
                <w:lang w:val="en-US" w:eastAsia="zh-CN"/>
              </w:rPr>
              <w:t>50</w:t>
            </w:r>
          </w:p>
        </w:tc>
        <w:tc>
          <w:tcPr>
            <w:tcW w:w="1088" w:type="dxa"/>
            <w:vAlign w:val="center"/>
          </w:tcPr>
          <w:p w14:paraId="6CE08CDB">
            <w:pPr>
              <w:widowControl/>
              <w:jc w:val="center"/>
              <w:rPr>
                <w:rFonts w:hint="eastAsia" w:ascii="Arial" w:hAnsi="Arial" w:eastAsia="宋体" w:cs="Arial"/>
                <w:kern w:val="0"/>
                <w:szCs w:val="21"/>
                <w:lang w:val="en-US" w:eastAsia="zh-CN"/>
              </w:rPr>
            </w:pPr>
            <w:r>
              <w:rPr>
                <w:rFonts w:hint="eastAsia" w:ascii="Arial" w:hAnsi="Arial" w:eastAsia="宋体" w:cs="Arial"/>
                <w:kern w:val="0"/>
                <w:szCs w:val="21"/>
                <w:lang w:val="en-US" w:eastAsia="zh-CN"/>
              </w:rPr>
              <w:t>符合</w:t>
            </w:r>
          </w:p>
        </w:tc>
      </w:tr>
    </w:tbl>
    <w:p w14:paraId="411469EA">
      <w:pPr>
        <w:pStyle w:val="93"/>
        <w:adjustRightInd w:val="0"/>
        <w:snapToGrid w:val="0"/>
        <w:spacing w:before="60" w:beforeLines="0" w:line="360" w:lineRule="auto"/>
        <w:ind w:firstLine="480"/>
        <w:jc w:val="left"/>
        <w:rPr>
          <w:rFonts w:hint="default" w:ascii="Arial" w:hAnsi="Arial" w:eastAsia="宋体" w:cs="Arial"/>
          <w:lang w:val="en-US" w:eastAsia="zh-CN"/>
        </w:rPr>
      </w:pPr>
      <w:r>
        <w:rPr>
          <w:rFonts w:hint="eastAsia" w:ascii="Arial" w:hAnsi="Arial" w:cs="Arial"/>
          <w:lang w:val="en-US" w:eastAsia="zh-CN"/>
        </w:rPr>
        <w:t>*VOC含量为即用状态下VOC含量。</w:t>
      </w:r>
    </w:p>
    <w:p w14:paraId="4AC1D0D7">
      <w:pPr>
        <w:pStyle w:val="93"/>
        <w:adjustRightInd w:val="0"/>
        <w:snapToGrid w:val="0"/>
        <w:spacing w:before="60" w:beforeLines="0" w:line="360" w:lineRule="auto"/>
        <w:ind w:firstLine="480"/>
        <w:jc w:val="left"/>
        <w:rPr>
          <w:rFonts w:hint="default" w:ascii="Arial" w:hAnsi="Arial" w:eastAsia="宋体" w:cs="Arial"/>
          <w:color w:val="000000" w:themeColor="text1"/>
          <w14:textFill>
            <w14:solidFill>
              <w14:schemeClr w14:val="tx1"/>
            </w14:solidFill>
          </w14:textFill>
        </w:rPr>
      </w:pPr>
      <w:r>
        <w:rPr>
          <w:rFonts w:hint="default" w:ascii="Arial" w:hAnsi="Arial" w:eastAsia="宋体" w:cs="Arial"/>
        </w:rPr>
        <w:t>综上，本项目使用的</w:t>
      </w:r>
      <w:r>
        <w:rPr>
          <w:rFonts w:hint="default" w:ascii="Arial" w:hAnsi="Arial" w:eastAsia="宋体" w:cs="Arial"/>
          <w:lang w:val="en-US" w:eastAsia="zh-CN"/>
        </w:rPr>
        <w:t>清洗剂、防锈剂</w:t>
      </w:r>
      <w:r>
        <w:rPr>
          <w:rFonts w:hint="default" w:ascii="Arial" w:hAnsi="Arial" w:eastAsia="宋体" w:cs="Arial"/>
        </w:rPr>
        <w:t>符合《清洗剂挥发性有机化合物含量限值》（GB 38</w:t>
      </w:r>
      <w:r>
        <w:rPr>
          <w:rFonts w:hint="default" w:ascii="Arial" w:hAnsi="Arial" w:eastAsia="宋体" w:cs="Arial"/>
          <w:color w:val="000000" w:themeColor="text1"/>
          <w14:textFill>
            <w14:solidFill>
              <w14:schemeClr w14:val="tx1"/>
            </w14:solidFill>
          </w14:textFill>
        </w:rPr>
        <w:t>508-2020）限值要求。</w:t>
      </w:r>
    </w:p>
    <w:bookmarkEnd w:id="2"/>
    <w:bookmarkEnd w:id="3"/>
    <w:p w14:paraId="2CF8D21F">
      <w:pPr>
        <w:pStyle w:val="76"/>
        <w:numPr>
          <w:ilvl w:val="2"/>
          <w:numId w:val="4"/>
        </w:numPr>
        <w:spacing w:line="360" w:lineRule="auto"/>
        <w:ind w:left="210" w:leftChars="0" w:firstLine="0" w:firstLineChars="0"/>
        <w:outlineLvl w:val="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主要生产设备</w:t>
      </w:r>
    </w:p>
    <w:p w14:paraId="3088FFC7">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本项目建设后</w:t>
      </w:r>
      <w:r>
        <w:rPr>
          <w:rFonts w:hint="default" w:ascii="Arial" w:hAnsi="Arial" w:eastAsia="宋体" w:cs="Arial"/>
          <w:color w:val="000000" w:themeColor="text1"/>
          <w:sz w:val="24"/>
          <w:szCs w:val="24"/>
          <w:lang w:eastAsia="zh-CN"/>
          <w14:textFill>
            <w14:solidFill>
              <w14:schemeClr w14:val="tx1"/>
            </w14:solidFill>
          </w14:textFill>
        </w:rPr>
        <w:t>，</w:t>
      </w:r>
      <w:r>
        <w:rPr>
          <w:rFonts w:hint="default" w:ascii="Arial" w:hAnsi="Arial" w:eastAsia="宋体" w:cs="Arial"/>
          <w:color w:val="000000" w:themeColor="text1"/>
          <w:sz w:val="24"/>
          <w:szCs w:val="24"/>
          <w:lang w:val="en-US" w:eastAsia="zh-CN"/>
          <w14:textFill>
            <w14:solidFill>
              <w14:schemeClr w14:val="tx1"/>
            </w14:solidFill>
          </w14:textFill>
        </w:rPr>
        <w:t>原有项目生产设备</w:t>
      </w:r>
      <w:r>
        <w:rPr>
          <w:rFonts w:hint="default" w:ascii="Arial" w:hAnsi="Arial" w:eastAsia="宋体" w:cs="Arial"/>
          <w:color w:val="000000" w:themeColor="text1"/>
          <w:sz w:val="24"/>
          <w:szCs w:val="24"/>
          <w14:textFill>
            <w14:solidFill>
              <w14:schemeClr w14:val="tx1"/>
            </w14:solidFill>
          </w14:textFill>
        </w:rPr>
        <w:t>主要的生产设施见表2-</w:t>
      </w:r>
      <w:r>
        <w:rPr>
          <w:rFonts w:hint="eastAsia" w:ascii="Arial" w:hAnsi="Arial" w:cs="Arial"/>
          <w:color w:val="000000" w:themeColor="text1"/>
          <w:sz w:val="24"/>
          <w:szCs w:val="24"/>
          <w:lang w:val="en-US" w:eastAsia="zh-CN"/>
          <w14:textFill>
            <w14:solidFill>
              <w14:schemeClr w14:val="tx1"/>
            </w14:solidFill>
          </w14:textFill>
        </w:rPr>
        <w:t>7</w:t>
      </w:r>
      <w:r>
        <w:rPr>
          <w:rFonts w:hint="default" w:ascii="Arial" w:hAnsi="Arial" w:eastAsia="宋体" w:cs="Arial"/>
          <w:color w:val="000000" w:themeColor="text1"/>
          <w:sz w:val="24"/>
          <w:szCs w:val="24"/>
          <w14:textFill>
            <w14:solidFill>
              <w14:schemeClr w14:val="tx1"/>
            </w14:solidFill>
          </w14:textFill>
        </w:rPr>
        <w:t>。</w:t>
      </w:r>
    </w:p>
    <w:p w14:paraId="4B13BD2E">
      <w:pPr>
        <w:pStyle w:val="76"/>
        <w:numPr>
          <w:ilvl w:val="3"/>
          <w:numId w:val="4"/>
        </w:numPr>
        <w:spacing w:line="360" w:lineRule="auto"/>
        <w:ind w:left="777" w:leftChars="0" w:firstLineChars="0"/>
        <w:jc w:val="center"/>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 xml:space="preserve">  项目建设后主要生产设备一览表</w:t>
      </w:r>
    </w:p>
    <w:tbl>
      <w:tblPr>
        <w:tblStyle w:val="52"/>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502"/>
        <w:gridCol w:w="1265"/>
        <w:gridCol w:w="1177"/>
        <w:gridCol w:w="1148"/>
        <w:gridCol w:w="1206"/>
      </w:tblGrid>
      <w:tr w14:paraId="52AA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vAlign w:val="center"/>
          </w:tcPr>
          <w:p w14:paraId="2CEAE394">
            <w:pPr>
              <w:widowControl/>
              <w:jc w:val="center"/>
              <w:rPr>
                <w:rFonts w:hint="default" w:ascii="Arial" w:hAnsi="Arial" w:eastAsia="宋体" w:cs="Arial"/>
                <w:bCs/>
                <w:color w:val="000000" w:themeColor="text1"/>
                <w:szCs w:val="21"/>
                <w14:textFill>
                  <w14:solidFill>
                    <w14:schemeClr w14:val="tx1"/>
                  </w14:solidFill>
                </w14:textFill>
              </w:rPr>
            </w:pPr>
            <w:r>
              <w:rPr>
                <w:rFonts w:hint="default" w:ascii="Arial" w:hAnsi="Arial" w:eastAsia="宋体" w:cs="Arial"/>
                <w:bCs/>
                <w:color w:val="000000" w:themeColor="text1"/>
                <w:szCs w:val="21"/>
                <w14:textFill>
                  <w14:solidFill>
                    <w14:schemeClr w14:val="tx1"/>
                  </w14:solidFill>
                </w14:textFill>
              </w:rPr>
              <w:t>序号</w:t>
            </w:r>
          </w:p>
        </w:tc>
        <w:tc>
          <w:tcPr>
            <w:tcW w:w="1576" w:type="pct"/>
            <w:shd w:val="clear" w:color="auto" w:fill="auto"/>
            <w:vAlign w:val="center"/>
          </w:tcPr>
          <w:p w14:paraId="27F928D5">
            <w:pPr>
              <w:widowControl/>
              <w:jc w:val="center"/>
              <w:rPr>
                <w:rFonts w:hint="default" w:ascii="Arial" w:hAnsi="Arial" w:eastAsia="宋体" w:cs="Arial"/>
                <w:bCs/>
                <w:color w:val="000000" w:themeColor="text1"/>
                <w:szCs w:val="21"/>
                <w14:textFill>
                  <w14:solidFill>
                    <w14:schemeClr w14:val="tx1"/>
                  </w14:solidFill>
                </w14:textFill>
              </w:rPr>
            </w:pPr>
            <w:r>
              <w:rPr>
                <w:rFonts w:hint="default" w:ascii="Arial" w:hAnsi="Arial" w:eastAsia="宋体" w:cs="Arial"/>
                <w:bCs/>
                <w:color w:val="000000" w:themeColor="text1"/>
                <w:szCs w:val="21"/>
                <w14:textFill>
                  <w14:solidFill>
                    <w14:schemeClr w14:val="tx1"/>
                  </w14:solidFill>
                </w14:textFill>
              </w:rPr>
              <w:t>设备名称</w:t>
            </w:r>
          </w:p>
        </w:tc>
        <w:tc>
          <w:tcPr>
            <w:tcW w:w="796" w:type="pct"/>
            <w:shd w:val="clear" w:color="auto" w:fill="auto"/>
            <w:vAlign w:val="center"/>
          </w:tcPr>
          <w:p w14:paraId="69C881D0">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技改前现有数量</w:t>
            </w:r>
            <w:r>
              <w:rPr>
                <w:rFonts w:hint="default" w:ascii="Arial" w:hAnsi="Arial" w:eastAsia="宋体" w:cs="Arial"/>
                <w:bCs/>
                <w:color w:val="000000" w:themeColor="text1"/>
                <w:szCs w:val="21"/>
                <w:lang w:eastAsia="zh-CN"/>
                <w14:textFill>
                  <w14:solidFill>
                    <w14:schemeClr w14:val="tx1"/>
                  </w14:solidFill>
                </w14:textFill>
              </w:rPr>
              <w:t>（</w:t>
            </w:r>
            <w:r>
              <w:rPr>
                <w:rFonts w:hint="default" w:ascii="Arial" w:hAnsi="Arial" w:eastAsia="宋体" w:cs="Arial"/>
                <w:bCs/>
                <w:color w:val="000000" w:themeColor="text1"/>
                <w:szCs w:val="21"/>
                <w:lang w:val="en-US" w:eastAsia="zh-CN"/>
                <w14:textFill>
                  <w14:solidFill>
                    <w14:schemeClr w14:val="tx1"/>
                  </w14:solidFill>
                </w14:textFill>
              </w:rPr>
              <w:t>台</w:t>
            </w:r>
            <w:r>
              <w:rPr>
                <w:rFonts w:hint="default" w:ascii="Arial" w:hAnsi="Arial" w:eastAsia="宋体" w:cs="Arial"/>
                <w:bCs/>
                <w:color w:val="000000" w:themeColor="text1"/>
                <w:szCs w:val="21"/>
                <w:lang w:eastAsia="zh-CN"/>
                <w14:textFill>
                  <w14:solidFill>
                    <w14:schemeClr w14:val="tx1"/>
                  </w14:solidFill>
                </w14:textFill>
              </w:rPr>
              <w:t>）</w:t>
            </w:r>
          </w:p>
        </w:tc>
        <w:tc>
          <w:tcPr>
            <w:tcW w:w="741" w:type="pct"/>
            <w:shd w:val="clear" w:color="auto" w:fill="auto"/>
            <w:vAlign w:val="center"/>
          </w:tcPr>
          <w:p w14:paraId="7CB91D8B">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技改新增</w:t>
            </w:r>
          </w:p>
          <w:p w14:paraId="03A5F750">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eastAsia="zh-CN"/>
                <w14:textFill>
                  <w14:solidFill>
                    <w14:schemeClr w14:val="tx1"/>
                  </w14:solidFill>
                </w14:textFill>
              </w:rPr>
              <w:t>（</w:t>
            </w:r>
            <w:r>
              <w:rPr>
                <w:rFonts w:hint="default" w:ascii="Arial" w:hAnsi="Arial" w:eastAsia="宋体" w:cs="Arial"/>
                <w:bCs/>
                <w:color w:val="000000" w:themeColor="text1"/>
                <w:szCs w:val="21"/>
                <w:lang w:val="en-US" w:eastAsia="zh-CN"/>
                <w14:textFill>
                  <w14:solidFill>
                    <w14:schemeClr w14:val="tx1"/>
                  </w14:solidFill>
                </w14:textFill>
              </w:rPr>
              <w:t>台</w:t>
            </w:r>
            <w:r>
              <w:rPr>
                <w:rFonts w:hint="default" w:ascii="Arial" w:hAnsi="Arial" w:eastAsia="宋体" w:cs="Arial"/>
                <w:bCs/>
                <w:color w:val="000000" w:themeColor="text1"/>
                <w:szCs w:val="21"/>
                <w:lang w:eastAsia="zh-CN"/>
                <w14:textFill>
                  <w14:solidFill>
                    <w14:schemeClr w14:val="tx1"/>
                  </w14:solidFill>
                </w14:textFill>
              </w:rPr>
              <w:t>）</w:t>
            </w:r>
          </w:p>
        </w:tc>
        <w:tc>
          <w:tcPr>
            <w:tcW w:w="723" w:type="pct"/>
            <w:shd w:val="clear" w:color="auto" w:fill="auto"/>
            <w:vAlign w:val="center"/>
          </w:tcPr>
          <w:p w14:paraId="327BE9CA">
            <w:pPr>
              <w:widowControl/>
              <w:jc w:val="center"/>
              <w:rPr>
                <w:rFonts w:hint="default" w:ascii="Arial" w:hAnsi="Arial" w:eastAsia="宋体" w:cs="Arial"/>
                <w:bCs/>
                <w:color w:val="000000" w:themeColor="text1"/>
                <w:szCs w:val="21"/>
                <w:lang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技改后</w:t>
            </w:r>
            <w:r>
              <w:rPr>
                <w:rFonts w:hint="default" w:ascii="Arial" w:hAnsi="Arial" w:eastAsia="宋体" w:cs="Arial"/>
                <w:bCs/>
                <w:color w:val="000000" w:themeColor="text1"/>
                <w:szCs w:val="21"/>
                <w14:textFill>
                  <w14:solidFill>
                    <w14:schemeClr w14:val="tx1"/>
                  </w14:solidFill>
                </w14:textFill>
              </w:rPr>
              <w:t>数量</w:t>
            </w:r>
            <w:r>
              <w:rPr>
                <w:rFonts w:hint="default" w:ascii="Arial" w:hAnsi="Arial" w:eastAsia="宋体" w:cs="Arial"/>
                <w:bCs/>
                <w:color w:val="000000" w:themeColor="text1"/>
                <w:szCs w:val="21"/>
                <w:lang w:eastAsia="zh-CN"/>
                <w14:textFill>
                  <w14:solidFill>
                    <w14:schemeClr w14:val="tx1"/>
                  </w14:solidFill>
                </w14:textFill>
              </w:rPr>
              <w:t>（</w:t>
            </w:r>
            <w:r>
              <w:rPr>
                <w:rFonts w:hint="default" w:ascii="Arial" w:hAnsi="Arial" w:eastAsia="宋体" w:cs="Arial"/>
                <w:bCs/>
                <w:color w:val="000000" w:themeColor="text1"/>
                <w:szCs w:val="21"/>
                <w:lang w:val="en-US" w:eastAsia="zh-CN"/>
                <w14:textFill>
                  <w14:solidFill>
                    <w14:schemeClr w14:val="tx1"/>
                  </w14:solidFill>
                </w14:textFill>
              </w:rPr>
              <w:t>台</w:t>
            </w:r>
            <w:r>
              <w:rPr>
                <w:rFonts w:hint="default" w:ascii="Arial" w:hAnsi="Arial" w:eastAsia="宋体" w:cs="Arial"/>
                <w:bCs/>
                <w:color w:val="000000" w:themeColor="text1"/>
                <w:szCs w:val="21"/>
                <w:lang w:eastAsia="zh-CN"/>
                <w14:textFill>
                  <w14:solidFill>
                    <w14:schemeClr w14:val="tx1"/>
                  </w14:solidFill>
                </w14:textFill>
              </w:rPr>
              <w:t>）</w:t>
            </w:r>
          </w:p>
        </w:tc>
        <w:tc>
          <w:tcPr>
            <w:tcW w:w="759" w:type="pct"/>
            <w:vAlign w:val="center"/>
          </w:tcPr>
          <w:p w14:paraId="166DBA3A">
            <w:pPr>
              <w:widowControl/>
              <w:jc w:val="center"/>
              <w:rPr>
                <w:rFonts w:hint="default" w:ascii="Arial" w:hAnsi="Arial" w:eastAsia="宋体" w:cs="Arial"/>
                <w:bCs/>
                <w:color w:val="000000" w:themeColor="text1"/>
                <w:szCs w:val="21"/>
                <w14:textFill>
                  <w14:solidFill>
                    <w14:schemeClr w14:val="tx1"/>
                  </w14:solidFill>
                </w14:textFill>
              </w:rPr>
            </w:pPr>
            <w:r>
              <w:rPr>
                <w:rFonts w:hint="default" w:ascii="Arial" w:hAnsi="Arial" w:eastAsia="宋体" w:cs="Arial"/>
                <w:bCs/>
                <w:color w:val="000000" w:themeColor="text1"/>
                <w:szCs w:val="21"/>
                <w14:textFill>
                  <w14:solidFill>
                    <w14:schemeClr w14:val="tx1"/>
                  </w14:solidFill>
                </w14:textFill>
              </w:rPr>
              <w:t>备注</w:t>
            </w:r>
          </w:p>
        </w:tc>
      </w:tr>
      <w:tr w14:paraId="711B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vAlign w:val="center"/>
          </w:tcPr>
          <w:p w14:paraId="50E79113">
            <w:pPr>
              <w:keepNext w:val="0"/>
              <w:keepLines w:val="0"/>
              <w:widowControl/>
              <w:suppressLineNumbers w:val="0"/>
              <w:jc w:val="center"/>
              <w:textAlignment w:val="center"/>
              <w:rPr>
                <w:rFonts w:hint="default" w:ascii="Arial" w:hAnsi="Arial" w:eastAsia="宋体" w:cs="Arial"/>
                <w:bCs/>
                <w:color w:val="000000" w:themeColor="text1"/>
                <w:szCs w:val="21"/>
                <w14:textFill>
                  <w14:solidFill>
                    <w14:schemeClr w14:val="tx1"/>
                  </w14:solidFill>
                </w14:textFill>
              </w:rPr>
            </w:pPr>
            <w:r>
              <w:rPr>
                <w:rFonts w:hint="default" w:ascii="Arial" w:hAnsi="Arial" w:eastAsia="宋体" w:cs="Arial"/>
                <w:i w:val="0"/>
                <w:iCs w:val="0"/>
                <w:color w:val="000000" w:themeColor="text1"/>
                <w:kern w:val="0"/>
                <w:sz w:val="22"/>
                <w:szCs w:val="22"/>
                <w:u w:val="none"/>
                <w:lang w:val="en-US" w:eastAsia="zh-CN" w:bidi="ar"/>
                <w14:textFill>
                  <w14:solidFill>
                    <w14:schemeClr w14:val="tx1"/>
                  </w14:solidFill>
                </w14:textFill>
              </w:rPr>
              <w:t>1</w:t>
            </w:r>
          </w:p>
        </w:tc>
        <w:tc>
          <w:tcPr>
            <w:tcW w:w="1576" w:type="pct"/>
            <w:shd w:val="clear" w:color="auto" w:fill="auto"/>
            <w:vAlign w:val="center"/>
          </w:tcPr>
          <w:p w14:paraId="3CB56FF5">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钻床</w:t>
            </w:r>
          </w:p>
        </w:tc>
        <w:tc>
          <w:tcPr>
            <w:tcW w:w="796" w:type="pct"/>
            <w:shd w:val="clear" w:color="auto" w:fill="auto"/>
            <w:vAlign w:val="center"/>
          </w:tcPr>
          <w:p w14:paraId="474A30F5">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0</w:t>
            </w:r>
          </w:p>
        </w:tc>
        <w:tc>
          <w:tcPr>
            <w:tcW w:w="741" w:type="pct"/>
            <w:shd w:val="clear" w:color="auto" w:fill="auto"/>
            <w:vAlign w:val="center"/>
          </w:tcPr>
          <w:p w14:paraId="770549E0">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15</w:t>
            </w:r>
          </w:p>
        </w:tc>
        <w:tc>
          <w:tcPr>
            <w:tcW w:w="723" w:type="pct"/>
            <w:shd w:val="clear" w:color="auto" w:fill="auto"/>
            <w:vAlign w:val="center"/>
          </w:tcPr>
          <w:p w14:paraId="1FA9F4B7">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w:t>
            </w:r>
          </w:p>
        </w:tc>
        <w:tc>
          <w:tcPr>
            <w:tcW w:w="759" w:type="pct"/>
            <w:shd w:val="clear" w:color="auto" w:fill="auto"/>
            <w:vAlign w:val="center"/>
          </w:tcPr>
          <w:p w14:paraId="4262E0AA">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w:t>
            </w:r>
          </w:p>
        </w:tc>
      </w:tr>
      <w:tr w14:paraId="4177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vAlign w:val="center"/>
          </w:tcPr>
          <w:p w14:paraId="037E06BA">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2"/>
                <w:szCs w:val="22"/>
                <w:u w:val="none"/>
                <w:lang w:val="en-US" w:eastAsia="zh-CN" w:bidi="ar"/>
                <w14:textFill>
                  <w14:solidFill>
                    <w14:schemeClr w14:val="tx1"/>
                  </w14:solidFill>
                </w14:textFill>
              </w:rPr>
              <w:t>2</w:t>
            </w:r>
          </w:p>
        </w:tc>
        <w:tc>
          <w:tcPr>
            <w:tcW w:w="1576" w:type="pct"/>
            <w:shd w:val="clear" w:color="auto" w:fill="auto"/>
            <w:vAlign w:val="center"/>
          </w:tcPr>
          <w:p w14:paraId="1E0B2BA5">
            <w:pPr>
              <w:keepNext w:val="0"/>
              <w:keepLines w:val="0"/>
              <w:widowControl/>
              <w:suppressLineNumbers w:val="0"/>
              <w:jc w:val="center"/>
              <w:textAlignment w:val="cente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eastAsia="宋体" w:cs="Arial"/>
                <w:i w:val="0"/>
                <w:iCs w:val="0"/>
                <w:color w:val="000000" w:themeColor="text1"/>
                <w:kern w:val="0"/>
                <w:sz w:val="20"/>
                <w:szCs w:val="20"/>
                <w:u w:val="none"/>
                <w:lang w:val="en-US" w:eastAsia="zh-CN" w:bidi="ar"/>
                <w14:textFill>
                  <w14:solidFill>
                    <w14:schemeClr w14:val="tx1"/>
                  </w14:solidFill>
                </w14:textFill>
              </w:rPr>
              <w:t>走心机</w:t>
            </w:r>
          </w:p>
        </w:tc>
        <w:tc>
          <w:tcPr>
            <w:tcW w:w="796" w:type="pct"/>
            <w:shd w:val="clear" w:color="auto" w:fill="auto"/>
            <w:vAlign w:val="center"/>
          </w:tcPr>
          <w:p w14:paraId="479C8B22">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eastAsia" w:ascii="Arial" w:hAnsi="Arial" w:eastAsia="宋体" w:cs="Arial"/>
                <w:bCs/>
                <w:color w:val="000000" w:themeColor="text1"/>
                <w:kern w:val="2"/>
                <w:sz w:val="21"/>
                <w:szCs w:val="21"/>
                <w:lang w:val="en-US" w:eastAsia="zh-CN" w:bidi="ar-SA"/>
                <w14:textFill>
                  <w14:solidFill>
                    <w14:schemeClr w14:val="tx1"/>
                  </w14:solidFill>
                </w14:textFill>
              </w:rPr>
              <w:t>0</w:t>
            </w:r>
          </w:p>
        </w:tc>
        <w:tc>
          <w:tcPr>
            <w:tcW w:w="741" w:type="pct"/>
            <w:shd w:val="clear" w:color="auto" w:fill="auto"/>
            <w:vAlign w:val="center"/>
          </w:tcPr>
          <w:p w14:paraId="54251283">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eastAsia" w:ascii="Arial" w:hAnsi="Arial" w:eastAsia="宋体" w:cs="Arial"/>
                <w:bCs/>
                <w:color w:val="000000" w:themeColor="text1"/>
                <w:szCs w:val="21"/>
                <w:lang w:val="en-US" w:eastAsia="zh-CN"/>
                <w14:textFill>
                  <w14:solidFill>
                    <w14:schemeClr w14:val="tx1"/>
                  </w14:solidFill>
                </w14:textFill>
              </w:rPr>
              <w:t>12</w:t>
            </w:r>
          </w:p>
        </w:tc>
        <w:tc>
          <w:tcPr>
            <w:tcW w:w="723" w:type="pct"/>
            <w:shd w:val="clear" w:color="auto" w:fill="auto"/>
            <w:vAlign w:val="center"/>
          </w:tcPr>
          <w:p w14:paraId="09E5C835">
            <w:pPr>
              <w:keepNext w:val="0"/>
              <w:keepLines w:val="0"/>
              <w:widowControl/>
              <w:suppressLineNumbers w:val="0"/>
              <w:jc w:val="center"/>
              <w:textAlignment w:val="cente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pPr>
            <w:r>
              <w:rPr>
                <w:rFonts w:hint="eastAsia" w:ascii="Arial" w:hAnsi="Arial" w:eastAsia="宋体" w:cs="Arial"/>
                <w:i w:val="0"/>
                <w:iCs w:val="0"/>
                <w:color w:val="000000" w:themeColor="text1"/>
                <w:kern w:val="0"/>
                <w:sz w:val="20"/>
                <w:szCs w:val="20"/>
                <w:u w:val="none"/>
                <w:lang w:val="en-US" w:eastAsia="zh-CN" w:bidi="ar"/>
                <w14:textFill>
                  <w14:solidFill>
                    <w14:schemeClr w14:val="tx1"/>
                  </w14:solidFill>
                </w14:textFill>
              </w:rPr>
              <w:t>12</w:t>
            </w:r>
          </w:p>
        </w:tc>
        <w:tc>
          <w:tcPr>
            <w:tcW w:w="759" w:type="pct"/>
            <w:shd w:val="clear" w:color="auto" w:fill="auto"/>
            <w:vAlign w:val="center"/>
          </w:tcPr>
          <w:p w14:paraId="389ABC81">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eastAsia" w:ascii="Arial" w:hAnsi="Arial" w:eastAsia="宋体" w:cs="Arial"/>
                <w:bCs/>
                <w:color w:val="000000" w:themeColor="text1"/>
                <w:szCs w:val="21"/>
                <w:lang w:val="en-US" w:eastAsia="zh-CN"/>
                <w14:textFill>
                  <w14:solidFill>
                    <w14:schemeClr w14:val="tx1"/>
                  </w14:solidFill>
                </w14:textFill>
              </w:rPr>
              <w:t>/</w:t>
            </w:r>
          </w:p>
        </w:tc>
      </w:tr>
      <w:tr w14:paraId="3CDE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vAlign w:val="center"/>
          </w:tcPr>
          <w:p w14:paraId="45C7CBFC">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2"/>
                <w:szCs w:val="22"/>
                <w:u w:val="none"/>
                <w:lang w:val="en-US" w:eastAsia="zh-CN" w:bidi="ar"/>
                <w14:textFill>
                  <w14:solidFill>
                    <w14:schemeClr w14:val="tx1"/>
                  </w14:solidFill>
                </w14:textFill>
              </w:rPr>
              <w:t>3</w:t>
            </w:r>
          </w:p>
        </w:tc>
        <w:tc>
          <w:tcPr>
            <w:tcW w:w="1576" w:type="pct"/>
            <w:shd w:val="clear" w:color="auto" w:fill="auto"/>
            <w:vAlign w:val="center"/>
          </w:tcPr>
          <w:p w14:paraId="143B2354">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刀塔车床</w:t>
            </w:r>
          </w:p>
        </w:tc>
        <w:tc>
          <w:tcPr>
            <w:tcW w:w="796" w:type="pct"/>
            <w:shd w:val="clear" w:color="auto" w:fill="auto"/>
            <w:vAlign w:val="center"/>
          </w:tcPr>
          <w:p w14:paraId="2132C0D1">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0</w:t>
            </w:r>
          </w:p>
        </w:tc>
        <w:tc>
          <w:tcPr>
            <w:tcW w:w="741" w:type="pct"/>
            <w:shd w:val="clear" w:color="auto" w:fill="auto"/>
            <w:vAlign w:val="center"/>
          </w:tcPr>
          <w:p w14:paraId="4183FAD4">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15</w:t>
            </w:r>
          </w:p>
        </w:tc>
        <w:tc>
          <w:tcPr>
            <w:tcW w:w="723" w:type="pct"/>
            <w:shd w:val="clear" w:color="auto" w:fill="auto"/>
            <w:vAlign w:val="center"/>
          </w:tcPr>
          <w:p w14:paraId="27FFBE56">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15</w:t>
            </w:r>
          </w:p>
        </w:tc>
        <w:tc>
          <w:tcPr>
            <w:tcW w:w="759" w:type="pct"/>
            <w:shd w:val="clear" w:color="auto" w:fill="auto"/>
            <w:vAlign w:val="center"/>
          </w:tcPr>
          <w:p w14:paraId="2D8304E9">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w:t>
            </w:r>
          </w:p>
        </w:tc>
      </w:tr>
      <w:tr w14:paraId="2CC9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vAlign w:val="center"/>
          </w:tcPr>
          <w:p w14:paraId="2053B3C3">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2"/>
                <w:szCs w:val="22"/>
                <w:u w:val="none"/>
                <w:lang w:val="en-US" w:eastAsia="zh-CN" w:bidi="ar"/>
                <w14:textFill>
                  <w14:solidFill>
                    <w14:schemeClr w14:val="tx1"/>
                  </w14:solidFill>
                </w14:textFill>
              </w:rPr>
              <w:t>4</w:t>
            </w:r>
          </w:p>
        </w:tc>
        <w:tc>
          <w:tcPr>
            <w:tcW w:w="1576" w:type="pct"/>
            <w:shd w:val="clear" w:color="auto" w:fill="auto"/>
            <w:vAlign w:val="center"/>
          </w:tcPr>
          <w:p w14:paraId="16E6A66F">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数控车床</w:t>
            </w:r>
          </w:p>
        </w:tc>
        <w:tc>
          <w:tcPr>
            <w:tcW w:w="796" w:type="pct"/>
            <w:shd w:val="clear" w:color="auto" w:fill="auto"/>
            <w:vAlign w:val="center"/>
          </w:tcPr>
          <w:p w14:paraId="70286EA2">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2</w:t>
            </w:r>
            <w:r>
              <w:rPr>
                <w:rFonts w:hint="eastAsia" w:ascii="Arial" w:hAnsi="Arial" w:eastAsia="宋体" w:cs="Arial"/>
                <w:bCs/>
                <w:color w:val="000000" w:themeColor="text1"/>
                <w:kern w:val="2"/>
                <w:sz w:val="21"/>
                <w:szCs w:val="21"/>
                <w:lang w:val="en-US" w:eastAsia="zh-CN" w:bidi="ar-SA"/>
                <w14:textFill>
                  <w14:solidFill>
                    <w14:schemeClr w14:val="tx1"/>
                  </w14:solidFill>
                </w14:textFill>
              </w:rPr>
              <w:t>5</w:t>
            </w:r>
          </w:p>
        </w:tc>
        <w:tc>
          <w:tcPr>
            <w:tcW w:w="741" w:type="pct"/>
            <w:shd w:val="clear" w:color="auto" w:fill="auto"/>
            <w:vAlign w:val="center"/>
          </w:tcPr>
          <w:p w14:paraId="263AB782">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3</w:t>
            </w:r>
            <w:r>
              <w:rPr>
                <w:rFonts w:hint="eastAsia" w:ascii="Arial" w:hAnsi="Arial" w:eastAsia="宋体" w:cs="Arial"/>
                <w:bCs/>
                <w:color w:val="000000" w:themeColor="text1"/>
                <w:szCs w:val="21"/>
                <w:lang w:val="en-US" w:eastAsia="zh-CN"/>
                <w14:textFill>
                  <w14:solidFill>
                    <w14:schemeClr w14:val="tx1"/>
                  </w14:solidFill>
                </w14:textFill>
              </w:rPr>
              <w:t>3</w:t>
            </w:r>
          </w:p>
        </w:tc>
        <w:tc>
          <w:tcPr>
            <w:tcW w:w="723" w:type="pct"/>
            <w:shd w:val="clear" w:color="auto" w:fill="auto"/>
            <w:vAlign w:val="center"/>
          </w:tcPr>
          <w:p w14:paraId="00DE7DDF">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58</w:t>
            </w:r>
          </w:p>
        </w:tc>
        <w:tc>
          <w:tcPr>
            <w:tcW w:w="759" w:type="pct"/>
            <w:shd w:val="clear" w:color="auto" w:fill="auto"/>
            <w:vAlign w:val="center"/>
          </w:tcPr>
          <w:p w14:paraId="5B226D7D">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w:t>
            </w:r>
          </w:p>
        </w:tc>
      </w:tr>
      <w:tr w14:paraId="5E63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vAlign w:val="center"/>
          </w:tcPr>
          <w:p w14:paraId="76E3420A">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2"/>
                <w:szCs w:val="22"/>
                <w:u w:val="none"/>
                <w:lang w:val="en-US" w:eastAsia="zh-CN" w:bidi="ar"/>
                <w14:textFill>
                  <w14:solidFill>
                    <w14:schemeClr w14:val="tx1"/>
                  </w14:solidFill>
                </w14:textFill>
              </w:rPr>
              <w:t>5</w:t>
            </w:r>
          </w:p>
        </w:tc>
        <w:tc>
          <w:tcPr>
            <w:tcW w:w="1576" w:type="pct"/>
            <w:shd w:val="clear" w:color="auto" w:fill="auto"/>
            <w:vAlign w:val="center"/>
          </w:tcPr>
          <w:p w14:paraId="7F754BA0">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车铣复合机床</w:t>
            </w:r>
          </w:p>
        </w:tc>
        <w:tc>
          <w:tcPr>
            <w:tcW w:w="796" w:type="pct"/>
            <w:shd w:val="clear" w:color="auto" w:fill="auto"/>
            <w:vAlign w:val="center"/>
          </w:tcPr>
          <w:p w14:paraId="482EC6BB">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eastAsia" w:ascii="Arial" w:hAnsi="Arial" w:eastAsia="宋体" w:cs="Arial"/>
                <w:bCs/>
                <w:color w:val="000000" w:themeColor="text1"/>
                <w:kern w:val="2"/>
                <w:sz w:val="21"/>
                <w:szCs w:val="21"/>
                <w:lang w:val="en-US" w:eastAsia="zh-CN" w:bidi="ar-SA"/>
                <w14:textFill>
                  <w14:solidFill>
                    <w14:schemeClr w14:val="tx1"/>
                  </w14:solidFill>
                </w14:textFill>
              </w:rPr>
              <w:t>20</w:t>
            </w:r>
          </w:p>
        </w:tc>
        <w:tc>
          <w:tcPr>
            <w:tcW w:w="741" w:type="pct"/>
            <w:shd w:val="clear" w:color="auto" w:fill="auto"/>
            <w:vAlign w:val="center"/>
          </w:tcPr>
          <w:p w14:paraId="3511AEEE">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7</w:t>
            </w:r>
            <w:r>
              <w:rPr>
                <w:rFonts w:hint="eastAsia" w:ascii="Arial" w:hAnsi="Arial" w:eastAsia="宋体" w:cs="Arial"/>
                <w:bCs/>
                <w:color w:val="000000" w:themeColor="text1"/>
                <w:szCs w:val="21"/>
                <w:lang w:val="en-US" w:eastAsia="zh-CN"/>
                <w14:textFill>
                  <w14:solidFill>
                    <w14:schemeClr w14:val="tx1"/>
                  </w14:solidFill>
                </w14:textFill>
              </w:rPr>
              <w:t>0</w:t>
            </w:r>
          </w:p>
        </w:tc>
        <w:tc>
          <w:tcPr>
            <w:tcW w:w="723" w:type="pct"/>
            <w:shd w:val="clear" w:color="auto" w:fill="auto"/>
            <w:vAlign w:val="center"/>
          </w:tcPr>
          <w:p w14:paraId="39558183">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90</w:t>
            </w:r>
          </w:p>
        </w:tc>
        <w:tc>
          <w:tcPr>
            <w:tcW w:w="759" w:type="pct"/>
            <w:vAlign w:val="center"/>
          </w:tcPr>
          <w:p w14:paraId="4C4C2FDB">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w:t>
            </w:r>
          </w:p>
        </w:tc>
      </w:tr>
      <w:tr w14:paraId="0234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vAlign w:val="center"/>
          </w:tcPr>
          <w:p w14:paraId="0AFB4F4C">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2"/>
                <w:szCs w:val="22"/>
                <w:u w:val="none"/>
                <w:lang w:val="en-US" w:eastAsia="zh-CN" w:bidi="ar"/>
                <w14:textFill>
                  <w14:solidFill>
                    <w14:schemeClr w14:val="tx1"/>
                  </w14:solidFill>
                </w14:textFill>
              </w:rPr>
              <w:t>6</w:t>
            </w:r>
          </w:p>
        </w:tc>
        <w:tc>
          <w:tcPr>
            <w:tcW w:w="1576" w:type="pct"/>
            <w:shd w:val="clear" w:color="auto" w:fill="auto"/>
            <w:vAlign w:val="center"/>
          </w:tcPr>
          <w:p w14:paraId="1C565669">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无心磨床</w:t>
            </w:r>
          </w:p>
        </w:tc>
        <w:tc>
          <w:tcPr>
            <w:tcW w:w="796" w:type="pct"/>
            <w:shd w:val="clear" w:color="auto" w:fill="auto"/>
            <w:vAlign w:val="center"/>
          </w:tcPr>
          <w:p w14:paraId="6F71F883">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eastAsia" w:ascii="Arial" w:hAnsi="Arial" w:eastAsia="宋体" w:cs="Arial"/>
                <w:bCs/>
                <w:color w:val="000000" w:themeColor="text1"/>
                <w:kern w:val="2"/>
                <w:sz w:val="21"/>
                <w:szCs w:val="21"/>
                <w:lang w:val="en-US" w:eastAsia="zh-CN" w:bidi="ar-SA"/>
                <w14:textFill>
                  <w14:solidFill>
                    <w14:schemeClr w14:val="tx1"/>
                  </w14:solidFill>
                </w14:textFill>
              </w:rPr>
              <w:t>10</w:t>
            </w:r>
          </w:p>
        </w:tc>
        <w:tc>
          <w:tcPr>
            <w:tcW w:w="741" w:type="pct"/>
            <w:shd w:val="clear" w:color="auto" w:fill="auto"/>
            <w:vAlign w:val="center"/>
          </w:tcPr>
          <w:p w14:paraId="1AAE8970">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1</w:t>
            </w:r>
            <w:r>
              <w:rPr>
                <w:rFonts w:hint="eastAsia" w:ascii="Arial" w:hAnsi="Arial" w:eastAsia="宋体" w:cs="Arial"/>
                <w:bCs/>
                <w:color w:val="000000" w:themeColor="text1"/>
                <w:szCs w:val="21"/>
                <w:lang w:val="en-US" w:eastAsia="zh-CN"/>
                <w14:textFill>
                  <w14:solidFill>
                    <w14:schemeClr w14:val="tx1"/>
                  </w14:solidFill>
                </w14:textFill>
              </w:rPr>
              <w:t>1</w:t>
            </w:r>
          </w:p>
        </w:tc>
        <w:tc>
          <w:tcPr>
            <w:tcW w:w="723" w:type="pct"/>
            <w:shd w:val="clear" w:color="auto" w:fill="auto"/>
            <w:vAlign w:val="center"/>
          </w:tcPr>
          <w:p w14:paraId="417243F1">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21</w:t>
            </w:r>
          </w:p>
        </w:tc>
        <w:tc>
          <w:tcPr>
            <w:tcW w:w="759" w:type="pct"/>
            <w:vAlign w:val="center"/>
          </w:tcPr>
          <w:p w14:paraId="6578DB76">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w:t>
            </w:r>
          </w:p>
        </w:tc>
      </w:tr>
      <w:tr w14:paraId="4D72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vAlign w:val="center"/>
          </w:tcPr>
          <w:p w14:paraId="374783FE">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2"/>
                <w:szCs w:val="22"/>
                <w:u w:val="none"/>
                <w:lang w:val="en-US" w:eastAsia="zh-CN" w:bidi="ar"/>
                <w14:textFill>
                  <w14:solidFill>
                    <w14:schemeClr w14:val="tx1"/>
                  </w14:solidFill>
                </w14:textFill>
              </w:rPr>
              <w:t>7</w:t>
            </w:r>
          </w:p>
        </w:tc>
        <w:tc>
          <w:tcPr>
            <w:tcW w:w="1576" w:type="pct"/>
            <w:shd w:val="clear" w:color="auto" w:fill="auto"/>
            <w:vAlign w:val="center"/>
          </w:tcPr>
          <w:p w14:paraId="2CAD5704">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外圆磨床</w:t>
            </w:r>
          </w:p>
        </w:tc>
        <w:tc>
          <w:tcPr>
            <w:tcW w:w="796" w:type="pct"/>
            <w:shd w:val="clear" w:color="auto" w:fill="auto"/>
            <w:vAlign w:val="center"/>
          </w:tcPr>
          <w:p w14:paraId="46DFC7AF">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0</w:t>
            </w:r>
          </w:p>
        </w:tc>
        <w:tc>
          <w:tcPr>
            <w:tcW w:w="741" w:type="pct"/>
            <w:shd w:val="clear" w:color="auto" w:fill="auto"/>
            <w:vAlign w:val="center"/>
          </w:tcPr>
          <w:p w14:paraId="0B0CDE38">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11</w:t>
            </w:r>
          </w:p>
        </w:tc>
        <w:tc>
          <w:tcPr>
            <w:tcW w:w="723" w:type="pct"/>
            <w:shd w:val="clear" w:color="auto" w:fill="auto"/>
            <w:vAlign w:val="center"/>
          </w:tcPr>
          <w:p w14:paraId="5373E99D">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11</w:t>
            </w:r>
          </w:p>
        </w:tc>
        <w:tc>
          <w:tcPr>
            <w:tcW w:w="759" w:type="pct"/>
            <w:vAlign w:val="center"/>
          </w:tcPr>
          <w:p w14:paraId="4CDA739B">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w:t>
            </w:r>
          </w:p>
        </w:tc>
      </w:tr>
      <w:tr w14:paraId="2625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vAlign w:val="center"/>
          </w:tcPr>
          <w:p w14:paraId="3A96C96E">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2"/>
                <w:szCs w:val="22"/>
                <w:u w:val="none"/>
                <w:lang w:val="en-US" w:eastAsia="zh-CN" w:bidi="ar"/>
                <w14:textFill>
                  <w14:solidFill>
                    <w14:schemeClr w14:val="tx1"/>
                  </w14:solidFill>
                </w14:textFill>
              </w:rPr>
              <w:t>8</w:t>
            </w:r>
          </w:p>
        </w:tc>
        <w:tc>
          <w:tcPr>
            <w:tcW w:w="1576" w:type="pct"/>
            <w:shd w:val="clear" w:color="auto" w:fill="auto"/>
            <w:vAlign w:val="center"/>
          </w:tcPr>
          <w:p w14:paraId="7324C89C">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加工中心</w:t>
            </w:r>
          </w:p>
        </w:tc>
        <w:tc>
          <w:tcPr>
            <w:tcW w:w="796" w:type="pct"/>
            <w:shd w:val="clear" w:color="auto" w:fill="auto"/>
            <w:vAlign w:val="center"/>
          </w:tcPr>
          <w:p w14:paraId="73647A29">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eastAsia" w:ascii="Arial" w:hAnsi="Arial" w:eastAsia="宋体" w:cs="Arial"/>
                <w:bCs/>
                <w:color w:val="000000" w:themeColor="text1"/>
                <w:kern w:val="2"/>
                <w:sz w:val="21"/>
                <w:szCs w:val="21"/>
                <w:lang w:val="en-US" w:eastAsia="zh-CN" w:bidi="ar-SA"/>
                <w14:textFill>
                  <w14:solidFill>
                    <w14:schemeClr w14:val="tx1"/>
                  </w14:solidFill>
                </w14:textFill>
              </w:rPr>
              <w:t>8</w:t>
            </w:r>
          </w:p>
        </w:tc>
        <w:tc>
          <w:tcPr>
            <w:tcW w:w="741" w:type="pct"/>
            <w:shd w:val="clear" w:color="auto" w:fill="auto"/>
            <w:vAlign w:val="center"/>
          </w:tcPr>
          <w:p w14:paraId="529191B7">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eastAsia" w:ascii="Arial" w:hAnsi="Arial" w:eastAsia="宋体" w:cs="Arial"/>
                <w:bCs/>
                <w:color w:val="000000" w:themeColor="text1"/>
                <w:szCs w:val="21"/>
                <w:lang w:val="en-US" w:eastAsia="zh-CN"/>
                <w14:textFill>
                  <w14:solidFill>
                    <w14:schemeClr w14:val="tx1"/>
                  </w14:solidFill>
                </w14:textFill>
              </w:rPr>
              <w:t>2</w:t>
            </w:r>
          </w:p>
        </w:tc>
        <w:tc>
          <w:tcPr>
            <w:tcW w:w="723" w:type="pct"/>
            <w:shd w:val="clear" w:color="auto" w:fill="auto"/>
            <w:vAlign w:val="center"/>
          </w:tcPr>
          <w:p w14:paraId="27154943">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10</w:t>
            </w:r>
          </w:p>
        </w:tc>
        <w:tc>
          <w:tcPr>
            <w:tcW w:w="759" w:type="pct"/>
            <w:vAlign w:val="center"/>
          </w:tcPr>
          <w:p w14:paraId="216A9CE3">
            <w:pPr>
              <w:widowControl/>
              <w:jc w:val="center"/>
              <w:rPr>
                <w:rFonts w:hint="default" w:ascii="Arial" w:hAnsi="Arial" w:eastAsia="宋体" w:cs="Arial"/>
                <w:bCs/>
                <w:color w:val="000000" w:themeColor="text1"/>
                <w:szCs w:val="21"/>
                <w:lang w:val="en-US" w:eastAsia="zh-CN"/>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w:t>
            </w:r>
          </w:p>
        </w:tc>
      </w:tr>
      <w:tr w14:paraId="23B77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4BC8625C">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9</w:t>
            </w:r>
          </w:p>
        </w:tc>
        <w:tc>
          <w:tcPr>
            <w:tcW w:w="1576" w:type="pct"/>
            <w:shd w:val="clear" w:color="auto" w:fill="auto"/>
            <w:noWrap/>
            <w:vAlign w:val="center"/>
          </w:tcPr>
          <w:p w14:paraId="00053AD0">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搓齿机</w:t>
            </w:r>
          </w:p>
        </w:tc>
        <w:tc>
          <w:tcPr>
            <w:tcW w:w="796" w:type="pct"/>
            <w:shd w:val="clear" w:color="auto" w:fill="auto"/>
            <w:noWrap/>
            <w:vAlign w:val="center"/>
          </w:tcPr>
          <w:p w14:paraId="3429AC6B">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0</w:t>
            </w:r>
          </w:p>
        </w:tc>
        <w:tc>
          <w:tcPr>
            <w:tcW w:w="741" w:type="pct"/>
            <w:shd w:val="clear" w:color="auto" w:fill="auto"/>
            <w:noWrap/>
            <w:vAlign w:val="center"/>
          </w:tcPr>
          <w:p w14:paraId="01A37400">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44</w:t>
            </w:r>
          </w:p>
        </w:tc>
        <w:tc>
          <w:tcPr>
            <w:tcW w:w="723" w:type="pct"/>
            <w:shd w:val="clear" w:color="auto" w:fill="auto"/>
            <w:noWrap/>
            <w:vAlign w:val="center"/>
          </w:tcPr>
          <w:p w14:paraId="28201D87">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44</w:t>
            </w:r>
          </w:p>
        </w:tc>
        <w:tc>
          <w:tcPr>
            <w:tcW w:w="759" w:type="pct"/>
            <w:vAlign w:val="center"/>
          </w:tcPr>
          <w:p w14:paraId="60A8874C">
            <w:pPr>
              <w:widowControl/>
              <w:jc w:val="center"/>
              <w:rPr>
                <w:rFonts w:hint="default" w:ascii="Arial" w:hAnsi="Arial" w:eastAsia="宋体" w:cs="Arial"/>
                <w:bCs/>
                <w:color w:val="000000" w:themeColor="text1"/>
                <w:szCs w:val="21"/>
                <w14:textFill>
                  <w14:solidFill>
                    <w14:schemeClr w14:val="tx1"/>
                  </w14:solidFill>
                </w14:textFill>
              </w:rPr>
            </w:pPr>
            <w:r>
              <w:rPr>
                <w:rFonts w:hint="default" w:ascii="Arial" w:hAnsi="Arial" w:eastAsia="宋体" w:cs="Arial"/>
                <w:bCs/>
                <w:color w:val="000000" w:themeColor="text1"/>
                <w:szCs w:val="21"/>
                <w:lang w:val="en-US" w:eastAsia="zh-CN"/>
                <w14:textFill>
                  <w14:solidFill>
                    <w14:schemeClr w14:val="tx1"/>
                  </w14:solidFill>
                </w14:textFill>
              </w:rPr>
              <w:t>/</w:t>
            </w:r>
          </w:p>
        </w:tc>
      </w:tr>
      <w:tr w14:paraId="6C82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553114D3">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10</w:t>
            </w:r>
          </w:p>
        </w:tc>
        <w:tc>
          <w:tcPr>
            <w:tcW w:w="1576" w:type="pct"/>
            <w:shd w:val="clear" w:color="auto" w:fill="auto"/>
            <w:noWrap/>
            <w:vAlign w:val="center"/>
          </w:tcPr>
          <w:p w14:paraId="6EEAA1B8">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滚齿机</w:t>
            </w:r>
          </w:p>
        </w:tc>
        <w:tc>
          <w:tcPr>
            <w:tcW w:w="796" w:type="pct"/>
            <w:shd w:val="clear" w:color="auto" w:fill="auto"/>
            <w:noWrap/>
            <w:vAlign w:val="center"/>
          </w:tcPr>
          <w:p w14:paraId="55A33FAC">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6CF03E23">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15</w:t>
            </w:r>
          </w:p>
        </w:tc>
        <w:tc>
          <w:tcPr>
            <w:tcW w:w="723" w:type="pct"/>
            <w:shd w:val="clear" w:color="auto" w:fill="auto"/>
            <w:noWrap/>
            <w:vAlign w:val="center"/>
          </w:tcPr>
          <w:p w14:paraId="3AA847B1">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15</w:t>
            </w:r>
          </w:p>
        </w:tc>
        <w:tc>
          <w:tcPr>
            <w:tcW w:w="759" w:type="pct"/>
            <w:vAlign w:val="center"/>
          </w:tcPr>
          <w:p w14:paraId="62FB0DAB">
            <w:pPr>
              <w:widowControl/>
              <w:jc w:val="center"/>
              <w:rPr>
                <w:rFonts w:hint="default" w:ascii="Arial" w:hAnsi="Arial" w:eastAsia="宋体" w:cs="Arial"/>
                <w:bCs/>
                <w:szCs w:val="21"/>
              </w:rPr>
            </w:pPr>
            <w:r>
              <w:rPr>
                <w:rFonts w:hint="default" w:ascii="Arial" w:hAnsi="Arial" w:eastAsia="宋体" w:cs="Arial"/>
                <w:bCs/>
                <w:szCs w:val="21"/>
                <w:lang w:val="en-US" w:eastAsia="zh-CN"/>
              </w:rPr>
              <w:t>/</w:t>
            </w:r>
          </w:p>
        </w:tc>
      </w:tr>
      <w:tr w14:paraId="1B0A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650D4FCF">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11</w:t>
            </w:r>
          </w:p>
        </w:tc>
        <w:tc>
          <w:tcPr>
            <w:tcW w:w="1576" w:type="pct"/>
            <w:shd w:val="clear" w:color="auto" w:fill="auto"/>
            <w:noWrap/>
            <w:vAlign w:val="center"/>
          </w:tcPr>
          <w:p w14:paraId="6B6D3C8E">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皮带式退磁机</w:t>
            </w:r>
          </w:p>
        </w:tc>
        <w:tc>
          <w:tcPr>
            <w:tcW w:w="796" w:type="pct"/>
            <w:shd w:val="clear" w:color="auto" w:fill="auto"/>
            <w:noWrap/>
            <w:vAlign w:val="center"/>
          </w:tcPr>
          <w:p w14:paraId="19B87097">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4DECFBCA">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23" w:type="pct"/>
            <w:shd w:val="clear" w:color="auto" w:fill="auto"/>
            <w:noWrap/>
            <w:vAlign w:val="center"/>
          </w:tcPr>
          <w:p w14:paraId="3D33B203">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59" w:type="pct"/>
            <w:shd w:val="clear" w:color="auto" w:fill="auto"/>
            <w:vAlign w:val="center"/>
          </w:tcPr>
          <w:p w14:paraId="2C69D908">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w:t>
            </w:r>
          </w:p>
        </w:tc>
      </w:tr>
      <w:tr w14:paraId="0044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05F3FCF1">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12</w:t>
            </w:r>
          </w:p>
        </w:tc>
        <w:tc>
          <w:tcPr>
            <w:tcW w:w="1576" w:type="pct"/>
            <w:shd w:val="clear" w:color="auto" w:fill="auto"/>
            <w:noWrap/>
            <w:vAlign w:val="center"/>
          </w:tcPr>
          <w:p w14:paraId="1E793F3F">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磁粉探伤机</w:t>
            </w:r>
          </w:p>
        </w:tc>
        <w:tc>
          <w:tcPr>
            <w:tcW w:w="796" w:type="pct"/>
            <w:shd w:val="clear" w:color="auto" w:fill="auto"/>
            <w:noWrap/>
            <w:vAlign w:val="center"/>
          </w:tcPr>
          <w:p w14:paraId="1B43D54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4B4B7F3C">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5</w:t>
            </w:r>
          </w:p>
        </w:tc>
        <w:tc>
          <w:tcPr>
            <w:tcW w:w="723" w:type="pct"/>
            <w:shd w:val="clear" w:color="auto" w:fill="auto"/>
            <w:noWrap/>
            <w:vAlign w:val="center"/>
          </w:tcPr>
          <w:p w14:paraId="1A983D10">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5</w:t>
            </w:r>
          </w:p>
        </w:tc>
        <w:tc>
          <w:tcPr>
            <w:tcW w:w="759" w:type="pct"/>
            <w:shd w:val="clear" w:color="auto" w:fill="auto"/>
            <w:vAlign w:val="center"/>
          </w:tcPr>
          <w:p w14:paraId="015E2E30">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w:t>
            </w:r>
          </w:p>
        </w:tc>
      </w:tr>
      <w:tr w14:paraId="4C2A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0814BF1A">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13</w:t>
            </w:r>
          </w:p>
        </w:tc>
        <w:tc>
          <w:tcPr>
            <w:tcW w:w="1576" w:type="pct"/>
            <w:shd w:val="clear" w:color="auto" w:fill="auto"/>
            <w:noWrap/>
            <w:vAlign w:val="center"/>
          </w:tcPr>
          <w:p w14:paraId="48FD53A2">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分度盘影像筛选机</w:t>
            </w:r>
          </w:p>
        </w:tc>
        <w:tc>
          <w:tcPr>
            <w:tcW w:w="796" w:type="pct"/>
            <w:shd w:val="clear" w:color="auto" w:fill="auto"/>
            <w:noWrap/>
            <w:vAlign w:val="center"/>
          </w:tcPr>
          <w:p w14:paraId="70D79301">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788252EA">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23" w:type="pct"/>
            <w:shd w:val="clear" w:color="auto" w:fill="auto"/>
            <w:noWrap/>
            <w:vAlign w:val="center"/>
          </w:tcPr>
          <w:p w14:paraId="2B6BFBA5">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59" w:type="pct"/>
            <w:shd w:val="clear" w:color="auto" w:fill="auto"/>
            <w:vAlign w:val="center"/>
          </w:tcPr>
          <w:p w14:paraId="1A521AEA">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w:t>
            </w:r>
          </w:p>
        </w:tc>
      </w:tr>
      <w:tr w14:paraId="05D2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01989D87">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14</w:t>
            </w:r>
          </w:p>
        </w:tc>
        <w:tc>
          <w:tcPr>
            <w:tcW w:w="1576" w:type="pct"/>
            <w:shd w:val="clear" w:color="auto" w:fill="auto"/>
            <w:noWrap/>
            <w:vAlign w:val="center"/>
          </w:tcPr>
          <w:p w14:paraId="381324B9">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螺纹综合测量机</w:t>
            </w:r>
          </w:p>
        </w:tc>
        <w:tc>
          <w:tcPr>
            <w:tcW w:w="796" w:type="pct"/>
            <w:shd w:val="clear" w:color="auto" w:fill="auto"/>
            <w:noWrap/>
            <w:vAlign w:val="center"/>
          </w:tcPr>
          <w:p w14:paraId="1F5ED30F">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1780DCA9">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23" w:type="pct"/>
            <w:shd w:val="clear" w:color="auto" w:fill="auto"/>
            <w:noWrap/>
            <w:vAlign w:val="center"/>
          </w:tcPr>
          <w:p w14:paraId="52F7C346">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59" w:type="pct"/>
            <w:shd w:val="clear" w:color="auto" w:fill="auto"/>
            <w:vAlign w:val="center"/>
          </w:tcPr>
          <w:p w14:paraId="489DBBA7">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w:t>
            </w:r>
          </w:p>
        </w:tc>
      </w:tr>
      <w:tr w14:paraId="38C0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4B53560">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15</w:t>
            </w:r>
          </w:p>
        </w:tc>
        <w:tc>
          <w:tcPr>
            <w:tcW w:w="1576" w:type="pct"/>
            <w:shd w:val="clear" w:color="auto" w:fill="auto"/>
            <w:noWrap/>
            <w:vAlign w:val="center"/>
          </w:tcPr>
          <w:p w14:paraId="581C460D">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螺杆空压机</w:t>
            </w:r>
          </w:p>
        </w:tc>
        <w:tc>
          <w:tcPr>
            <w:tcW w:w="796" w:type="pct"/>
            <w:shd w:val="clear" w:color="auto" w:fill="auto"/>
            <w:noWrap/>
            <w:vAlign w:val="center"/>
          </w:tcPr>
          <w:p w14:paraId="115B710B">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23008164">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3</w:t>
            </w:r>
          </w:p>
        </w:tc>
        <w:tc>
          <w:tcPr>
            <w:tcW w:w="723" w:type="pct"/>
            <w:shd w:val="clear" w:color="auto" w:fill="auto"/>
            <w:noWrap/>
            <w:vAlign w:val="center"/>
          </w:tcPr>
          <w:p w14:paraId="0D242E79">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3</w:t>
            </w:r>
          </w:p>
        </w:tc>
        <w:tc>
          <w:tcPr>
            <w:tcW w:w="759" w:type="pct"/>
            <w:shd w:val="clear" w:color="auto" w:fill="auto"/>
            <w:vAlign w:val="center"/>
          </w:tcPr>
          <w:p w14:paraId="28163364">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w:t>
            </w:r>
          </w:p>
        </w:tc>
      </w:tr>
      <w:tr w14:paraId="3D95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8FE0EEA">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16</w:t>
            </w:r>
          </w:p>
        </w:tc>
        <w:tc>
          <w:tcPr>
            <w:tcW w:w="1576" w:type="pct"/>
            <w:shd w:val="clear" w:color="auto" w:fill="auto"/>
            <w:noWrap/>
            <w:vAlign w:val="center"/>
          </w:tcPr>
          <w:p w14:paraId="48B5A9D9">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六工位转盘式感应淬火回火成套设备</w:t>
            </w:r>
          </w:p>
        </w:tc>
        <w:tc>
          <w:tcPr>
            <w:tcW w:w="796" w:type="pct"/>
            <w:shd w:val="clear" w:color="auto" w:fill="auto"/>
            <w:noWrap/>
            <w:vAlign w:val="center"/>
          </w:tcPr>
          <w:p w14:paraId="60559631">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0</w:t>
            </w:r>
          </w:p>
        </w:tc>
        <w:tc>
          <w:tcPr>
            <w:tcW w:w="741" w:type="pct"/>
            <w:shd w:val="clear" w:color="auto" w:fill="auto"/>
            <w:noWrap/>
            <w:vAlign w:val="center"/>
          </w:tcPr>
          <w:p w14:paraId="53E51B7B">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23" w:type="pct"/>
            <w:shd w:val="clear" w:color="auto" w:fill="auto"/>
            <w:noWrap/>
            <w:vAlign w:val="center"/>
          </w:tcPr>
          <w:p w14:paraId="5CB8A0B2">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59" w:type="pct"/>
            <w:shd w:val="clear" w:color="auto" w:fill="auto"/>
            <w:vAlign w:val="center"/>
          </w:tcPr>
          <w:p w14:paraId="5F5FE4FC">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电加热</w:t>
            </w:r>
          </w:p>
        </w:tc>
      </w:tr>
      <w:tr w14:paraId="6419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04F35771">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17</w:t>
            </w:r>
          </w:p>
        </w:tc>
        <w:tc>
          <w:tcPr>
            <w:tcW w:w="1576" w:type="pct"/>
            <w:shd w:val="clear" w:color="auto" w:fill="auto"/>
            <w:noWrap/>
            <w:vAlign w:val="center"/>
          </w:tcPr>
          <w:p w14:paraId="2E066D0B">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退火设备</w:t>
            </w:r>
          </w:p>
        </w:tc>
        <w:tc>
          <w:tcPr>
            <w:tcW w:w="796" w:type="pct"/>
            <w:shd w:val="clear" w:color="auto" w:fill="auto"/>
            <w:noWrap/>
            <w:vAlign w:val="center"/>
          </w:tcPr>
          <w:p w14:paraId="122D3435">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1</w:t>
            </w:r>
          </w:p>
        </w:tc>
        <w:tc>
          <w:tcPr>
            <w:tcW w:w="741" w:type="pct"/>
            <w:shd w:val="clear" w:color="auto" w:fill="auto"/>
            <w:noWrap/>
            <w:vAlign w:val="center"/>
          </w:tcPr>
          <w:p w14:paraId="498D16FD">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4</w:t>
            </w:r>
          </w:p>
        </w:tc>
        <w:tc>
          <w:tcPr>
            <w:tcW w:w="723" w:type="pct"/>
            <w:shd w:val="clear" w:color="auto" w:fill="auto"/>
            <w:noWrap/>
            <w:vAlign w:val="center"/>
          </w:tcPr>
          <w:p w14:paraId="3330C998">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5</w:t>
            </w:r>
          </w:p>
        </w:tc>
        <w:tc>
          <w:tcPr>
            <w:tcW w:w="759" w:type="pct"/>
            <w:shd w:val="clear" w:color="auto" w:fill="auto"/>
            <w:vAlign w:val="center"/>
          </w:tcPr>
          <w:p w14:paraId="0D1F9610">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电加热</w:t>
            </w:r>
          </w:p>
        </w:tc>
      </w:tr>
      <w:tr w14:paraId="30B7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1C8ADEFA">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18</w:t>
            </w:r>
          </w:p>
        </w:tc>
        <w:tc>
          <w:tcPr>
            <w:tcW w:w="1576" w:type="pct"/>
            <w:shd w:val="clear" w:color="auto" w:fill="auto"/>
            <w:noWrap/>
            <w:vAlign w:val="center"/>
          </w:tcPr>
          <w:p w14:paraId="5A1ADAA2">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i w:val="0"/>
                <w:iCs w:val="0"/>
                <w:color w:val="000000" w:themeColor="text1"/>
                <w:kern w:val="0"/>
                <w:sz w:val="20"/>
                <w:szCs w:val="20"/>
                <w:u w:val="none"/>
                <w:lang w:val="en-US" w:eastAsia="zh-CN" w:bidi="ar"/>
                <w14:textFill>
                  <w14:solidFill>
                    <w14:schemeClr w14:val="tx1"/>
                  </w14:solidFill>
                </w14:textFill>
              </w:rPr>
              <w:t>切削液精过滤装置</w:t>
            </w:r>
          </w:p>
        </w:tc>
        <w:tc>
          <w:tcPr>
            <w:tcW w:w="796" w:type="pct"/>
            <w:shd w:val="clear" w:color="auto" w:fill="auto"/>
            <w:noWrap/>
            <w:vAlign w:val="center"/>
          </w:tcPr>
          <w:p w14:paraId="331626BB">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0</w:t>
            </w:r>
          </w:p>
        </w:tc>
        <w:tc>
          <w:tcPr>
            <w:tcW w:w="741" w:type="pct"/>
            <w:shd w:val="clear" w:color="auto" w:fill="auto"/>
            <w:noWrap/>
            <w:vAlign w:val="center"/>
          </w:tcPr>
          <w:p w14:paraId="2E51EF70">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23" w:type="pct"/>
            <w:shd w:val="clear" w:color="auto" w:fill="auto"/>
            <w:noWrap/>
            <w:vAlign w:val="center"/>
          </w:tcPr>
          <w:p w14:paraId="6861B16D">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59" w:type="pct"/>
            <w:shd w:val="clear" w:color="auto" w:fill="auto"/>
            <w:vAlign w:val="center"/>
          </w:tcPr>
          <w:p w14:paraId="713FFEF6">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w:t>
            </w:r>
          </w:p>
        </w:tc>
      </w:tr>
      <w:tr w14:paraId="5E80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0418BBF">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19</w:t>
            </w:r>
          </w:p>
        </w:tc>
        <w:tc>
          <w:tcPr>
            <w:tcW w:w="1576" w:type="pct"/>
            <w:shd w:val="clear" w:color="auto" w:fill="auto"/>
            <w:noWrap/>
            <w:vAlign w:val="center"/>
          </w:tcPr>
          <w:p w14:paraId="6E316384">
            <w:pPr>
              <w:keepNext w:val="0"/>
              <w:keepLines w:val="0"/>
              <w:widowControl/>
              <w:suppressLineNumbers w:val="0"/>
              <w:jc w:val="center"/>
              <w:textAlignment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eastAsia" w:ascii="Arial" w:hAnsi="Arial" w:eastAsia="宋体" w:cs="Arial"/>
                <w:bCs/>
                <w:color w:val="000000" w:themeColor="text1"/>
                <w:kern w:val="2"/>
                <w:sz w:val="21"/>
                <w:szCs w:val="21"/>
                <w:lang w:val="en-US" w:eastAsia="zh-CN" w:bidi="ar-SA"/>
                <w14:textFill>
                  <w14:solidFill>
                    <w14:schemeClr w14:val="tx1"/>
                  </w14:solidFill>
                </w14:textFill>
              </w:rPr>
              <w:t>淬火液回收装置</w:t>
            </w:r>
          </w:p>
        </w:tc>
        <w:tc>
          <w:tcPr>
            <w:tcW w:w="796" w:type="pct"/>
            <w:shd w:val="clear" w:color="auto" w:fill="auto"/>
            <w:noWrap/>
            <w:vAlign w:val="center"/>
          </w:tcPr>
          <w:p w14:paraId="0BFEE957">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0</w:t>
            </w:r>
          </w:p>
        </w:tc>
        <w:tc>
          <w:tcPr>
            <w:tcW w:w="741" w:type="pct"/>
            <w:shd w:val="clear" w:color="auto" w:fill="auto"/>
            <w:noWrap/>
            <w:vAlign w:val="center"/>
          </w:tcPr>
          <w:p w14:paraId="0937B639">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23" w:type="pct"/>
            <w:shd w:val="clear" w:color="auto" w:fill="auto"/>
            <w:noWrap/>
            <w:vAlign w:val="center"/>
          </w:tcPr>
          <w:p w14:paraId="332C0324">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1</w:t>
            </w:r>
          </w:p>
        </w:tc>
        <w:tc>
          <w:tcPr>
            <w:tcW w:w="759" w:type="pct"/>
            <w:shd w:val="clear" w:color="auto" w:fill="auto"/>
            <w:vAlign w:val="center"/>
          </w:tcPr>
          <w:p w14:paraId="439C0AF6">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w:t>
            </w:r>
          </w:p>
        </w:tc>
      </w:tr>
      <w:tr w14:paraId="5755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253A7C8D">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20</w:t>
            </w:r>
          </w:p>
        </w:tc>
        <w:tc>
          <w:tcPr>
            <w:tcW w:w="1576" w:type="pct"/>
            <w:shd w:val="clear" w:color="auto" w:fill="auto"/>
            <w:noWrap/>
            <w:vAlign w:val="center"/>
          </w:tcPr>
          <w:p w14:paraId="779A4608">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易普森可熔气氛多用炉</w:t>
            </w:r>
          </w:p>
        </w:tc>
        <w:tc>
          <w:tcPr>
            <w:tcW w:w="796" w:type="pct"/>
            <w:shd w:val="clear" w:color="auto" w:fill="auto"/>
            <w:noWrap/>
            <w:vAlign w:val="center"/>
          </w:tcPr>
          <w:p w14:paraId="01E1EF77">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1</w:t>
            </w:r>
          </w:p>
        </w:tc>
        <w:tc>
          <w:tcPr>
            <w:tcW w:w="741" w:type="pct"/>
            <w:shd w:val="clear" w:color="auto" w:fill="auto"/>
            <w:noWrap/>
            <w:vAlign w:val="center"/>
          </w:tcPr>
          <w:p w14:paraId="2B36E441">
            <w:pPr>
              <w:widowControl/>
              <w:jc w:val="center"/>
              <w:rPr>
                <w:rFonts w:hint="default" w:ascii="Arial" w:hAnsi="Arial" w:eastAsia="宋体" w:cs="Arial"/>
                <w:bCs/>
                <w:szCs w:val="21"/>
                <w:lang w:val="en-US" w:eastAsia="zh-CN"/>
              </w:rPr>
            </w:pPr>
            <w:r>
              <w:rPr>
                <w:rFonts w:hint="default" w:ascii="Arial" w:hAnsi="Arial" w:eastAsia="宋体" w:cs="Arial"/>
                <w:bCs/>
                <w:szCs w:val="21"/>
                <w:lang w:val="en-US" w:eastAsia="zh-CN"/>
              </w:rPr>
              <w:t>-1</w:t>
            </w:r>
          </w:p>
        </w:tc>
        <w:tc>
          <w:tcPr>
            <w:tcW w:w="723" w:type="pct"/>
            <w:shd w:val="clear" w:color="auto" w:fill="auto"/>
            <w:noWrap/>
            <w:vAlign w:val="center"/>
          </w:tcPr>
          <w:p w14:paraId="49F3350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59" w:type="pct"/>
            <w:shd w:val="clear" w:color="auto" w:fill="auto"/>
            <w:vAlign w:val="center"/>
          </w:tcPr>
          <w:p w14:paraId="25D2A0D7">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w:t>
            </w:r>
          </w:p>
        </w:tc>
      </w:tr>
      <w:tr w14:paraId="2925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7D140D7D">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21</w:t>
            </w:r>
          </w:p>
        </w:tc>
        <w:tc>
          <w:tcPr>
            <w:tcW w:w="1576" w:type="pct"/>
            <w:shd w:val="clear" w:color="auto" w:fill="auto"/>
            <w:noWrap/>
            <w:vAlign w:val="center"/>
          </w:tcPr>
          <w:p w14:paraId="33747BD8">
            <w:pPr>
              <w:widowControl/>
              <w:jc w:val="center"/>
              <w:rPr>
                <w:rFonts w:hint="default" w:ascii="Arial" w:hAnsi="Arial" w:eastAsia="宋体" w:cs="Arial"/>
                <w:color w:val="000000" w:themeColor="text1"/>
                <w:sz w:val="21"/>
                <w:szCs w:val="21"/>
                <w:lang w:val="en-US" w:eastAsia="zh-CN"/>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焊机</w:t>
            </w:r>
          </w:p>
        </w:tc>
        <w:tc>
          <w:tcPr>
            <w:tcW w:w="796" w:type="pct"/>
            <w:shd w:val="clear" w:color="auto" w:fill="auto"/>
            <w:noWrap/>
            <w:vAlign w:val="center"/>
          </w:tcPr>
          <w:p w14:paraId="4FC5A214">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5</w:t>
            </w:r>
          </w:p>
        </w:tc>
        <w:tc>
          <w:tcPr>
            <w:tcW w:w="741" w:type="pct"/>
            <w:shd w:val="clear" w:color="auto" w:fill="auto"/>
            <w:noWrap/>
            <w:vAlign w:val="center"/>
          </w:tcPr>
          <w:p w14:paraId="7FB708CD">
            <w:pPr>
              <w:widowControl/>
              <w:jc w:val="center"/>
              <w:rPr>
                <w:rFonts w:hint="default" w:ascii="Arial" w:hAnsi="Arial" w:eastAsia="宋体" w:cs="Arial"/>
                <w:bCs/>
                <w:szCs w:val="21"/>
                <w:lang w:val="en-US" w:eastAsia="zh-CN"/>
              </w:rPr>
            </w:pPr>
            <w:r>
              <w:rPr>
                <w:rFonts w:hint="default" w:ascii="Arial" w:hAnsi="Arial" w:eastAsia="宋体" w:cs="Arial"/>
                <w:bCs/>
                <w:szCs w:val="21"/>
                <w:lang w:val="en-US" w:eastAsia="zh-CN"/>
              </w:rPr>
              <w:t>-5</w:t>
            </w:r>
          </w:p>
        </w:tc>
        <w:tc>
          <w:tcPr>
            <w:tcW w:w="723" w:type="pct"/>
            <w:shd w:val="clear" w:color="auto" w:fill="auto"/>
            <w:noWrap/>
            <w:vAlign w:val="center"/>
          </w:tcPr>
          <w:p w14:paraId="75160FB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59" w:type="pct"/>
            <w:shd w:val="clear" w:color="auto" w:fill="auto"/>
            <w:vAlign w:val="center"/>
          </w:tcPr>
          <w:p w14:paraId="5C95CA5F">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w:t>
            </w:r>
          </w:p>
        </w:tc>
      </w:tr>
      <w:tr w14:paraId="54ED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54783F2C">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22</w:t>
            </w:r>
          </w:p>
        </w:tc>
        <w:tc>
          <w:tcPr>
            <w:tcW w:w="1576" w:type="pct"/>
            <w:shd w:val="clear" w:color="auto" w:fill="auto"/>
            <w:noWrap/>
            <w:vAlign w:val="center"/>
          </w:tcPr>
          <w:p w14:paraId="6853B65A">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14:textFill>
                  <w14:solidFill>
                    <w14:schemeClr w14:val="tx1"/>
                  </w14:solidFill>
                </w14:textFill>
              </w:rPr>
              <w:t>超声波清洗线</w:t>
            </w:r>
          </w:p>
        </w:tc>
        <w:tc>
          <w:tcPr>
            <w:tcW w:w="796" w:type="pct"/>
            <w:shd w:val="clear" w:color="auto" w:fill="auto"/>
            <w:noWrap/>
            <w:vAlign w:val="center"/>
          </w:tcPr>
          <w:p w14:paraId="04DF1350">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3</w:t>
            </w:r>
          </w:p>
        </w:tc>
        <w:tc>
          <w:tcPr>
            <w:tcW w:w="741" w:type="pct"/>
            <w:shd w:val="clear" w:color="auto" w:fill="auto"/>
            <w:noWrap/>
            <w:vAlign w:val="center"/>
          </w:tcPr>
          <w:p w14:paraId="268D7FC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7EA6EF76">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2</w:t>
            </w:r>
          </w:p>
        </w:tc>
        <w:tc>
          <w:tcPr>
            <w:tcW w:w="759" w:type="pct"/>
            <w:shd w:val="clear" w:color="auto" w:fill="auto"/>
            <w:vAlign w:val="center"/>
          </w:tcPr>
          <w:p w14:paraId="124054A4">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rPr>
              <w:t>/</w:t>
            </w:r>
          </w:p>
        </w:tc>
      </w:tr>
      <w:tr w14:paraId="69BC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61B6C829">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23</w:t>
            </w:r>
          </w:p>
        </w:tc>
        <w:tc>
          <w:tcPr>
            <w:tcW w:w="1576" w:type="pct"/>
            <w:shd w:val="clear" w:color="auto" w:fill="auto"/>
            <w:noWrap/>
            <w:vAlign w:val="center"/>
          </w:tcPr>
          <w:p w14:paraId="6F495D84">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szCs w:val="21"/>
                <w14:textFill>
                  <w14:solidFill>
                    <w14:schemeClr w14:val="tx1"/>
                  </w14:solidFill>
                </w14:textFill>
              </w:rPr>
              <w:t>两槽式超声波浪涌抛动清洗机</w:t>
            </w:r>
          </w:p>
        </w:tc>
        <w:tc>
          <w:tcPr>
            <w:tcW w:w="796" w:type="pct"/>
            <w:shd w:val="clear" w:color="auto" w:fill="auto"/>
            <w:noWrap/>
            <w:vAlign w:val="center"/>
          </w:tcPr>
          <w:p w14:paraId="75A86ECB">
            <w:pPr>
              <w:widowControl/>
              <w:jc w:val="center"/>
              <w:rPr>
                <w:rFonts w:hint="default" w:ascii="Arial" w:hAnsi="Arial" w:eastAsia="宋体" w:cs="Arial"/>
                <w:bCs/>
                <w:color w:val="000000" w:themeColor="text1"/>
                <w:kern w:val="2"/>
                <w:sz w:val="21"/>
                <w:szCs w:val="21"/>
                <w:lang w:val="en-US" w:eastAsia="zh-CN" w:bidi="ar-SA"/>
                <w14:textFill>
                  <w14:solidFill>
                    <w14:schemeClr w14:val="tx1"/>
                  </w14:solidFill>
                </w14:textFill>
              </w:rPr>
            </w:pPr>
            <w:r>
              <w:rPr>
                <w:rFonts w:hint="default" w:ascii="Arial" w:hAnsi="Arial" w:eastAsia="宋体" w:cs="Arial"/>
                <w:bCs/>
                <w:color w:val="000000" w:themeColor="text1"/>
                <w:kern w:val="2"/>
                <w:sz w:val="21"/>
                <w:szCs w:val="21"/>
                <w:lang w:val="en-US" w:eastAsia="zh-CN" w:bidi="ar-SA"/>
                <w14:textFill>
                  <w14:solidFill>
                    <w14:schemeClr w14:val="tx1"/>
                  </w14:solidFill>
                </w14:textFill>
              </w:rPr>
              <w:t>0</w:t>
            </w:r>
          </w:p>
        </w:tc>
        <w:tc>
          <w:tcPr>
            <w:tcW w:w="741" w:type="pct"/>
            <w:shd w:val="clear" w:color="auto" w:fill="auto"/>
            <w:noWrap/>
            <w:vAlign w:val="center"/>
          </w:tcPr>
          <w:p w14:paraId="06F5D76A">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23" w:type="pct"/>
            <w:shd w:val="clear" w:color="auto" w:fill="auto"/>
            <w:noWrap/>
            <w:vAlign w:val="center"/>
          </w:tcPr>
          <w:p w14:paraId="450FC03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59" w:type="pct"/>
            <w:shd w:val="clear" w:color="auto" w:fill="auto"/>
            <w:vAlign w:val="center"/>
          </w:tcPr>
          <w:p w14:paraId="74ED5F44">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rPr>
              <w:t>/</w:t>
            </w:r>
          </w:p>
        </w:tc>
      </w:tr>
      <w:tr w14:paraId="6330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E358A23">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24</w:t>
            </w:r>
          </w:p>
        </w:tc>
        <w:tc>
          <w:tcPr>
            <w:tcW w:w="1576" w:type="pct"/>
            <w:shd w:val="clear" w:color="auto" w:fill="auto"/>
            <w:noWrap/>
            <w:vAlign w:val="center"/>
          </w:tcPr>
          <w:p w14:paraId="1A6AAD5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rPr>
              <w:t>多槽超声波清洗线</w:t>
            </w:r>
          </w:p>
        </w:tc>
        <w:tc>
          <w:tcPr>
            <w:tcW w:w="796" w:type="pct"/>
            <w:shd w:val="clear" w:color="auto" w:fill="auto"/>
            <w:noWrap/>
            <w:vAlign w:val="center"/>
          </w:tcPr>
          <w:p w14:paraId="18D89728">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336C97B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23" w:type="pct"/>
            <w:shd w:val="clear" w:color="auto" w:fill="auto"/>
            <w:noWrap/>
            <w:vAlign w:val="center"/>
          </w:tcPr>
          <w:p w14:paraId="249BAE0E">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59" w:type="pct"/>
            <w:shd w:val="clear" w:color="auto" w:fill="auto"/>
            <w:vAlign w:val="center"/>
          </w:tcPr>
          <w:p w14:paraId="07A8BBC2">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电加热</w:t>
            </w:r>
          </w:p>
        </w:tc>
      </w:tr>
      <w:tr w14:paraId="2B3B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642543B">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25</w:t>
            </w:r>
          </w:p>
        </w:tc>
        <w:tc>
          <w:tcPr>
            <w:tcW w:w="1576" w:type="pct"/>
            <w:shd w:val="clear" w:color="auto" w:fill="auto"/>
            <w:noWrap/>
            <w:vAlign w:val="center"/>
          </w:tcPr>
          <w:p w14:paraId="46AA4077">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烘干机/电热炉</w:t>
            </w:r>
          </w:p>
        </w:tc>
        <w:tc>
          <w:tcPr>
            <w:tcW w:w="796" w:type="pct"/>
            <w:shd w:val="clear" w:color="auto" w:fill="auto"/>
            <w:noWrap/>
            <w:vAlign w:val="center"/>
          </w:tcPr>
          <w:p w14:paraId="73FECF0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791E988E">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23" w:type="pct"/>
            <w:shd w:val="clear" w:color="auto" w:fill="auto"/>
            <w:noWrap/>
            <w:vAlign w:val="center"/>
          </w:tcPr>
          <w:p w14:paraId="422D984D">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59" w:type="pct"/>
            <w:shd w:val="clear" w:color="auto" w:fill="auto"/>
            <w:vAlign w:val="center"/>
          </w:tcPr>
          <w:p w14:paraId="089A7A3F">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电加热</w:t>
            </w:r>
          </w:p>
        </w:tc>
      </w:tr>
      <w:tr w14:paraId="50F5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2900315B">
            <w:pPr>
              <w:keepNext w:val="0"/>
              <w:keepLines w:val="0"/>
              <w:widowControl/>
              <w:suppressLineNumbers w:val="0"/>
              <w:jc w:val="center"/>
              <w:textAlignment w:val="center"/>
              <w:rPr>
                <w:rFonts w:hint="default" w:ascii="Arial" w:hAnsi="Arial" w:eastAsia="宋体" w:cs="Arial"/>
                <w:bCs/>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26</w:t>
            </w:r>
          </w:p>
        </w:tc>
        <w:tc>
          <w:tcPr>
            <w:tcW w:w="1576" w:type="pct"/>
            <w:shd w:val="clear" w:color="auto" w:fill="auto"/>
            <w:noWrap/>
            <w:vAlign w:val="center"/>
          </w:tcPr>
          <w:p w14:paraId="49611AEB">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隧道式烘箱</w:t>
            </w:r>
          </w:p>
        </w:tc>
        <w:tc>
          <w:tcPr>
            <w:tcW w:w="796" w:type="pct"/>
            <w:shd w:val="clear" w:color="auto" w:fill="auto"/>
            <w:noWrap/>
            <w:vAlign w:val="center"/>
          </w:tcPr>
          <w:p w14:paraId="5DC3E8FD">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72551F9B">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23" w:type="pct"/>
            <w:shd w:val="clear" w:color="auto" w:fill="auto"/>
            <w:noWrap/>
            <w:vAlign w:val="center"/>
          </w:tcPr>
          <w:p w14:paraId="39AEFF0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59" w:type="pct"/>
            <w:shd w:val="clear" w:color="auto" w:fill="auto"/>
            <w:vAlign w:val="center"/>
          </w:tcPr>
          <w:p w14:paraId="61043DA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电加热</w:t>
            </w:r>
          </w:p>
        </w:tc>
      </w:tr>
      <w:tr w14:paraId="4D3F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79ACB1FA">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27</w:t>
            </w:r>
          </w:p>
        </w:tc>
        <w:tc>
          <w:tcPr>
            <w:tcW w:w="1576" w:type="pct"/>
            <w:shd w:val="clear" w:color="auto" w:fill="auto"/>
            <w:noWrap/>
            <w:vAlign w:val="center"/>
          </w:tcPr>
          <w:p w14:paraId="544F5F79">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鼓风干燥箱/烤箱</w:t>
            </w:r>
          </w:p>
        </w:tc>
        <w:tc>
          <w:tcPr>
            <w:tcW w:w="796" w:type="pct"/>
            <w:shd w:val="clear" w:color="auto" w:fill="auto"/>
            <w:noWrap/>
            <w:vAlign w:val="center"/>
          </w:tcPr>
          <w:p w14:paraId="041805F2">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68D0FF28">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23" w:type="pct"/>
            <w:shd w:val="clear" w:color="auto" w:fill="auto"/>
            <w:noWrap/>
            <w:vAlign w:val="center"/>
          </w:tcPr>
          <w:p w14:paraId="478CA8AE">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1</w:t>
            </w:r>
          </w:p>
        </w:tc>
        <w:tc>
          <w:tcPr>
            <w:tcW w:w="759" w:type="pct"/>
            <w:shd w:val="clear" w:color="auto" w:fill="auto"/>
            <w:vAlign w:val="center"/>
          </w:tcPr>
          <w:p w14:paraId="49D2482D">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电加热</w:t>
            </w:r>
          </w:p>
        </w:tc>
      </w:tr>
      <w:tr w14:paraId="5D11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42C18D3B">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28</w:t>
            </w:r>
          </w:p>
        </w:tc>
        <w:tc>
          <w:tcPr>
            <w:tcW w:w="1576" w:type="pct"/>
            <w:shd w:val="clear" w:color="auto" w:fill="auto"/>
            <w:noWrap/>
            <w:vAlign w:val="center"/>
          </w:tcPr>
          <w:p w14:paraId="726349ED">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低温浓缩+膜过滤</w:t>
            </w:r>
          </w:p>
        </w:tc>
        <w:tc>
          <w:tcPr>
            <w:tcW w:w="796" w:type="pct"/>
            <w:shd w:val="clear" w:color="auto" w:fill="auto"/>
            <w:noWrap/>
            <w:vAlign w:val="center"/>
          </w:tcPr>
          <w:p w14:paraId="4FFDE9D4">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7E2744DD">
            <w:pPr>
              <w:jc w:val="center"/>
              <w:rPr>
                <w:rFonts w:hint="default" w:ascii="Arial" w:hAnsi="Arial" w:eastAsia="宋体" w:cs="Arial"/>
                <w:lang w:val="en-US" w:eastAsia="zh-CN"/>
              </w:rPr>
            </w:pPr>
            <w:r>
              <w:rPr>
                <w:rFonts w:hint="default" w:ascii="Arial" w:hAnsi="Arial" w:cs="Arial"/>
                <w:lang w:val="en-US" w:eastAsia="zh-CN"/>
              </w:rPr>
              <w:t>0</w:t>
            </w:r>
          </w:p>
        </w:tc>
        <w:tc>
          <w:tcPr>
            <w:tcW w:w="723" w:type="pct"/>
            <w:shd w:val="clear" w:color="auto" w:fill="auto"/>
            <w:noWrap/>
            <w:vAlign w:val="center"/>
          </w:tcPr>
          <w:p w14:paraId="02391F2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3E92F89A">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rPr>
              <w:t>废</w:t>
            </w:r>
            <w:r>
              <w:rPr>
                <w:rFonts w:hint="default" w:ascii="Arial" w:hAnsi="Arial" w:eastAsia="宋体" w:cs="Arial"/>
                <w:bCs/>
                <w:szCs w:val="21"/>
                <w:lang w:val="en-US" w:eastAsia="zh-CN"/>
              </w:rPr>
              <w:t>水</w:t>
            </w:r>
            <w:r>
              <w:rPr>
                <w:rFonts w:hint="default" w:ascii="Arial" w:hAnsi="Arial" w:eastAsia="宋体" w:cs="Arial"/>
                <w:bCs/>
                <w:szCs w:val="21"/>
              </w:rPr>
              <w:t>治理设施</w:t>
            </w:r>
          </w:p>
        </w:tc>
      </w:tr>
      <w:tr w14:paraId="5522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1FFD0965">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29</w:t>
            </w:r>
          </w:p>
        </w:tc>
        <w:tc>
          <w:tcPr>
            <w:tcW w:w="1576" w:type="pct"/>
            <w:shd w:val="clear" w:color="auto" w:fill="auto"/>
            <w:noWrap/>
            <w:vAlign w:val="center"/>
          </w:tcPr>
          <w:p w14:paraId="55CD4C3F">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小总成测试设备</w:t>
            </w:r>
          </w:p>
        </w:tc>
        <w:tc>
          <w:tcPr>
            <w:tcW w:w="796" w:type="pct"/>
            <w:shd w:val="clear" w:color="auto" w:fill="auto"/>
            <w:noWrap/>
            <w:vAlign w:val="center"/>
          </w:tcPr>
          <w:p w14:paraId="29D6F929">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6519B68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1235ACF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6C128467">
            <w:pPr>
              <w:widowControl/>
              <w:jc w:val="center"/>
              <w:rPr>
                <w:rFonts w:hint="default" w:ascii="Arial" w:hAnsi="Arial" w:eastAsia="宋体" w:cs="Arial"/>
                <w:bCs/>
                <w:szCs w:val="21"/>
                <w:lang w:val="en-US" w:eastAsia="zh-CN"/>
              </w:rPr>
            </w:pPr>
            <w:r>
              <w:rPr>
                <w:rFonts w:hint="default" w:ascii="Arial" w:hAnsi="Arial" w:eastAsia="宋体" w:cs="Arial"/>
                <w:bCs/>
                <w:szCs w:val="21"/>
                <w:lang w:val="en-US" w:eastAsia="zh-CN"/>
              </w:rPr>
              <w:t>/</w:t>
            </w:r>
          </w:p>
        </w:tc>
      </w:tr>
      <w:tr w14:paraId="7B4F7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09986E18">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30</w:t>
            </w:r>
          </w:p>
        </w:tc>
        <w:tc>
          <w:tcPr>
            <w:tcW w:w="1576" w:type="pct"/>
            <w:shd w:val="clear" w:color="auto" w:fill="auto"/>
            <w:noWrap/>
            <w:vAlign w:val="center"/>
          </w:tcPr>
          <w:p w14:paraId="05511AF4">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视觉防错相机</w:t>
            </w:r>
          </w:p>
        </w:tc>
        <w:tc>
          <w:tcPr>
            <w:tcW w:w="796" w:type="pct"/>
            <w:shd w:val="clear" w:color="auto" w:fill="auto"/>
            <w:noWrap/>
            <w:vAlign w:val="center"/>
          </w:tcPr>
          <w:p w14:paraId="159E745D">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0ED55D8D">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6</w:t>
            </w:r>
          </w:p>
        </w:tc>
        <w:tc>
          <w:tcPr>
            <w:tcW w:w="723" w:type="pct"/>
            <w:shd w:val="clear" w:color="auto" w:fill="auto"/>
            <w:noWrap/>
            <w:vAlign w:val="center"/>
          </w:tcPr>
          <w:p w14:paraId="7603BEE7">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6</w:t>
            </w:r>
          </w:p>
        </w:tc>
        <w:tc>
          <w:tcPr>
            <w:tcW w:w="759" w:type="pct"/>
            <w:shd w:val="clear" w:color="auto" w:fill="auto"/>
            <w:vAlign w:val="center"/>
          </w:tcPr>
          <w:p w14:paraId="424A8D02">
            <w:pPr>
              <w:widowControl/>
              <w:jc w:val="center"/>
              <w:rPr>
                <w:rFonts w:hint="default" w:ascii="Arial" w:hAnsi="Arial" w:eastAsia="宋体" w:cs="Arial"/>
                <w:bCs/>
                <w:szCs w:val="21"/>
                <w:lang w:val="en-US" w:eastAsia="zh-CN"/>
              </w:rPr>
            </w:pPr>
            <w:r>
              <w:rPr>
                <w:rFonts w:hint="default" w:ascii="Arial" w:hAnsi="Arial" w:eastAsia="宋体" w:cs="Arial"/>
                <w:bCs/>
                <w:szCs w:val="21"/>
                <w:lang w:val="en-US" w:eastAsia="zh-CN"/>
              </w:rPr>
              <w:t>/</w:t>
            </w:r>
          </w:p>
        </w:tc>
      </w:tr>
      <w:tr w14:paraId="7D521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72AEB234">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31</w:t>
            </w:r>
          </w:p>
        </w:tc>
        <w:tc>
          <w:tcPr>
            <w:tcW w:w="1576" w:type="pct"/>
            <w:shd w:val="clear" w:color="auto" w:fill="auto"/>
            <w:noWrap/>
            <w:vAlign w:val="center"/>
          </w:tcPr>
          <w:p w14:paraId="215FDA0B">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小总成装配线</w:t>
            </w:r>
          </w:p>
        </w:tc>
        <w:tc>
          <w:tcPr>
            <w:tcW w:w="796" w:type="pct"/>
            <w:shd w:val="clear" w:color="auto" w:fill="auto"/>
            <w:noWrap/>
            <w:vAlign w:val="center"/>
          </w:tcPr>
          <w:p w14:paraId="2861D217">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2A145F44">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2</w:t>
            </w:r>
          </w:p>
        </w:tc>
        <w:tc>
          <w:tcPr>
            <w:tcW w:w="723" w:type="pct"/>
            <w:shd w:val="clear" w:color="auto" w:fill="auto"/>
            <w:noWrap/>
            <w:vAlign w:val="center"/>
          </w:tcPr>
          <w:p w14:paraId="60854997">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2</w:t>
            </w:r>
          </w:p>
        </w:tc>
        <w:tc>
          <w:tcPr>
            <w:tcW w:w="759" w:type="pct"/>
            <w:shd w:val="clear" w:color="auto" w:fill="auto"/>
            <w:vAlign w:val="center"/>
          </w:tcPr>
          <w:p w14:paraId="03C8D737">
            <w:pPr>
              <w:widowControl/>
              <w:jc w:val="center"/>
              <w:rPr>
                <w:rFonts w:hint="default" w:ascii="Arial" w:hAnsi="Arial" w:eastAsia="宋体" w:cs="Arial"/>
                <w:bCs/>
                <w:szCs w:val="21"/>
                <w:lang w:val="en-US" w:eastAsia="zh-CN"/>
              </w:rPr>
            </w:pPr>
            <w:r>
              <w:rPr>
                <w:rFonts w:hint="default" w:ascii="Arial" w:hAnsi="Arial" w:eastAsia="宋体" w:cs="Arial"/>
                <w:bCs/>
                <w:szCs w:val="21"/>
                <w:lang w:val="en-US" w:eastAsia="zh-CN"/>
              </w:rPr>
              <w:t>/</w:t>
            </w:r>
          </w:p>
        </w:tc>
      </w:tr>
      <w:tr w14:paraId="143E9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556CAE43">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32</w:t>
            </w:r>
          </w:p>
        </w:tc>
        <w:tc>
          <w:tcPr>
            <w:tcW w:w="1576" w:type="pct"/>
            <w:shd w:val="clear" w:color="auto" w:fill="auto"/>
            <w:noWrap/>
            <w:vAlign w:val="center"/>
          </w:tcPr>
          <w:p w14:paraId="5BCCE2A2">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数字式影像测量机</w:t>
            </w:r>
          </w:p>
        </w:tc>
        <w:tc>
          <w:tcPr>
            <w:tcW w:w="796" w:type="pct"/>
            <w:shd w:val="clear" w:color="auto" w:fill="auto"/>
            <w:noWrap/>
            <w:vAlign w:val="center"/>
          </w:tcPr>
          <w:p w14:paraId="01C15839">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0F366CE1">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78CE8417">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36978C95">
            <w:pPr>
              <w:widowControl/>
              <w:jc w:val="center"/>
              <w:rPr>
                <w:rFonts w:hint="default" w:ascii="Arial" w:hAnsi="Arial" w:eastAsia="宋体" w:cs="Arial"/>
                <w:bCs/>
                <w:szCs w:val="21"/>
                <w:lang w:val="en-US" w:eastAsia="zh-CN"/>
              </w:rPr>
            </w:pPr>
            <w:r>
              <w:rPr>
                <w:rFonts w:hint="default" w:ascii="Arial" w:hAnsi="Arial" w:eastAsia="宋体" w:cs="Arial"/>
                <w:bCs/>
                <w:szCs w:val="21"/>
                <w:lang w:val="en-US" w:eastAsia="zh-CN"/>
              </w:rPr>
              <w:t>品检设备</w:t>
            </w:r>
          </w:p>
        </w:tc>
      </w:tr>
      <w:tr w14:paraId="6C0C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117C14BC">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33</w:t>
            </w:r>
          </w:p>
        </w:tc>
        <w:tc>
          <w:tcPr>
            <w:tcW w:w="1576" w:type="pct"/>
            <w:shd w:val="clear" w:color="auto" w:fill="auto"/>
            <w:noWrap/>
            <w:vAlign w:val="center"/>
          </w:tcPr>
          <w:p w14:paraId="46D70417">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粗糙度仪</w:t>
            </w:r>
          </w:p>
        </w:tc>
        <w:tc>
          <w:tcPr>
            <w:tcW w:w="796" w:type="pct"/>
            <w:shd w:val="clear" w:color="auto" w:fill="auto"/>
            <w:noWrap/>
            <w:vAlign w:val="center"/>
          </w:tcPr>
          <w:p w14:paraId="5F1851F6">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4F9659A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26417FFB">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6A4F745F">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2D6B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6B181FC7">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34</w:t>
            </w:r>
          </w:p>
        </w:tc>
        <w:tc>
          <w:tcPr>
            <w:tcW w:w="1576" w:type="pct"/>
            <w:shd w:val="clear" w:color="auto" w:fill="auto"/>
            <w:noWrap/>
            <w:vAlign w:val="center"/>
          </w:tcPr>
          <w:p w14:paraId="685254E7">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金相切割机</w:t>
            </w:r>
          </w:p>
        </w:tc>
        <w:tc>
          <w:tcPr>
            <w:tcW w:w="796" w:type="pct"/>
            <w:shd w:val="clear" w:color="auto" w:fill="auto"/>
            <w:noWrap/>
            <w:vAlign w:val="center"/>
          </w:tcPr>
          <w:p w14:paraId="3FB98C96">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54EBDD72">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31C78CD1">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5E2006E7">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4618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6DBC350A">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35</w:t>
            </w:r>
          </w:p>
        </w:tc>
        <w:tc>
          <w:tcPr>
            <w:tcW w:w="1576" w:type="pct"/>
            <w:shd w:val="clear" w:color="auto" w:fill="auto"/>
            <w:noWrap/>
            <w:vAlign w:val="center"/>
          </w:tcPr>
          <w:p w14:paraId="1FB53B4A">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进口圆柱度仪</w:t>
            </w:r>
          </w:p>
        </w:tc>
        <w:tc>
          <w:tcPr>
            <w:tcW w:w="796" w:type="pct"/>
            <w:shd w:val="clear" w:color="auto" w:fill="auto"/>
            <w:noWrap/>
            <w:vAlign w:val="center"/>
          </w:tcPr>
          <w:p w14:paraId="7EDFB6A6">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25E62CD7">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299A4DC6">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481A3A00">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7651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04B5EE8">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36</w:t>
            </w:r>
          </w:p>
        </w:tc>
        <w:tc>
          <w:tcPr>
            <w:tcW w:w="1576" w:type="pct"/>
            <w:shd w:val="clear" w:color="auto" w:fill="auto"/>
            <w:noWrap/>
            <w:vAlign w:val="center"/>
          </w:tcPr>
          <w:p w14:paraId="61CCCA35">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光学机</w:t>
            </w:r>
          </w:p>
        </w:tc>
        <w:tc>
          <w:tcPr>
            <w:tcW w:w="796" w:type="pct"/>
            <w:shd w:val="clear" w:color="auto" w:fill="auto"/>
            <w:noWrap/>
            <w:vAlign w:val="center"/>
          </w:tcPr>
          <w:p w14:paraId="485C1632">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62954ED9">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568DF2C1">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76466CC8">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5EAC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2232D2B3">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37</w:t>
            </w:r>
          </w:p>
        </w:tc>
        <w:tc>
          <w:tcPr>
            <w:tcW w:w="1576" w:type="pct"/>
            <w:shd w:val="clear" w:color="auto" w:fill="auto"/>
            <w:noWrap/>
            <w:vAlign w:val="center"/>
          </w:tcPr>
          <w:p w14:paraId="0A2F0A6B">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三坐标测量仪</w:t>
            </w:r>
          </w:p>
        </w:tc>
        <w:tc>
          <w:tcPr>
            <w:tcW w:w="796" w:type="pct"/>
            <w:shd w:val="clear" w:color="auto" w:fill="auto"/>
            <w:noWrap/>
            <w:vAlign w:val="center"/>
          </w:tcPr>
          <w:p w14:paraId="1C8099F7">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3CCFDE86">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3A915AFB">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6B4BBCBB">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33BF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0F51F44F">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38</w:t>
            </w:r>
          </w:p>
        </w:tc>
        <w:tc>
          <w:tcPr>
            <w:tcW w:w="1576" w:type="pct"/>
            <w:shd w:val="clear" w:color="auto" w:fill="auto"/>
            <w:noWrap/>
            <w:vAlign w:val="center"/>
          </w:tcPr>
          <w:p w14:paraId="656C050C">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spacing w:val="-6"/>
                <w:kern w:val="0"/>
                <w:sz w:val="20"/>
                <w:szCs w:val="20"/>
                <w:u w:val="none"/>
                <w:lang w:val="en-US" w:eastAsia="zh-CN" w:bidi="ar"/>
              </w:rPr>
              <w:t>高精度粗糙度轮廓仪一体机</w:t>
            </w:r>
          </w:p>
        </w:tc>
        <w:tc>
          <w:tcPr>
            <w:tcW w:w="796" w:type="pct"/>
            <w:shd w:val="clear" w:color="auto" w:fill="auto"/>
            <w:noWrap/>
            <w:vAlign w:val="center"/>
          </w:tcPr>
          <w:p w14:paraId="6EDA2568">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0799C27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1AFFF7F9">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7384561F">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4EA4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654F7275">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39</w:t>
            </w:r>
          </w:p>
        </w:tc>
        <w:tc>
          <w:tcPr>
            <w:tcW w:w="1576" w:type="pct"/>
            <w:shd w:val="clear" w:color="auto" w:fill="auto"/>
            <w:noWrap/>
            <w:vAlign w:val="center"/>
          </w:tcPr>
          <w:p w14:paraId="107EFD1F">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电子汽车衡</w:t>
            </w:r>
          </w:p>
        </w:tc>
        <w:tc>
          <w:tcPr>
            <w:tcW w:w="796" w:type="pct"/>
            <w:shd w:val="clear" w:color="auto" w:fill="auto"/>
            <w:noWrap/>
            <w:vAlign w:val="center"/>
          </w:tcPr>
          <w:p w14:paraId="5CEB0907">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69E08A4C">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01375391">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2AEC7D27">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0C4B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D219DBA">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40</w:t>
            </w:r>
          </w:p>
        </w:tc>
        <w:tc>
          <w:tcPr>
            <w:tcW w:w="1576" w:type="pct"/>
            <w:shd w:val="clear" w:color="auto" w:fill="auto"/>
            <w:noWrap/>
            <w:vAlign w:val="center"/>
          </w:tcPr>
          <w:p w14:paraId="36932D57">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齿轮双面啮合综合测量仪</w:t>
            </w:r>
          </w:p>
        </w:tc>
        <w:tc>
          <w:tcPr>
            <w:tcW w:w="796" w:type="pct"/>
            <w:shd w:val="clear" w:color="auto" w:fill="auto"/>
            <w:noWrap/>
            <w:vAlign w:val="center"/>
          </w:tcPr>
          <w:p w14:paraId="63C898AD">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2F8FCBB9">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70C8FA62">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5EF57D12">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7FA3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4B80DCB">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41</w:t>
            </w:r>
          </w:p>
        </w:tc>
        <w:tc>
          <w:tcPr>
            <w:tcW w:w="1576" w:type="pct"/>
            <w:shd w:val="clear" w:color="auto" w:fill="auto"/>
            <w:noWrap/>
            <w:vAlign w:val="center"/>
          </w:tcPr>
          <w:p w14:paraId="76DDC474">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CCD视觉检测设备</w:t>
            </w:r>
          </w:p>
        </w:tc>
        <w:tc>
          <w:tcPr>
            <w:tcW w:w="796" w:type="pct"/>
            <w:shd w:val="clear" w:color="auto" w:fill="auto"/>
            <w:noWrap/>
            <w:vAlign w:val="center"/>
          </w:tcPr>
          <w:p w14:paraId="0140392E">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724C31E2">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5801A67E">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2A5061A4">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6C89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05061660">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42</w:t>
            </w:r>
          </w:p>
        </w:tc>
        <w:tc>
          <w:tcPr>
            <w:tcW w:w="1576" w:type="pct"/>
            <w:shd w:val="clear" w:color="auto" w:fill="auto"/>
            <w:noWrap/>
            <w:vAlign w:val="center"/>
          </w:tcPr>
          <w:p w14:paraId="7B7C29EC">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粗糙度轮廓仪一体机</w:t>
            </w:r>
          </w:p>
        </w:tc>
        <w:tc>
          <w:tcPr>
            <w:tcW w:w="796" w:type="pct"/>
            <w:shd w:val="clear" w:color="auto" w:fill="auto"/>
            <w:noWrap/>
            <w:vAlign w:val="center"/>
          </w:tcPr>
          <w:p w14:paraId="3C50C2E5">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23206499">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36D2D86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5D104AA9">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66FB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B9E35DB">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43</w:t>
            </w:r>
          </w:p>
        </w:tc>
        <w:tc>
          <w:tcPr>
            <w:tcW w:w="1576" w:type="pct"/>
            <w:shd w:val="clear" w:color="auto" w:fill="auto"/>
            <w:noWrap/>
            <w:vAlign w:val="center"/>
          </w:tcPr>
          <w:p w14:paraId="21D28C68">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形状测量仪</w:t>
            </w:r>
          </w:p>
        </w:tc>
        <w:tc>
          <w:tcPr>
            <w:tcW w:w="796" w:type="pct"/>
            <w:shd w:val="clear" w:color="auto" w:fill="auto"/>
            <w:noWrap/>
            <w:vAlign w:val="center"/>
          </w:tcPr>
          <w:p w14:paraId="1D638601">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18EA3008">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12E60A5F">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0EF395FB">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3FC0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A8B08F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44</w:t>
            </w:r>
          </w:p>
        </w:tc>
        <w:tc>
          <w:tcPr>
            <w:tcW w:w="1576" w:type="pct"/>
            <w:shd w:val="clear" w:color="auto" w:fill="auto"/>
            <w:noWrap/>
            <w:vAlign w:val="center"/>
          </w:tcPr>
          <w:p w14:paraId="21801930">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扭杆测试台</w:t>
            </w:r>
          </w:p>
        </w:tc>
        <w:tc>
          <w:tcPr>
            <w:tcW w:w="796" w:type="pct"/>
            <w:shd w:val="clear" w:color="auto" w:fill="auto"/>
            <w:noWrap/>
            <w:vAlign w:val="center"/>
          </w:tcPr>
          <w:p w14:paraId="72EFD62E">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7E5ECC2C">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11E3ACC1">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6DB92D44">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701C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7E2E9C96">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45</w:t>
            </w:r>
          </w:p>
        </w:tc>
        <w:tc>
          <w:tcPr>
            <w:tcW w:w="1576" w:type="pct"/>
            <w:shd w:val="clear" w:color="auto" w:fill="auto"/>
            <w:noWrap/>
            <w:vAlign w:val="center"/>
          </w:tcPr>
          <w:p w14:paraId="558A566A">
            <w:pPr>
              <w:keepNext w:val="0"/>
              <w:keepLines w:val="0"/>
              <w:widowControl/>
              <w:suppressLineNumbers w:val="0"/>
              <w:jc w:val="center"/>
              <w:textAlignment w:val="center"/>
              <w:rPr>
                <w:rFonts w:hint="default" w:ascii="Arial" w:hAnsi="Arial" w:eastAsia="宋体" w:cs="Arial"/>
                <w:bCs/>
                <w:szCs w:val="21"/>
                <w:lang w:val="en-US" w:eastAsia="zh-CN"/>
              </w:rPr>
            </w:pPr>
            <w:r>
              <w:rPr>
                <w:rFonts w:hint="default" w:ascii="Arial" w:hAnsi="Arial" w:eastAsia="宋体" w:cs="Arial"/>
                <w:i w:val="0"/>
                <w:iCs w:val="0"/>
                <w:color w:val="000000"/>
                <w:kern w:val="0"/>
                <w:sz w:val="20"/>
                <w:szCs w:val="20"/>
                <w:u w:val="none"/>
                <w:lang w:val="en-US" w:eastAsia="zh-CN" w:bidi="ar"/>
              </w:rPr>
              <w:t>超声波擦伤仪</w:t>
            </w:r>
          </w:p>
        </w:tc>
        <w:tc>
          <w:tcPr>
            <w:tcW w:w="796" w:type="pct"/>
            <w:shd w:val="clear" w:color="auto" w:fill="auto"/>
            <w:noWrap/>
            <w:vAlign w:val="center"/>
          </w:tcPr>
          <w:p w14:paraId="5EB7B345">
            <w:pPr>
              <w:widowControl/>
              <w:jc w:val="center"/>
              <w:rPr>
                <w:rFonts w:hint="default" w:ascii="Arial" w:hAnsi="Arial" w:eastAsia="宋体" w:cs="Arial"/>
                <w:bCs/>
                <w:szCs w:val="21"/>
                <w:lang w:val="en-US" w:eastAsia="zh-CN"/>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08AD15B1">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039F615C">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020F529F">
            <w:pPr>
              <w:widowControl/>
              <w:jc w:val="center"/>
              <w:rPr>
                <w:rFonts w:hint="default" w:ascii="Arial" w:hAnsi="Arial" w:eastAsia="宋体" w:cs="Arial"/>
                <w:bCs/>
                <w:szCs w:val="21"/>
              </w:rPr>
            </w:pPr>
            <w:r>
              <w:rPr>
                <w:rFonts w:hint="default" w:ascii="Arial" w:hAnsi="Arial" w:eastAsia="宋体" w:cs="Arial"/>
                <w:bCs/>
                <w:szCs w:val="21"/>
                <w:lang w:val="en-US" w:eastAsia="zh-CN"/>
              </w:rPr>
              <w:t>品检设备</w:t>
            </w:r>
          </w:p>
        </w:tc>
      </w:tr>
      <w:tr w14:paraId="6F00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09468E87">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46</w:t>
            </w:r>
          </w:p>
        </w:tc>
        <w:tc>
          <w:tcPr>
            <w:tcW w:w="1576" w:type="pct"/>
            <w:shd w:val="clear" w:color="auto" w:fill="auto"/>
            <w:noWrap/>
            <w:vAlign w:val="center"/>
          </w:tcPr>
          <w:p w14:paraId="427724CA">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清洁度自动分析系统</w:t>
            </w:r>
          </w:p>
        </w:tc>
        <w:tc>
          <w:tcPr>
            <w:tcW w:w="796" w:type="pct"/>
            <w:shd w:val="clear" w:color="auto" w:fill="auto"/>
            <w:noWrap/>
            <w:vAlign w:val="center"/>
          </w:tcPr>
          <w:p w14:paraId="04234B4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103CF08B">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353C492F">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1E131B96">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品检设备</w:t>
            </w:r>
          </w:p>
        </w:tc>
      </w:tr>
      <w:tr w14:paraId="0DEC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7752D55">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47</w:t>
            </w:r>
          </w:p>
        </w:tc>
        <w:tc>
          <w:tcPr>
            <w:tcW w:w="1576" w:type="pct"/>
            <w:shd w:val="clear" w:color="auto" w:fill="auto"/>
            <w:noWrap/>
            <w:vAlign w:val="center"/>
          </w:tcPr>
          <w:p w14:paraId="58B8C8AA">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数显显微硬度计司</w:t>
            </w:r>
          </w:p>
        </w:tc>
        <w:tc>
          <w:tcPr>
            <w:tcW w:w="796" w:type="pct"/>
            <w:shd w:val="clear" w:color="auto" w:fill="auto"/>
            <w:noWrap/>
            <w:vAlign w:val="center"/>
          </w:tcPr>
          <w:p w14:paraId="0E599389">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7F8FDBA6">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23B177EA">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52A1CE02">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品检设备</w:t>
            </w:r>
          </w:p>
        </w:tc>
      </w:tr>
      <w:tr w14:paraId="3B7D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0C613DD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48</w:t>
            </w:r>
          </w:p>
        </w:tc>
        <w:tc>
          <w:tcPr>
            <w:tcW w:w="1576" w:type="pct"/>
            <w:shd w:val="clear" w:color="auto" w:fill="auto"/>
            <w:noWrap/>
            <w:vAlign w:val="center"/>
          </w:tcPr>
          <w:p w14:paraId="7836973C">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三坐标测量机</w:t>
            </w:r>
          </w:p>
        </w:tc>
        <w:tc>
          <w:tcPr>
            <w:tcW w:w="796" w:type="pct"/>
            <w:shd w:val="clear" w:color="auto" w:fill="auto"/>
            <w:noWrap/>
            <w:vAlign w:val="center"/>
          </w:tcPr>
          <w:p w14:paraId="796E50DB">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6729F21D">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2515FADD">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44AC09F4">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品检设备</w:t>
            </w:r>
          </w:p>
        </w:tc>
      </w:tr>
      <w:tr w14:paraId="3020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7FDC3E45">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49</w:t>
            </w:r>
          </w:p>
        </w:tc>
        <w:tc>
          <w:tcPr>
            <w:tcW w:w="1576" w:type="pct"/>
            <w:shd w:val="clear" w:color="auto" w:fill="auto"/>
            <w:noWrap/>
            <w:vAlign w:val="center"/>
          </w:tcPr>
          <w:p w14:paraId="5332D706">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万濠全自动影像仪</w:t>
            </w:r>
          </w:p>
        </w:tc>
        <w:tc>
          <w:tcPr>
            <w:tcW w:w="796" w:type="pct"/>
            <w:shd w:val="clear" w:color="auto" w:fill="auto"/>
            <w:noWrap/>
            <w:vAlign w:val="center"/>
          </w:tcPr>
          <w:p w14:paraId="53BA045E">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2C5BC89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2A5D374E">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52CA31D7">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品检设备</w:t>
            </w:r>
          </w:p>
        </w:tc>
      </w:tr>
      <w:tr w14:paraId="12BC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49631D54">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50</w:t>
            </w:r>
          </w:p>
        </w:tc>
        <w:tc>
          <w:tcPr>
            <w:tcW w:w="1576" w:type="pct"/>
            <w:shd w:val="clear" w:color="auto" w:fill="auto"/>
            <w:noWrap/>
            <w:vAlign w:val="center"/>
          </w:tcPr>
          <w:p w14:paraId="1A897002">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金相抛光机</w:t>
            </w:r>
          </w:p>
        </w:tc>
        <w:tc>
          <w:tcPr>
            <w:tcW w:w="796" w:type="pct"/>
            <w:shd w:val="clear" w:color="auto" w:fill="auto"/>
            <w:noWrap/>
            <w:vAlign w:val="center"/>
          </w:tcPr>
          <w:p w14:paraId="400C1EE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2DFCB83A">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325C5964">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34A0665F">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品检设备</w:t>
            </w:r>
          </w:p>
        </w:tc>
      </w:tr>
      <w:tr w14:paraId="08BF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3B82302A">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51</w:t>
            </w:r>
          </w:p>
        </w:tc>
        <w:tc>
          <w:tcPr>
            <w:tcW w:w="1576" w:type="pct"/>
            <w:shd w:val="clear" w:color="auto" w:fill="auto"/>
            <w:noWrap/>
            <w:vAlign w:val="center"/>
          </w:tcPr>
          <w:p w14:paraId="61640C79">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自动金相试样磨抛机</w:t>
            </w:r>
          </w:p>
        </w:tc>
        <w:tc>
          <w:tcPr>
            <w:tcW w:w="796" w:type="pct"/>
            <w:shd w:val="clear" w:color="auto" w:fill="auto"/>
            <w:noWrap/>
            <w:vAlign w:val="center"/>
          </w:tcPr>
          <w:p w14:paraId="3A38FE5F">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0B881FF5">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55F2DEAD">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433D507D">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品检设备</w:t>
            </w:r>
          </w:p>
        </w:tc>
      </w:tr>
      <w:tr w14:paraId="6BBF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2" w:type="pct"/>
            <w:shd w:val="clear" w:color="auto" w:fill="auto"/>
            <w:noWrap/>
            <w:vAlign w:val="center"/>
          </w:tcPr>
          <w:p w14:paraId="21E3A2E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52</w:t>
            </w:r>
          </w:p>
        </w:tc>
        <w:tc>
          <w:tcPr>
            <w:tcW w:w="1576" w:type="pct"/>
            <w:shd w:val="clear" w:color="auto" w:fill="auto"/>
            <w:noWrap/>
            <w:vAlign w:val="center"/>
          </w:tcPr>
          <w:p w14:paraId="35E6B69D">
            <w:pPr>
              <w:keepNext w:val="0"/>
              <w:keepLines w:val="0"/>
              <w:widowControl/>
              <w:suppressLineNumbers w:val="0"/>
              <w:jc w:val="center"/>
              <w:textAlignment w:val="center"/>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金相液压自动镶嵌机</w:t>
            </w:r>
          </w:p>
        </w:tc>
        <w:tc>
          <w:tcPr>
            <w:tcW w:w="796" w:type="pct"/>
            <w:shd w:val="clear" w:color="auto" w:fill="auto"/>
            <w:noWrap/>
            <w:vAlign w:val="center"/>
          </w:tcPr>
          <w:p w14:paraId="3B58B710">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0</w:t>
            </w:r>
          </w:p>
        </w:tc>
        <w:tc>
          <w:tcPr>
            <w:tcW w:w="741" w:type="pct"/>
            <w:shd w:val="clear" w:color="auto" w:fill="auto"/>
            <w:noWrap/>
            <w:vAlign w:val="center"/>
          </w:tcPr>
          <w:p w14:paraId="6E5A8D50">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23" w:type="pct"/>
            <w:shd w:val="clear" w:color="auto" w:fill="auto"/>
            <w:noWrap/>
            <w:vAlign w:val="center"/>
          </w:tcPr>
          <w:p w14:paraId="378E3D22">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1</w:t>
            </w:r>
          </w:p>
        </w:tc>
        <w:tc>
          <w:tcPr>
            <w:tcW w:w="759" w:type="pct"/>
            <w:shd w:val="clear" w:color="auto" w:fill="auto"/>
            <w:vAlign w:val="center"/>
          </w:tcPr>
          <w:p w14:paraId="2973FF7C">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品检设备</w:t>
            </w:r>
          </w:p>
        </w:tc>
      </w:tr>
    </w:tbl>
    <w:p w14:paraId="2A94F95A">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生产班次及劳动定员</w:t>
      </w:r>
    </w:p>
    <w:p w14:paraId="36EDFA30">
      <w:pPr>
        <w:wordWrap w:val="0"/>
        <w:spacing w:line="360" w:lineRule="auto"/>
        <w:ind w:firstLine="480" w:firstLineChars="200"/>
        <w:rPr>
          <w:rFonts w:hint="default" w:ascii="Arial" w:hAnsi="Arial" w:eastAsia="宋体" w:cs="Arial"/>
          <w:sz w:val="24"/>
          <w:szCs w:val="24"/>
          <w:lang w:val="en-US" w:eastAsia="zh-CN"/>
        </w:rPr>
      </w:pPr>
      <w:r>
        <w:rPr>
          <w:rFonts w:hint="default" w:ascii="Arial" w:hAnsi="Arial" w:eastAsia="宋体" w:cs="Arial"/>
          <w:sz w:val="24"/>
          <w:szCs w:val="24"/>
          <w:lang w:val="en-US" w:eastAsia="zh-CN"/>
        </w:rPr>
        <w:t>本项目实施后劳动定员与原环评一致，为420人，企业年生产天数为300天，项目实行两班制，单班工作时长12h，企业不设置食堂住宿。</w:t>
      </w:r>
    </w:p>
    <w:p w14:paraId="5BDEBB92">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总平面布置</w:t>
      </w:r>
    </w:p>
    <w:p w14:paraId="7213DF48">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本项目拟建于浙江省嘉兴市平湖市五洲路</w:t>
      </w:r>
      <w:r>
        <w:rPr>
          <w:rFonts w:hint="default" w:ascii="Arial" w:hAnsi="Arial" w:eastAsia="宋体" w:cs="Arial"/>
          <w:sz w:val="24"/>
          <w:szCs w:val="24"/>
          <w:lang w:val="en-US" w:eastAsia="zh-CN"/>
        </w:rPr>
        <w:t>1268号</w:t>
      </w:r>
      <w:r>
        <w:rPr>
          <w:rFonts w:hint="default" w:ascii="Arial" w:hAnsi="Arial" w:eastAsia="宋体" w:cs="Arial"/>
          <w:sz w:val="24"/>
          <w:szCs w:val="24"/>
        </w:rPr>
        <w:t>。企业共</w:t>
      </w:r>
      <w:r>
        <w:rPr>
          <w:rFonts w:hint="default" w:ascii="Arial" w:hAnsi="Arial" w:eastAsia="宋体" w:cs="Arial"/>
          <w:sz w:val="24"/>
          <w:szCs w:val="24"/>
          <w:lang w:val="en-US" w:eastAsia="zh-CN"/>
        </w:rPr>
        <w:t>设置4座生产车间，厂区东北侧为1#车间，为办公区及品检车间；1#车间南侧为2#车间，一层，用于零件的机加工、热处理；2#车间南侧为3#车间，共3层其中1、2层为仓库（内设危废暂存间，废水处理浓缩液贮存库），3层为电机小总成车间；2#车间西侧为4#车间，用于仓储（内设危废暂存间，废水处理浓缩液贮存库）</w:t>
      </w:r>
      <w:r>
        <w:rPr>
          <w:rFonts w:hint="default" w:ascii="Arial" w:hAnsi="Arial" w:eastAsia="宋体" w:cs="Arial"/>
          <w:sz w:val="24"/>
          <w:szCs w:val="24"/>
        </w:rPr>
        <w:t>。具体布置见附图3项目平面布置示意图。</w:t>
      </w:r>
    </w:p>
    <w:p w14:paraId="03F46CE6">
      <w:pPr>
        <w:ind w:firstLine="419" w:firstLineChars="174"/>
        <w:rPr>
          <w:rFonts w:hint="default" w:ascii="Arial" w:hAnsi="Arial" w:eastAsia="宋体" w:cs="Arial"/>
          <w:b/>
          <w:bCs/>
          <w:sz w:val="24"/>
          <w:szCs w:val="24"/>
        </w:rPr>
      </w:pPr>
    </w:p>
    <w:p w14:paraId="782B20D8">
      <w:pPr>
        <w:ind w:firstLine="419" w:firstLineChars="174"/>
        <w:rPr>
          <w:rFonts w:hint="default" w:ascii="Arial" w:hAnsi="Arial" w:eastAsia="宋体" w:cs="Arial"/>
          <w:b/>
          <w:bCs/>
          <w:sz w:val="24"/>
          <w:szCs w:val="24"/>
        </w:rPr>
        <w:sectPr>
          <w:headerReference r:id="rId13"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07D0365A">
      <w:pPr>
        <w:pStyle w:val="76"/>
        <w:keepNext w:val="0"/>
        <w:keepLines w:val="0"/>
        <w:pageBreakBefore w:val="0"/>
        <w:widowControl w:val="0"/>
        <w:numPr>
          <w:ilvl w:val="1"/>
          <w:numId w:val="4"/>
        </w:numPr>
        <w:kinsoku/>
        <w:wordWrap/>
        <w:overflowPunct/>
        <w:topLinePunct w:val="0"/>
        <w:autoSpaceDE/>
        <w:autoSpaceDN/>
        <w:bidi w:val="0"/>
        <w:adjustRightInd/>
        <w:snapToGrid/>
        <w:spacing w:line="240" w:lineRule="auto"/>
        <w:ind w:left="210" w:leftChars="0" w:firstLineChars="0"/>
        <w:textAlignment w:val="auto"/>
        <w:outlineLvl w:val="1"/>
        <w:rPr>
          <w:rFonts w:hint="default" w:ascii="Arial" w:hAnsi="Arial" w:eastAsia="宋体" w:cs="Arial"/>
          <w:b/>
          <w:bCs/>
          <w:sz w:val="28"/>
          <w:szCs w:val="28"/>
        </w:rPr>
      </w:pPr>
      <w:r>
        <w:rPr>
          <w:rFonts w:hint="default" w:ascii="Arial" w:hAnsi="Arial" w:eastAsia="宋体" w:cs="Arial"/>
          <w:b/>
          <w:bCs/>
          <w:sz w:val="28"/>
          <w:szCs w:val="28"/>
        </w:rPr>
        <w:t>工艺流程和产排污环节</w:t>
      </w:r>
    </w:p>
    <w:p w14:paraId="2C2D5F38">
      <w:pPr>
        <w:pStyle w:val="76"/>
        <w:keepNext w:val="0"/>
        <w:keepLines w:val="0"/>
        <w:pageBreakBefore w:val="0"/>
        <w:widowControl w:val="0"/>
        <w:numPr>
          <w:ilvl w:val="2"/>
          <w:numId w:val="4"/>
        </w:numPr>
        <w:tabs>
          <w:tab w:val="left" w:pos="5154"/>
        </w:tabs>
        <w:kinsoku/>
        <w:wordWrap/>
        <w:overflowPunct/>
        <w:topLinePunct w:val="0"/>
        <w:autoSpaceDE/>
        <w:autoSpaceDN/>
        <w:bidi w:val="0"/>
        <w:adjustRightInd/>
        <w:snapToGrid/>
        <w:spacing w:line="240" w:lineRule="auto"/>
        <w:ind w:left="210" w:leftChars="0" w:firstLine="0" w:firstLineChars="0"/>
        <w:textAlignment w:val="auto"/>
        <w:outlineLvl w:val="2"/>
        <w:rPr>
          <w:rFonts w:hint="default" w:ascii="Arial" w:hAnsi="Arial" w:eastAsia="宋体" w:cs="Arial"/>
          <w:b/>
          <w:bCs/>
          <w:sz w:val="24"/>
          <w:szCs w:val="24"/>
        </w:rPr>
      </w:pPr>
      <w:r>
        <w:rPr>
          <w:rFonts w:hint="default" w:ascii="Arial" w:hAnsi="Arial" w:eastAsia="宋体" w:cs="Arial"/>
          <w:b/>
          <w:bCs w:val="0"/>
          <w:sz w:val="24"/>
          <w:szCs w:val="24"/>
        </w:rPr>
        <w:t>工艺流程</w:t>
      </w:r>
      <w:r>
        <w:rPr>
          <w:rFonts w:hint="default" w:ascii="Arial" w:hAnsi="Arial" w:eastAsia="宋体" w:cs="Arial"/>
          <w:bCs/>
          <w:sz w:val="24"/>
          <w:szCs w:val="24"/>
          <w:lang w:eastAsia="zh-CN"/>
        </w:rPr>
        <w:tab/>
      </w:r>
    </w:p>
    <w:p w14:paraId="407F582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Arial" w:hAnsi="Arial" w:eastAsia="宋体" w:cs="Arial"/>
          <w:b/>
          <w:bCs/>
          <w:sz w:val="24"/>
          <w:szCs w:val="24"/>
          <w:lang w:val="en-US" w:eastAsia="zh-CN"/>
        </w:rPr>
      </w:pPr>
      <w:r>
        <w:rPr>
          <w:rFonts w:hint="default" w:ascii="Arial" w:hAnsi="Arial" w:eastAsia="宋体" w:cs="Arial"/>
          <w:b/>
          <w:bCs/>
          <w:sz w:val="24"/>
          <w:szCs w:val="24"/>
          <w:lang w:eastAsia="zh-CN"/>
        </w:rPr>
        <w:t>（</w:t>
      </w:r>
      <w:r>
        <w:rPr>
          <w:rFonts w:hint="default" w:ascii="Arial" w:hAnsi="Arial" w:eastAsia="宋体" w:cs="Arial"/>
          <w:b/>
          <w:bCs/>
          <w:sz w:val="24"/>
          <w:szCs w:val="24"/>
          <w:lang w:val="en-US" w:eastAsia="zh-CN"/>
        </w:rPr>
        <w:t>1</w:t>
      </w:r>
      <w:r>
        <w:rPr>
          <w:rFonts w:hint="default" w:ascii="Arial" w:hAnsi="Arial" w:eastAsia="宋体" w:cs="Arial"/>
          <w:b/>
          <w:bCs/>
          <w:sz w:val="24"/>
          <w:szCs w:val="24"/>
          <w:lang w:eastAsia="zh-CN"/>
        </w:rPr>
        <w:t>）</w:t>
      </w:r>
      <w:r>
        <w:rPr>
          <w:rFonts w:hint="default" w:ascii="Arial" w:hAnsi="Arial" w:eastAsia="宋体" w:cs="Arial"/>
          <w:b/>
          <w:bCs/>
          <w:sz w:val="24"/>
          <w:szCs w:val="24"/>
          <w:lang w:val="en-US" w:eastAsia="zh-CN"/>
        </w:rPr>
        <w:t>扭杆生产工艺</w:t>
      </w:r>
    </w:p>
    <w:p w14:paraId="2520AC9E">
      <w:pPr>
        <w:jc w:val="center"/>
        <w:rPr>
          <w:rFonts w:hint="default" w:ascii="Arial" w:hAnsi="Arial" w:eastAsia="宋体" w:cs="Arial"/>
          <w:b/>
          <w:bCs/>
          <w:sz w:val="24"/>
          <w:szCs w:val="24"/>
        </w:rPr>
      </w:pPr>
      <w:r>
        <w:rPr>
          <w:rFonts w:hint="default" w:ascii="Arial" w:hAnsi="Arial" w:eastAsia="宋体" w:cs="Arial"/>
          <w:b/>
          <w:bCs/>
          <w:sz w:val="24"/>
          <w:szCs w:val="24"/>
        </w:rPr>
        <w:object>
          <v:shape id="_x0000_i1025" o:spt="75" type="#_x0000_t75" style="height:380.25pt;width:284.25pt;" o:ole="t" filled="f" o:preferrelative="t" stroked="f" coordsize="21600,21600">
            <v:path/>
            <v:fill on="f" focussize="0,0"/>
            <v:stroke on="f"/>
            <v:imagedata r:id="rId35" o:title=""/>
            <o:lock v:ext="edit" aspectratio="f"/>
            <w10:wrap type="none"/>
            <w10:anchorlock/>
          </v:shape>
          <o:OLEObject Type="Embed" ProgID="Visio.Drawing.11" ShapeID="_x0000_i1025" DrawAspect="Content" ObjectID="_1468075725" r:id="rId34">
            <o:LockedField>false</o:LockedField>
          </o:OLEObject>
        </w:object>
      </w:r>
    </w:p>
    <w:p w14:paraId="1C8907C8">
      <w:pPr>
        <w:numPr>
          <w:ilvl w:val="5"/>
          <w:numId w:val="4"/>
        </w:numPr>
        <w:ind w:left="775" w:leftChars="0" w:firstLine="0" w:firstLineChars="0"/>
        <w:jc w:val="center"/>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扭杆</w:t>
      </w:r>
      <w:r>
        <w:rPr>
          <w:rFonts w:hint="default" w:ascii="Arial" w:hAnsi="Arial" w:eastAsia="宋体" w:cs="Arial"/>
          <w:b/>
          <w:bCs/>
          <w:sz w:val="24"/>
          <w:szCs w:val="24"/>
        </w:rPr>
        <w:t>生产工艺流程及产污环节图</w:t>
      </w:r>
    </w:p>
    <w:p w14:paraId="0018FB0F">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主要工艺流程说明：</w:t>
      </w:r>
    </w:p>
    <w:p w14:paraId="62BD0C7B">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color w:val="000000" w:themeColor="text1"/>
          <w:spacing w:val="-6"/>
          <w:sz w:val="24"/>
          <w:szCs w:val="24"/>
          <w:lang w:val="en-US" w:eastAsia="zh-CN"/>
          <w14:textFill>
            <w14:solidFill>
              <w14:schemeClr w14:val="tx1"/>
            </w14:solidFill>
          </w14:textFill>
        </w:rPr>
      </w:pPr>
      <w:r>
        <w:rPr>
          <w:rFonts w:hint="default" w:ascii="Arial" w:hAnsi="Arial" w:eastAsia="宋体" w:cs="Arial"/>
          <w:sz w:val="24"/>
          <w:szCs w:val="24"/>
          <w:lang w:val="en-US" w:eastAsia="zh-CN"/>
        </w:rPr>
        <w:t>①原材料入场检验：</w:t>
      </w:r>
      <w:r>
        <w:rPr>
          <w:rFonts w:hint="default" w:ascii="Arial" w:hAnsi="Arial" w:eastAsia="宋体" w:cs="Arial"/>
          <w:spacing w:val="-6"/>
          <w:sz w:val="24"/>
          <w:szCs w:val="24"/>
          <w:lang w:val="en-US" w:eastAsia="zh-CN"/>
        </w:rPr>
        <w:t>检验原材料有无锈迹、折皱、裂纹等影响使用的缺陷。</w:t>
      </w:r>
    </w:p>
    <w:p w14:paraId="74CAAC51">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②粗加工外圆：使用走心机对检验合格的原材料进行车外圆。</w:t>
      </w:r>
    </w:p>
    <w:p w14:paraId="638D1A7E">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③等温淬火：对工件进行等温淬火，此步骤为外协。</w:t>
      </w:r>
    </w:p>
    <w:p w14:paraId="1A9A218A">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④精加工外圆、搓齿、精加工总长：使用无心磨床、搓齿机、数控车床等设备对工件进行进一步加工。</w:t>
      </w:r>
    </w:p>
    <w:p w14:paraId="0CB6B63C">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color w:val="000000" w:themeColor="text1"/>
          <w:sz w:val="24"/>
          <w:szCs w:val="24"/>
          <w:lang w:val="en-US" w:eastAsia="zh-CN"/>
          <w14:textFill>
            <w14:solidFill>
              <w14:schemeClr w14:val="tx1"/>
            </w14:solidFill>
          </w14:textFill>
        </w:rPr>
        <w:t>⑤充磁、探伤、退磁：对工件施加部分或整体的环绕磁场，使工件整体或局部磁化。使</w:t>
      </w:r>
      <w:r>
        <w:rPr>
          <w:rFonts w:hint="eastAsia" w:ascii="Arial" w:hAnsi="Arial" w:eastAsia="宋体" w:cs="Arial"/>
          <w:color w:val="000000" w:themeColor="text1"/>
          <w:sz w:val="24"/>
          <w:szCs w:val="24"/>
          <w:lang w:val="en-US" w:eastAsia="zh-CN"/>
          <w14:textFill>
            <w14:solidFill>
              <w14:schemeClr w14:val="tx1"/>
            </w14:solidFill>
          </w14:textFill>
        </w:rPr>
        <w:t>荧光探伤液</w:t>
      </w:r>
      <w:r>
        <w:rPr>
          <w:rFonts w:hint="default" w:ascii="Arial" w:hAnsi="Arial" w:eastAsia="宋体" w:cs="Arial"/>
          <w:color w:val="000000" w:themeColor="text1"/>
          <w:sz w:val="24"/>
          <w:szCs w:val="24"/>
          <w:lang w:val="en-US" w:eastAsia="zh-CN"/>
          <w14:textFill>
            <w14:solidFill>
              <w14:schemeClr w14:val="tx1"/>
            </w14:solidFill>
          </w14:textFill>
        </w:rPr>
        <w:t>吸附在缺陷部位的磁极之</w:t>
      </w:r>
      <w:r>
        <w:rPr>
          <w:rFonts w:hint="default" w:ascii="Arial" w:hAnsi="Arial" w:eastAsia="宋体" w:cs="Arial"/>
          <w:sz w:val="24"/>
          <w:szCs w:val="24"/>
          <w:lang w:val="en-US" w:eastAsia="zh-CN"/>
        </w:rPr>
        <w:t>间形成检测图像，探伤磁化后的工件达到磁饱和，进行退磁，使工件的剩磁达到国家标准或磁化前的状态。</w:t>
      </w:r>
      <w:r>
        <w:rPr>
          <w:rFonts w:hint="eastAsia" w:ascii="Arial" w:hAnsi="Arial" w:eastAsia="宋体" w:cs="Arial"/>
          <w:sz w:val="24"/>
          <w:szCs w:val="24"/>
          <w:lang w:val="en-US" w:eastAsia="zh-CN"/>
        </w:rPr>
        <w:t>荧光探伤液使用荧光粉和水配置。</w:t>
      </w:r>
    </w:p>
    <w:p w14:paraId="5B211F92">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⑥清洗：两槽式超声波浪涌抛动式清洗机，防锈槽容量为60L，槽内加水和</w:t>
      </w:r>
      <w:r>
        <w:rPr>
          <w:rFonts w:hint="eastAsia" w:ascii="Arial" w:hAnsi="Arial" w:eastAsia="宋体" w:cs="Arial"/>
          <w:sz w:val="24"/>
          <w:szCs w:val="24"/>
          <w:lang w:val="en-US" w:eastAsia="zh-CN"/>
        </w:rPr>
        <w:t>FD-16</w:t>
      </w:r>
      <w:r>
        <w:rPr>
          <w:rFonts w:hint="default" w:ascii="Arial" w:hAnsi="Arial" w:eastAsia="宋体" w:cs="Arial"/>
          <w:sz w:val="24"/>
          <w:szCs w:val="24"/>
          <w:lang w:val="en-US" w:eastAsia="zh-CN"/>
        </w:rPr>
        <w:t>防锈剂（防锈剂浓度约槽液的为3-5%），清洗温度为35-45℃（电加热），工作节拍为1min，</w:t>
      </w:r>
      <w:r>
        <w:rPr>
          <w:rFonts w:hint="default" w:ascii="Arial" w:hAnsi="Arial" w:eastAsia="宋体" w:cs="Arial"/>
          <w:bCs/>
          <w:color w:val="000000"/>
          <w:kern w:val="28"/>
          <w:sz w:val="24"/>
          <w:szCs w:val="24"/>
          <w:lang w:val="en-US" w:eastAsia="zh-CN"/>
        </w:rPr>
        <w:t>防锈槽的更换频率为3天/次</w:t>
      </w:r>
      <w:r>
        <w:rPr>
          <w:rFonts w:hint="default" w:ascii="Arial" w:hAnsi="Arial" w:eastAsia="宋体" w:cs="Arial"/>
          <w:sz w:val="24"/>
          <w:szCs w:val="24"/>
          <w:lang w:val="en-US" w:eastAsia="zh-CN"/>
        </w:rPr>
        <w:t>。清洗时首先将两槽式超声波浪涌抛动式清洗机开启，并将设备调整至指定参数，将零件放入超声波清洗篮，放入第一道防锈槽内，自动流转清洗。</w:t>
      </w:r>
    </w:p>
    <w:p w14:paraId="2F4E6999">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⑦烘干：零件转出清洗机后，转入烘箱烘干（电加热），烘干温度110-140℃，烘干时间约90min。</w:t>
      </w:r>
    </w:p>
    <w:p w14:paraId="5551A75E">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⑧检验：人工对零部件进行检验。</w:t>
      </w:r>
    </w:p>
    <w:p w14:paraId="48445927">
      <w:pPr>
        <w:jc w:val="left"/>
        <w:rPr>
          <w:rFonts w:hint="default" w:ascii="Arial" w:hAnsi="Arial" w:eastAsia="宋体" w:cs="Arial"/>
          <w:b/>
          <w:bCs/>
          <w:sz w:val="24"/>
          <w:szCs w:val="24"/>
          <w:lang w:val="en-US" w:eastAsia="zh-CN"/>
        </w:rPr>
      </w:pPr>
      <w:r>
        <w:rPr>
          <w:rFonts w:hint="default" w:ascii="Arial" w:hAnsi="Arial" w:eastAsia="宋体" w:cs="Arial"/>
          <w:b/>
          <w:bCs/>
          <w:sz w:val="24"/>
          <w:szCs w:val="24"/>
          <w:lang w:eastAsia="zh-CN"/>
        </w:rPr>
        <w:t>（</w:t>
      </w:r>
      <w:r>
        <w:rPr>
          <w:rFonts w:hint="default" w:ascii="Arial" w:hAnsi="Arial" w:eastAsia="宋体" w:cs="Arial"/>
          <w:b/>
          <w:bCs/>
          <w:sz w:val="24"/>
          <w:szCs w:val="24"/>
          <w:lang w:val="en-US" w:eastAsia="zh-CN"/>
        </w:rPr>
        <w:t>2</w:t>
      </w:r>
      <w:r>
        <w:rPr>
          <w:rFonts w:hint="default" w:ascii="Arial" w:hAnsi="Arial" w:eastAsia="宋体" w:cs="Arial"/>
          <w:b/>
          <w:bCs/>
          <w:sz w:val="24"/>
          <w:szCs w:val="24"/>
          <w:lang w:eastAsia="zh-CN"/>
        </w:rPr>
        <w:t>）</w:t>
      </w:r>
      <w:r>
        <w:rPr>
          <w:rFonts w:hint="default" w:ascii="Arial" w:hAnsi="Arial" w:eastAsia="宋体" w:cs="Arial"/>
          <w:b/>
          <w:bCs/>
          <w:sz w:val="24"/>
          <w:szCs w:val="24"/>
          <w:lang w:val="en-US" w:eastAsia="zh-CN"/>
        </w:rPr>
        <w:t>输入轴生产工艺</w:t>
      </w:r>
    </w:p>
    <w:p w14:paraId="45CA4B03">
      <w:pPr>
        <w:jc w:val="center"/>
        <w:rPr>
          <w:rFonts w:hint="default" w:ascii="Arial" w:hAnsi="Arial" w:eastAsia="宋体" w:cs="Arial"/>
          <w:b/>
          <w:bCs/>
          <w:sz w:val="24"/>
          <w:szCs w:val="24"/>
        </w:rPr>
      </w:pPr>
      <w:r>
        <w:rPr>
          <w:rFonts w:hint="default" w:ascii="Arial" w:hAnsi="Arial" w:eastAsia="宋体" w:cs="Arial"/>
          <w:b/>
          <w:bCs/>
          <w:sz w:val="24"/>
          <w:szCs w:val="24"/>
        </w:rPr>
        <w:object>
          <v:shape id="_x0000_i1026" o:spt="75" type="#_x0000_t75" style="height:408.8pt;width:300.75pt;" o:ole="t" filled="f" o:preferrelative="t" stroked="f" coordsize="21600,21600">
            <v:path/>
            <v:fill on="f" focussize="0,0"/>
            <v:stroke on="f"/>
            <v:imagedata r:id="rId37" o:title=""/>
            <o:lock v:ext="edit" aspectratio="f"/>
            <w10:wrap type="none"/>
            <w10:anchorlock/>
          </v:shape>
          <o:OLEObject Type="Embed" ProgID="Visio.Drawing.11" ShapeID="_x0000_i1026" DrawAspect="Content" ObjectID="_1468075726" r:id="rId36">
            <o:LockedField>false</o:LockedField>
          </o:OLEObject>
        </w:object>
      </w:r>
    </w:p>
    <w:p w14:paraId="7A8982BF">
      <w:pPr>
        <w:numPr>
          <w:ilvl w:val="5"/>
          <w:numId w:val="4"/>
        </w:numPr>
        <w:autoSpaceDE w:val="0"/>
        <w:autoSpaceDN w:val="0"/>
        <w:spacing w:line="360" w:lineRule="auto"/>
        <w:ind w:left="775" w:leftChars="0" w:firstLine="0" w:firstLineChars="0"/>
        <w:jc w:val="center"/>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输入轴</w:t>
      </w:r>
      <w:r>
        <w:rPr>
          <w:rFonts w:hint="default" w:ascii="Arial" w:hAnsi="Arial" w:eastAsia="宋体" w:cs="Arial"/>
          <w:b/>
          <w:bCs/>
          <w:sz w:val="24"/>
          <w:szCs w:val="24"/>
        </w:rPr>
        <w:t>生产工艺流程及产污环节图</w:t>
      </w:r>
    </w:p>
    <w:p w14:paraId="09D28F38">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主要工艺流程说明：</w:t>
      </w:r>
    </w:p>
    <w:p w14:paraId="6821A0C7">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56" w:firstLineChars="200"/>
        <w:textAlignment w:val="auto"/>
        <w:rPr>
          <w:rFonts w:hint="default" w:ascii="Arial" w:hAnsi="Arial" w:eastAsia="宋体" w:cs="Arial"/>
          <w:spacing w:val="-6"/>
          <w:sz w:val="24"/>
          <w:szCs w:val="24"/>
          <w:lang w:val="en-US" w:eastAsia="zh-CN"/>
        </w:rPr>
      </w:pPr>
      <w:r>
        <w:rPr>
          <w:rFonts w:hint="default" w:ascii="Arial" w:hAnsi="Arial" w:eastAsia="宋体" w:cs="Arial"/>
          <w:spacing w:val="-6"/>
          <w:sz w:val="24"/>
          <w:szCs w:val="24"/>
          <w:lang w:val="en-US" w:eastAsia="zh-CN"/>
        </w:rPr>
        <w:t>①原材料入场检验：检验原材料有无锈迹、折皱、裂纹等影响使用的缺陷。</w:t>
      </w:r>
    </w:p>
    <w:p w14:paraId="16F28D51">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②等温淬火：对工件进行等温淬火，此步骤为外协。</w:t>
      </w:r>
    </w:p>
    <w:p w14:paraId="780EBCA7">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③粗加工外圆：使用走心机对检验合格的原材料进行车外圆。</w:t>
      </w:r>
    </w:p>
    <w:p w14:paraId="7B9DEA72">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④精加工外圆、滚齿、精加工总长：使用无心磨床、搓齿机、数控车床等设备对工件进行进一步加工。</w:t>
      </w:r>
    </w:p>
    <w:p w14:paraId="4A6F3BCB">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lang w:val="en-US" w:eastAsia="zh-CN"/>
        </w:rPr>
        <w:t>⑤充磁、探伤、退磁：对工件施加部分或整体的环绕磁场，使工件整体或局部磁化。使</w:t>
      </w:r>
      <w:r>
        <w:rPr>
          <w:rFonts w:hint="eastAsia" w:ascii="Arial" w:hAnsi="Arial" w:eastAsia="宋体" w:cs="Arial"/>
          <w:sz w:val="24"/>
          <w:szCs w:val="24"/>
          <w:lang w:val="en-US" w:eastAsia="zh-CN"/>
        </w:rPr>
        <w:t>荧光探伤液</w:t>
      </w:r>
      <w:r>
        <w:rPr>
          <w:rFonts w:hint="default" w:ascii="Arial" w:hAnsi="Arial" w:eastAsia="宋体" w:cs="Arial"/>
          <w:sz w:val="24"/>
          <w:szCs w:val="24"/>
          <w:lang w:val="en-US" w:eastAsia="zh-CN"/>
        </w:rPr>
        <w:t>吸附在缺陷部位的磁极之间形成检测图像，探伤磁化后的工件达到磁饱和，进行退磁，使工件的剩磁达到国家标准或磁化前的状态。</w:t>
      </w:r>
      <w:r>
        <w:rPr>
          <w:rFonts w:hint="eastAsia" w:ascii="Arial" w:hAnsi="Arial" w:eastAsia="宋体" w:cs="Arial"/>
          <w:sz w:val="24"/>
          <w:szCs w:val="24"/>
          <w:lang w:val="en-US" w:eastAsia="zh-CN"/>
        </w:rPr>
        <w:t>荧光探伤液使用荧光粉和水配置。</w:t>
      </w:r>
    </w:p>
    <w:p w14:paraId="77F0ED4A">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①清洗：使用超声波清洗线进行清洗，</w:t>
      </w:r>
      <w:r>
        <w:rPr>
          <w:rFonts w:hint="default" w:ascii="Arial" w:hAnsi="Arial" w:eastAsia="宋体" w:cs="Arial"/>
          <w:bCs/>
          <w:color w:val="000000"/>
          <w:kern w:val="28"/>
          <w:sz w:val="24"/>
          <w:szCs w:val="24"/>
          <w:lang w:val="en-US" w:eastAsia="zh-CN"/>
        </w:rPr>
        <w:t>每条清洗线有2个清洗槽（0.6</w:t>
      </w:r>
      <w:r>
        <w:rPr>
          <w:rFonts w:hint="default" w:ascii="Arial" w:hAnsi="Arial" w:eastAsia="宋体" w:cs="Arial"/>
          <w:b w:val="0"/>
          <w:color w:val="000000"/>
          <w:sz w:val="21"/>
          <w:szCs w:val="21"/>
        </w:rPr>
        <w:t>m</w:t>
      </w:r>
      <w:r>
        <w:rPr>
          <w:rFonts w:hint="default" w:ascii="Arial" w:hAnsi="Arial" w:eastAsia="宋体" w:cs="Arial"/>
          <w:b w:val="0"/>
          <w:color w:val="000000"/>
          <w:sz w:val="21"/>
          <w:szCs w:val="21"/>
          <w:vertAlign w:val="superscript"/>
        </w:rPr>
        <w:t>3</w:t>
      </w:r>
      <w:r>
        <w:rPr>
          <w:rFonts w:hint="default" w:ascii="Arial" w:hAnsi="Arial" w:eastAsia="宋体" w:cs="Arial"/>
          <w:bCs/>
          <w:color w:val="000000"/>
          <w:kern w:val="28"/>
          <w:sz w:val="24"/>
          <w:szCs w:val="24"/>
          <w:lang w:val="en-US" w:eastAsia="zh-CN"/>
        </w:rPr>
        <w:t>），5个防锈槽（0.6</w:t>
      </w:r>
      <w:r>
        <w:rPr>
          <w:rFonts w:hint="default" w:ascii="Arial" w:hAnsi="Arial" w:eastAsia="宋体" w:cs="Arial"/>
          <w:b w:val="0"/>
          <w:color w:val="000000"/>
          <w:sz w:val="21"/>
          <w:szCs w:val="21"/>
        </w:rPr>
        <w:t>m</w:t>
      </w:r>
      <w:r>
        <w:rPr>
          <w:rFonts w:hint="default" w:ascii="Arial" w:hAnsi="Arial" w:eastAsia="宋体" w:cs="Arial"/>
          <w:b w:val="0"/>
          <w:color w:val="000000"/>
          <w:sz w:val="21"/>
          <w:szCs w:val="21"/>
          <w:vertAlign w:val="superscript"/>
        </w:rPr>
        <w:t>3</w:t>
      </w:r>
      <w:r>
        <w:rPr>
          <w:rFonts w:hint="default" w:ascii="Arial" w:hAnsi="Arial" w:eastAsia="宋体" w:cs="Arial"/>
          <w:bCs/>
          <w:color w:val="000000"/>
          <w:kern w:val="28"/>
          <w:sz w:val="24"/>
          <w:szCs w:val="24"/>
          <w:lang w:val="en-US" w:eastAsia="zh-CN"/>
        </w:rPr>
        <w:t>）。</w:t>
      </w:r>
      <w:r>
        <w:rPr>
          <w:rFonts w:hint="default" w:ascii="Arial" w:hAnsi="Arial" w:eastAsia="宋体" w:cs="Arial"/>
          <w:sz w:val="24"/>
          <w:szCs w:val="24"/>
          <w:lang w:val="en-US" w:eastAsia="zh-CN"/>
        </w:rPr>
        <w:t>清洗槽和防锈槽容量均为60L；清洗槽1、2内加清洗剂QOH-1022Z（清洗剂浓度约槽液的为0.5-1%），工作温度为55-65℃（电加热）；零件防锈槽1、2、3内加防锈剂QV750（防锈剂浓度约槽液的为3-5%）工作温度为55-65℃（电加热）；零件防锈槽4、5内加</w:t>
      </w:r>
      <w:r>
        <w:rPr>
          <w:rFonts w:hint="eastAsia" w:ascii="Arial" w:hAnsi="Arial" w:eastAsia="宋体" w:cs="Arial"/>
          <w:sz w:val="24"/>
          <w:szCs w:val="24"/>
          <w:lang w:val="en-US" w:eastAsia="zh-CN"/>
        </w:rPr>
        <w:t>FD-16</w:t>
      </w:r>
      <w:r>
        <w:rPr>
          <w:rFonts w:hint="default" w:ascii="Arial" w:hAnsi="Arial" w:eastAsia="宋体" w:cs="Arial"/>
          <w:sz w:val="24"/>
          <w:szCs w:val="24"/>
          <w:lang w:val="en-US" w:eastAsia="zh-CN"/>
        </w:rPr>
        <w:t>防锈剂（防锈剂浓度约槽液的为</w:t>
      </w:r>
      <w:r>
        <w:rPr>
          <w:rFonts w:hint="eastAsia" w:ascii="Arial" w:hAnsi="Arial" w:eastAsia="宋体" w:cs="Arial"/>
          <w:sz w:val="24"/>
          <w:szCs w:val="24"/>
          <w:lang w:val="en-US" w:eastAsia="zh-CN"/>
        </w:rPr>
        <w:t>3-5</w:t>
      </w:r>
      <w:r>
        <w:rPr>
          <w:rFonts w:hint="default" w:ascii="Arial" w:hAnsi="Arial" w:eastAsia="宋体" w:cs="Arial"/>
          <w:sz w:val="24"/>
          <w:szCs w:val="24"/>
          <w:lang w:val="en-US" w:eastAsia="zh-CN"/>
        </w:rPr>
        <w:t>%），工作温度为45-55℃（电加热）。工作节拍为2min。清洗时首先将超声波清洗槽开启，并将设备调整至指定参数，将零件放入超声波清洗篮，放入第一道清洗槽内，自动流转清洗。清洗槽更换频率为30000件/次；防锈槽1、2、3的更换频率为10000件/次；防锈槽4、5的更换频率为7天/次。</w:t>
      </w:r>
    </w:p>
    <w:p w14:paraId="0E11C37A">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②烘干：零件转出清洗机后，转入烘箱烘干（电加热），烘干温度110-140℃，烘干时间约90min。</w:t>
      </w:r>
    </w:p>
    <w:p w14:paraId="405ED213">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sectPr>
          <w:headerReference r:id="rId14"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sz w:val="24"/>
          <w:szCs w:val="24"/>
          <w:lang w:val="en-US" w:eastAsia="zh-CN"/>
        </w:rPr>
        <w:t>③检验：人工对零部件进行检验。</w:t>
      </w:r>
    </w:p>
    <w:p w14:paraId="3BC74C7E">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textAlignment w:val="auto"/>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电镀SSU输入轴生产工艺</w:t>
      </w:r>
    </w:p>
    <w:p w14:paraId="245494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Arial" w:hAnsi="Arial" w:eastAsia="宋体" w:cs="Arial"/>
          <w:b/>
          <w:bCs/>
          <w:sz w:val="24"/>
          <w:szCs w:val="24"/>
        </w:rPr>
      </w:pPr>
      <w:r>
        <w:rPr>
          <w:rFonts w:hint="default" w:ascii="Arial" w:hAnsi="Arial" w:eastAsia="宋体" w:cs="Arial"/>
          <w:b/>
          <w:bCs/>
          <w:sz w:val="24"/>
          <w:szCs w:val="24"/>
        </w:rPr>
        <w:object>
          <v:shape id="_x0000_i1027" o:spt="75" type="#_x0000_t75" style="height:448.5pt;width:300.75pt;" o:ole="t" filled="f" o:preferrelative="t" stroked="f" coordsize="21600,21600">
            <v:path/>
            <v:fill on="f" focussize="0,0"/>
            <v:stroke on="f"/>
            <v:imagedata r:id="rId39" o:title=""/>
            <o:lock v:ext="edit" aspectratio="f"/>
            <w10:wrap type="none"/>
            <w10:anchorlock/>
          </v:shape>
          <o:OLEObject Type="Embed" ProgID="Visio.Drawing.11" ShapeID="_x0000_i1027" DrawAspect="Content" ObjectID="_1468075727" r:id="rId38">
            <o:LockedField>false</o:LockedField>
          </o:OLEObject>
        </w:object>
      </w:r>
    </w:p>
    <w:p w14:paraId="44F4193F">
      <w:pPr>
        <w:numPr>
          <w:ilvl w:val="5"/>
          <w:numId w:val="4"/>
        </w:numPr>
        <w:autoSpaceDE w:val="0"/>
        <w:autoSpaceDN w:val="0"/>
        <w:spacing w:line="360" w:lineRule="auto"/>
        <w:ind w:left="775" w:leftChars="0" w:firstLine="0" w:firstLineChars="0"/>
        <w:jc w:val="center"/>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电镀SSU输入轴</w:t>
      </w:r>
      <w:r>
        <w:rPr>
          <w:rFonts w:hint="default" w:ascii="Arial" w:hAnsi="Arial" w:eastAsia="宋体" w:cs="Arial"/>
          <w:b/>
          <w:bCs/>
          <w:sz w:val="24"/>
          <w:szCs w:val="24"/>
        </w:rPr>
        <w:t>生产工艺流程及产污环节图</w:t>
      </w:r>
    </w:p>
    <w:p w14:paraId="63CBD0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Arial" w:hAnsi="Arial" w:eastAsia="宋体" w:cs="Arial"/>
          <w:b w:val="0"/>
          <w:bCs w:val="0"/>
          <w:sz w:val="24"/>
          <w:szCs w:val="24"/>
          <w:lang w:val="en-US" w:eastAsia="zh-CN"/>
        </w:rPr>
      </w:pPr>
      <w:r>
        <w:rPr>
          <w:rFonts w:hint="default" w:ascii="Arial" w:hAnsi="Arial" w:eastAsia="宋体" w:cs="Arial"/>
          <w:b w:val="0"/>
          <w:bCs w:val="0"/>
          <w:sz w:val="24"/>
          <w:szCs w:val="24"/>
          <w:lang w:val="en-US" w:eastAsia="zh-CN"/>
        </w:rPr>
        <w:t>主要工艺流程说明：</w:t>
      </w:r>
    </w:p>
    <w:p w14:paraId="1687B6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Arial" w:hAnsi="Arial" w:eastAsia="宋体" w:cs="Arial"/>
          <w:sz w:val="24"/>
          <w:szCs w:val="24"/>
          <w:lang w:val="en-US" w:eastAsia="zh-CN"/>
        </w:rPr>
        <w:sectPr>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b w:val="0"/>
          <w:bCs w:val="0"/>
          <w:sz w:val="24"/>
          <w:szCs w:val="24"/>
          <w:lang w:val="en-US" w:eastAsia="zh-CN"/>
        </w:rPr>
        <w:t>电镀SSU输入轴生产工艺流程与输入轴相同，仅在精加工外圆后进行电镀镀锌处理，此工序为外协，无污染物产生。使用多槽式超声波清洗线进行清洗，</w:t>
      </w:r>
      <w:r>
        <w:rPr>
          <w:rFonts w:hint="default" w:ascii="Arial" w:hAnsi="Arial" w:eastAsia="宋体" w:cs="Arial"/>
          <w:sz w:val="24"/>
          <w:szCs w:val="24"/>
          <w:lang w:val="en-US" w:eastAsia="zh-CN"/>
        </w:rPr>
        <w:t>多槽超声波清洗线和超声波清洗线清洗方式相同。</w:t>
      </w:r>
    </w:p>
    <w:p w14:paraId="5C0B2144">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textAlignment w:val="auto"/>
        <w:rPr>
          <w:rFonts w:hint="default" w:ascii="Arial" w:hAnsi="Arial" w:eastAsia="宋体" w:cs="Arial"/>
          <w:sz w:val="24"/>
          <w:szCs w:val="24"/>
          <w:lang w:val="en-US" w:eastAsia="zh-CN"/>
        </w:rPr>
      </w:pPr>
      <w:r>
        <w:rPr>
          <w:rFonts w:hint="default" w:ascii="Arial" w:hAnsi="Arial" w:eastAsia="宋体" w:cs="Arial"/>
          <w:b/>
          <w:bCs/>
          <w:sz w:val="24"/>
          <w:szCs w:val="24"/>
          <w:lang w:val="en-US" w:eastAsia="zh-CN"/>
        </w:rPr>
        <w:t>齿轮轴生产工艺</w:t>
      </w:r>
    </w:p>
    <w:p w14:paraId="23769ED4">
      <w:pPr>
        <w:pStyle w:val="5"/>
        <w:bidi w:val="0"/>
        <w:jc w:val="center"/>
        <w:rPr>
          <w:rFonts w:hint="default" w:ascii="Arial" w:hAnsi="Arial" w:eastAsia="宋体" w:cs="Arial"/>
          <w:lang w:val="en-US" w:eastAsia="zh-CN"/>
        </w:rPr>
      </w:pPr>
      <w:r>
        <w:rPr>
          <w:rFonts w:hint="default" w:ascii="Arial" w:hAnsi="Arial" w:eastAsia="宋体" w:cs="Arial"/>
          <w:lang w:val="en-US" w:eastAsia="zh-CN"/>
        </w:rPr>
        <w:object>
          <v:shape id="_x0000_i1028" o:spt="75" type="#_x0000_t75" style="height:441.75pt;width:309.75pt;" o:ole="t" filled="f" o:preferrelative="t" stroked="f" coordsize="21600,21600">
            <v:path/>
            <v:fill on="f" focussize="0,0"/>
            <v:stroke on="f"/>
            <v:imagedata r:id="rId41" o:title=""/>
            <o:lock v:ext="edit" aspectratio="f"/>
            <w10:wrap type="none"/>
            <w10:anchorlock/>
          </v:shape>
          <o:OLEObject Type="Embed" ProgID="Visio.Drawing.11" ShapeID="_x0000_i1028" DrawAspect="Content" ObjectID="_1468075728" r:id="rId40">
            <o:LockedField>false</o:LockedField>
          </o:OLEObject>
        </w:object>
      </w:r>
    </w:p>
    <w:p w14:paraId="69D0751E">
      <w:pPr>
        <w:numPr>
          <w:ilvl w:val="5"/>
          <w:numId w:val="4"/>
        </w:numPr>
        <w:autoSpaceDE w:val="0"/>
        <w:autoSpaceDN w:val="0"/>
        <w:spacing w:line="360" w:lineRule="auto"/>
        <w:ind w:left="775" w:leftChars="0" w:firstLine="0" w:firstLineChars="0"/>
        <w:jc w:val="center"/>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齿轮轴</w:t>
      </w:r>
      <w:r>
        <w:rPr>
          <w:rFonts w:hint="default" w:ascii="Arial" w:hAnsi="Arial" w:eastAsia="宋体" w:cs="Arial"/>
          <w:b/>
          <w:bCs/>
          <w:sz w:val="24"/>
          <w:szCs w:val="24"/>
        </w:rPr>
        <w:t>生产工艺流程及产污环节图</w:t>
      </w:r>
    </w:p>
    <w:p w14:paraId="40B6CD36">
      <w:pPr>
        <w:pStyle w:val="6"/>
        <w:rPr>
          <w:rFonts w:hint="default" w:ascii="Arial" w:hAnsi="Arial" w:cs="Arial"/>
          <w:lang w:val="en-US" w:eastAsia="zh-CN"/>
        </w:rPr>
      </w:pPr>
    </w:p>
    <w:p w14:paraId="673C8214">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主要工艺流程说明：</w:t>
      </w:r>
    </w:p>
    <w:p w14:paraId="77D2DFF1">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sz w:val="24"/>
          <w:szCs w:val="24"/>
          <w:lang w:val="en-US" w:eastAsia="zh-CN"/>
        </w:rPr>
        <w:t>①原材</w:t>
      </w:r>
      <w:r>
        <w:rPr>
          <w:rFonts w:hint="default" w:ascii="Arial" w:hAnsi="Arial" w:eastAsia="宋体" w:cs="Arial"/>
          <w:color w:val="000000" w:themeColor="text1"/>
          <w:sz w:val="24"/>
          <w:szCs w:val="24"/>
          <w:lang w:val="en-US" w:eastAsia="zh-CN"/>
          <w14:textFill>
            <w14:solidFill>
              <w14:schemeClr w14:val="tx1"/>
            </w14:solidFill>
          </w14:textFill>
        </w:rPr>
        <w:t>料入场检验：检验原材料有无锈迹、折皱、裂纹等影响使用的缺陷。</w:t>
      </w:r>
    </w:p>
    <w:p w14:paraId="22762E65">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②粗加工外圆、精加工外圆、内孔、粗滚齿：使用走心机、无心磨床、搓齿机、数控车床等设备对工件进行进一步加工</w:t>
      </w:r>
    </w:p>
    <w:p w14:paraId="4841D26B">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color w:val="000000" w:themeColor="text1"/>
          <w:sz w:val="24"/>
          <w:szCs w:val="24"/>
          <w:lang w:val="en-US" w:eastAsia="zh-CN"/>
          <w14:textFill>
            <w14:solidFill>
              <w14:schemeClr w14:val="tx1"/>
            </w14:solidFill>
          </w14:textFill>
        </w:rPr>
        <w:t>③感应淬火+回火：将工件放在用空心铜管绕成的感应器内，通入中频或高频交流电后，在工件表面</w:t>
      </w:r>
      <w:r>
        <w:rPr>
          <w:rFonts w:hint="default" w:ascii="Arial" w:hAnsi="Arial" w:eastAsia="宋体" w:cs="Arial"/>
          <w:sz w:val="24"/>
          <w:szCs w:val="24"/>
          <w:lang w:val="en-US" w:eastAsia="zh-CN"/>
        </w:rPr>
        <w:t>形成同频率的的感应电流，将零件表面或局部迅速加热，保温约2h后喷淬火液冷却，再装入回火设备中进行回火，使工件表面或局部达到相应的硬度要求。</w:t>
      </w:r>
    </w:p>
    <w:p w14:paraId="6E2E3FF8">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④精滚齿、精磨外圆：使用滚齿机、数控磨床对工件进行精加工。</w:t>
      </w:r>
    </w:p>
    <w:p w14:paraId="72D928BD">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lang w:val="en-US" w:eastAsia="zh-CN"/>
        </w:rPr>
        <w:t>⑤充磁、探伤、退磁：对工件施加部分或整体的环绕磁场，使工件整体或局部磁化。使</w:t>
      </w:r>
      <w:r>
        <w:rPr>
          <w:rFonts w:hint="eastAsia" w:ascii="Arial" w:hAnsi="Arial" w:eastAsia="宋体" w:cs="Arial"/>
          <w:sz w:val="24"/>
          <w:szCs w:val="24"/>
          <w:lang w:val="en-US" w:eastAsia="zh-CN"/>
        </w:rPr>
        <w:t>荧光探伤液</w:t>
      </w:r>
      <w:r>
        <w:rPr>
          <w:rFonts w:hint="default" w:ascii="Arial" w:hAnsi="Arial" w:eastAsia="宋体" w:cs="Arial"/>
          <w:sz w:val="24"/>
          <w:szCs w:val="24"/>
          <w:lang w:val="en-US" w:eastAsia="zh-CN"/>
        </w:rPr>
        <w:t>吸附在缺陷部位的磁极之间形成检测图像，探伤磁化后的工件达到磁饱和，进行退磁，使工件的剩磁达到国家标准或磁化前的状态。</w:t>
      </w:r>
      <w:r>
        <w:rPr>
          <w:rFonts w:hint="eastAsia" w:ascii="Arial" w:hAnsi="Arial" w:eastAsia="宋体" w:cs="Arial"/>
          <w:sz w:val="24"/>
          <w:szCs w:val="24"/>
          <w:lang w:val="en-US" w:eastAsia="zh-CN"/>
        </w:rPr>
        <w:t>荧光探伤液使用荧光粉和水配置。</w:t>
      </w:r>
    </w:p>
    <w:p w14:paraId="797747A8">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⑥清洗：使用超声波清洗线进行清洗，</w:t>
      </w:r>
      <w:r>
        <w:rPr>
          <w:rFonts w:hint="default" w:ascii="Arial" w:hAnsi="Arial" w:eastAsia="宋体" w:cs="Arial"/>
          <w:bCs/>
          <w:color w:val="000000"/>
          <w:kern w:val="28"/>
          <w:sz w:val="24"/>
          <w:szCs w:val="24"/>
          <w:lang w:val="en-US" w:eastAsia="zh-CN"/>
        </w:rPr>
        <w:t>每条清洗线有2个清洗槽（0.6</w:t>
      </w:r>
      <w:r>
        <w:rPr>
          <w:rFonts w:hint="default" w:ascii="Arial" w:hAnsi="Arial" w:eastAsia="宋体" w:cs="Arial"/>
          <w:b w:val="0"/>
          <w:color w:val="000000"/>
          <w:sz w:val="21"/>
          <w:szCs w:val="21"/>
        </w:rPr>
        <w:t>m</w:t>
      </w:r>
      <w:r>
        <w:rPr>
          <w:rFonts w:hint="default" w:ascii="Arial" w:hAnsi="Arial" w:eastAsia="宋体" w:cs="Arial"/>
          <w:b w:val="0"/>
          <w:color w:val="000000"/>
          <w:sz w:val="21"/>
          <w:szCs w:val="21"/>
          <w:vertAlign w:val="superscript"/>
        </w:rPr>
        <w:t>3</w:t>
      </w:r>
      <w:r>
        <w:rPr>
          <w:rFonts w:hint="default" w:ascii="Arial" w:hAnsi="Arial" w:eastAsia="宋体" w:cs="Arial"/>
          <w:bCs/>
          <w:color w:val="000000"/>
          <w:kern w:val="28"/>
          <w:sz w:val="24"/>
          <w:szCs w:val="24"/>
          <w:lang w:val="en-US" w:eastAsia="zh-CN"/>
        </w:rPr>
        <w:t>），5个防锈槽（0.6</w:t>
      </w:r>
      <w:r>
        <w:rPr>
          <w:rFonts w:hint="default" w:ascii="Arial" w:hAnsi="Arial" w:eastAsia="宋体" w:cs="Arial"/>
          <w:b w:val="0"/>
          <w:color w:val="000000"/>
          <w:sz w:val="21"/>
          <w:szCs w:val="21"/>
        </w:rPr>
        <w:t>m</w:t>
      </w:r>
      <w:r>
        <w:rPr>
          <w:rFonts w:hint="default" w:ascii="Arial" w:hAnsi="Arial" w:eastAsia="宋体" w:cs="Arial"/>
          <w:b w:val="0"/>
          <w:color w:val="000000"/>
          <w:sz w:val="21"/>
          <w:szCs w:val="21"/>
          <w:vertAlign w:val="superscript"/>
        </w:rPr>
        <w:t>3</w:t>
      </w:r>
      <w:r>
        <w:rPr>
          <w:rFonts w:hint="default" w:ascii="Arial" w:hAnsi="Arial" w:eastAsia="宋体" w:cs="Arial"/>
          <w:bCs/>
          <w:color w:val="000000"/>
          <w:kern w:val="28"/>
          <w:sz w:val="24"/>
          <w:szCs w:val="24"/>
          <w:lang w:val="en-US" w:eastAsia="zh-CN"/>
        </w:rPr>
        <w:t>）。</w:t>
      </w:r>
      <w:r>
        <w:rPr>
          <w:rFonts w:hint="default" w:ascii="Arial" w:hAnsi="Arial" w:eastAsia="宋体" w:cs="Arial"/>
          <w:sz w:val="24"/>
          <w:szCs w:val="24"/>
          <w:lang w:val="en-US" w:eastAsia="zh-CN"/>
        </w:rPr>
        <w:t>清洗槽和防锈槽容量均为60L；清洗槽1、2内加清洗剂QOH-1022Z（清洗剂浓度约槽液的为0.5-1%），工作温度为55-65℃（电加热）；零件防锈槽1、2、3内加防锈剂QV750（防锈剂浓度约槽液的为3-5%）工作温度为55-65℃（电加热）；零件防锈槽4、5内加</w:t>
      </w:r>
      <w:r>
        <w:rPr>
          <w:rFonts w:hint="eastAsia" w:ascii="Arial" w:hAnsi="Arial" w:eastAsia="宋体" w:cs="Arial"/>
          <w:sz w:val="24"/>
          <w:szCs w:val="24"/>
          <w:lang w:val="en-US" w:eastAsia="zh-CN"/>
        </w:rPr>
        <w:t>FD-16</w:t>
      </w:r>
      <w:r>
        <w:rPr>
          <w:rFonts w:hint="default" w:ascii="Arial" w:hAnsi="Arial" w:eastAsia="宋体" w:cs="Arial"/>
          <w:sz w:val="24"/>
          <w:szCs w:val="24"/>
          <w:lang w:val="en-US" w:eastAsia="zh-CN"/>
        </w:rPr>
        <w:t>防锈剂（防锈剂浓度约槽液的为</w:t>
      </w:r>
      <w:r>
        <w:rPr>
          <w:rFonts w:hint="eastAsia" w:ascii="Arial" w:hAnsi="Arial" w:eastAsia="宋体" w:cs="Arial"/>
          <w:sz w:val="24"/>
          <w:szCs w:val="24"/>
          <w:lang w:val="en-US" w:eastAsia="zh-CN"/>
        </w:rPr>
        <w:t>3-5</w:t>
      </w:r>
      <w:r>
        <w:rPr>
          <w:rFonts w:hint="default" w:ascii="Arial" w:hAnsi="Arial" w:eastAsia="宋体" w:cs="Arial"/>
          <w:sz w:val="24"/>
          <w:szCs w:val="24"/>
          <w:lang w:val="en-US" w:eastAsia="zh-CN"/>
        </w:rPr>
        <w:t>%），工作温度为45-55℃（电加热）。工作节拍为2min。清洗时首先将超声波清洗槽开启，并将设备调整至指定参数，将零件放入超声波清洗篮，放入第一道清洗槽内，自动流转清洗。</w:t>
      </w:r>
    </w:p>
    <w:p w14:paraId="1DF5B040">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超声波清洗线清洗槽更换频率为30000件/次；防锈槽1、2、3的更换频率为10000件/次；防锈槽4、5的更换频率为7天/次。</w:t>
      </w:r>
    </w:p>
    <w:p w14:paraId="7D48D770">
      <w:pPr>
        <w:keepNext w:val="0"/>
        <w:keepLines w:val="0"/>
        <w:pageBreakBefore w:val="0"/>
        <w:widowControl w:val="0"/>
        <w:kinsoku/>
        <w:wordWrap/>
        <w:overflowPunct/>
        <w:topLinePunct w:val="0"/>
        <w:autoSpaceDE/>
        <w:autoSpaceDN/>
        <w:bidi w:val="0"/>
        <w:adjustRightInd w:val="0"/>
        <w:snapToGrid w:val="0"/>
        <w:spacing w:line="360" w:lineRule="auto"/>
        <w:ind w:left="105" w:leftChars="50" w:firstLine="480" w:firstLineChars="200"/>
        <w:textAlignment w:val="auto"/>
        <w:rPr>
          <w:rFonts w:hint="default" w:ascii="Arial" w:hAnsi="Arial" w:eastAsia="宋体" w:cs="Arial"/>
          <w:sz w:val="24"/>
          <w:szCs w:val="24"/>
          <w:lang w:val="en-US" w:eastAsia="zh-CN"/>
        </w:rPr>
      </w:pPr>
      <w:r>
        <w:rPr>
          <w:rFonts w:hint="default" w:ascii="Arial" w:hAnsi="Arial" w:eastAsia="宋体" w:cs="Arial"/>
          <w:sz w:val="24"/>
          <w:szCs w:val="24"/>
          <w:lang w:val="en-US" w:eastAsia="zh-CN"/>
        </w:rPr>
        <w:t>⑦烘干：零件转出清洗机后，转入烘箱烘干（电加热），烘干温度110-140℃，烘干时间约90min。</w:t>
      </w:r>
    </w:p>
    <w:p w14:paraId="4CD784A2">
      <w:pPr>
        <w:pStyle w:val="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lang w:val="en-US" w:eastAsia="zh-CN"/>
        </w:rPr>
        <w:sectPr>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sz w:val="24"/>
          <w:szCs w:val="24"/>
          <w:lang w:val="en-US" w:eastAsia="zh-CN"/>
        </w:rPr>
        <w:t>⑧检验：人工对零部件进行检验。</w:t>
      </w:r>
    </w:p>
    <w:p w14:paraId="79A8F200">
      <w:pPr>
        <w:keepNext w:val="0"/>
        <w:keepLines w:val="0"/>
        <w:pageBreakBefore w:val="0"/>
        <w:widowControl w:val="0"/>
        <w:numPr>
          <w:ilvl w:val="0"/>
          <w:numId w:val="6"/>
        </w:numPr>
        <w:kinsoku/>
        <w:wordWrap/>
        <w:overflowPunct/>
        <w:topLinePunct w:val="0"/>
        <w:autoSpaceDE/>
        <w:autoSpaceDN/>
        <w:bidi w:val="0"/>
        <w:adjustRightInd w:val="0"/>
        <w:snapToGrid w:val="0"/>
        <w:spacing w:before="171" w:beforeLines="50" w:line="360" w:lineRule="auto"/>
        <w:ind w:left="105" w:leftChars="50" w:firstLine="0" w:firstLineChars="0"/>
        <w:textAlignment w:val="auto"/>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小电机总成生产工艺</w:t>
      </w:r>
    </w:p>
    <w:p w14:paraId="6865CA00">
      <w:pPr>
        <w:keepNext w:val="0"/>
        <w:keepLines w:val="0"/>
        <w:pageBreakBefore w:val="0"/>
        <w:widowControl w:val="0"/>
        <w:numPr>
          <w:ilvl w:val="0"/>
          <w:numId w:val="0"/>
        </w:numPr>
        <w:kinsoku/>
        <w:wordWrap/>
        <w:overflowPunct/>
        <w:topLinePunct w:val="0"/>
        <w:autoSpaceDE/>
        <w:autoSpaceDN/>
        <w:bidi w:val="0"/>
        <w:adjustRightInd w:val="0"/>
        <w:snapToGrid w:val="0"/>
        <w:spacing w:before="171" w:beforeLines="50" w:line="360" w:lineRule="auto"/>
        <w:ind w:leftChars="50"/>
        <w:jc w:val="center"/>
        <w:textAlignment w:val="auto"/>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object>
          <v:shape id="_x0000_i1029" o:spt="75" type="#_x0000_t75" style="height:192.55pt;width:141.9pt;" o:ole="t" filled="f" o:preferrelative="t" stroked="f" coordsize="21600,21600">
            <v:path/>
            <v:fill on="f" focussize="0,0"/>
            <v:stroke on="f"/>
            <v:imagedata r:id="rId43" o:title=""/>
            <o:lock v:ext="edit" aspectratio="f"/>
            <w10:wrap type="none"/>
            <w10:anchorlock/>
          </v:shape>
          <o:OLEObject Type="Embed" ProgID="Visio.Drawing.11" ShapeID="_x0000_i1029" DrawAspect="Content" ObjectID="_1468075729" r:id="rId42">
            <o:LockedField>false</o:LockedField>
          </o:OLEObject>
        </w:object>
      </w:r>
    </w:p>
    <w:p w14:paraId="535853EB">
      <w:pPr>
        <w:numPr>
          <w:ilvl w:val="5"/>
          <w:numId w:val="4"/>
        </w:numPr>
        <w:autoSpaceDE w:val="0"/>
        <w:autoSpaceDN w:val="0"/>
        <w:spacing w:line="360" w:lineRule="auto"/>
        <w:ind w:left="775" w:leftChars="0" w:firstLine="0" w:firstLineChars="0"/>
        <w:jc w:val="center"/>
        <w:rPr>
          <w:rFonts w:hint="default" w:ascii="Arial" w:hAnsi="Arial" w:eastAsia="宋体" w:cs="Arial"/>
          <w:b/>
          <w:bCs/>
          <w:color w:val="000000" w:themeColor="text1"/>
          <w:sz w:val="24"/>
          <w:szCs w:val="24"/>
          <w:lang w:val="en-US" w:eastAsia="zh-CN"/>
          <w14:textFill>
            <w14:solidFill>
              <w14:schemeClr w14:val="tx1"/>
            </w14:solidFill>
          </w14:textFill>
        </w:rPr>
      </w:pP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电机小总</w:t>
      </w:r>
      <w:r>
        <w:rPr>
          <w:rFonts w:hint="default" w:ascii="Arial" w:hAnsi="Arial" w:eastAsia="宋体" w:cs="Arial"/>
          <w:b/>
          <w:bCs/>
          <w:color w:val="000000" w:themeColor="text1"/>
          <w:sz w:val="24"/>
          <w:szCs w:val="24"/>
          <w:lang w:val="en-US" w:eastAsia="zh-CN"/>
          <w14:textFill>
            <w14:solidFill>
              <w14:schemeClr w14:val="tx1"/>
            </w14:solidFill>
          </w14:textFill>
        </w:rPr>
        <w:t>成</w:t>
      </w:r>
      <w:r>
        <w:rPr>
          <w:rFonts w:hint="default" w:ascii="Arial" w:hAnsi="Arial" w:eastAsia="宋体" w:cs="Arial"/>
          <w:b/>
          <w:bCs/>
          <w:color w:val="000000" w:themeColor="text1"/>
          <w:sz w:val="24"/>
          <w:szCs w:val="24"/>
          <w14:textFill>
            <w14:solidFill>
              <w14:schemeClr w14:val="tx1"/>
            </w14:solidFill>
          </w14:textFill>
        </w:rPr>
        <w:t>生产工艺流程及产污环节图</w:t>
      </w:r>
    </w:p>
    <w:p w14:paraId="4ACFEBD6">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Arial" w:hAnsi="Arial" w:eastAsia="宋体" w:cs="Arial"/>
          <w:sz w:val="24"/>
          <w:szCs w:val="24"/>
          <w:lang w:val="en-US" w:eastAsia="zh-CN"/>
        </w:rPr>
      </w:pPr>
      <w:r>
        <w:rPr>
          <w:rFonts w:hint="default" w:ascii="Arial" w:hAnsi="Arial" w:eastAsia="宋体" w:cs="Arial"/>
          <w:spacing w:val="0"/>
          <w:sz w:val="24"/>
          <w:szCs w:val="24"/>
          <w:lang w:eastAsia="zh-CN"/>
        </w:rPr>
        <w:t>外购零配件（电机端限位块、电机壳体衬套、电机壳体、丝杠、电机</w:t>
      </w:r>
      <w:r>
        <w:rPr>
          <w:rFonts w:hint="default" w:ascii="Arial" w:hAnsi="Arial" w:eastAsia="宋体" w:cs="Arial"/>
          <w:spacing w:val="0"/>
          <w:sz w:val="24"/>
          <w:szCs w:val="24"/>
          <w:lang w:val="en-US" w:eastAsia="zh-CN"/>
        </w:rPr>
        <w:t>等</w:t>
      </w:r>
      <w:r>
        <w:rPr>
          <w:rFonts w:hint="default" w:ascii="Arial" w:hAnsi="Arial" w:eastAsia="宋体" w:cs="Arial"/>
          <w:spacing w:val="0"/>
          <w:sz w:val="24"/>
          <w:szCs w:val="24"/>
          <w:lang w:eastAsia="zh-CN"/>
        </w:rPr>
        <w:t>）经进行组装、调试以及包装等，</w:t>
      </w:r>
      <w:r>
        <w:rPr>
          <w:rFonts w:hint="default" w:ascii="Arial" w:hAnsi="Arial" w:eastAsia="宋体" w:cs="Arial"/>
          <w:spacing w:val="0"/>
          <w:sz w:val="24"/>
          <w:szCs w:val="24"/>
          <w:lang w:val="en-US" w:eastAsia="zh-CN"/>
        </w:rPr>
        <w:t>制得电机小总成</w:t>
      </w:r>
      <w:r>
        <w:rPr>
          <w:rFonts w:hint="default" w:ascii="Arial" w:hAnsi="Arial" w:eastAsia="宋体" w:cs="Arial"/>
          <w:spacing w:val="0"/>
          <w:sz w:val="24"/>
          <w:szCs w:val="24"/>
          <w:lang w:eastAsia="zh-CN"/>
        </w:rPr>
        <w:t>产品。</w:t>
      </w:r>
    </w:p>
    <w:p w14:paraId="48A5258C">
      <w:pPr>
        <w:pStyle w:val="76"/>
        <w:keepNext w:val="0"/>
        <w:keepLines w:val="0"/>
        <w:pageBreakBefore w:val="0"/>
        <w:widowControl w:val="0"/>
        <w:numPr>
          <w:ilvl w:val="2"/>
          <w:numId w:val="7"/>
        </w:numPr>
        <w:kinsoku/>
        <w:wordWrap/>
        <w:overflowPunct/>
        <w:topLinePunct w:val="0"/>
        <w:autoSpaceDE/>
        <w:autoSpaceDN/>
        <w:bidi w:val="0"/>
        <w:adjustRightInd/>
        <w:snapToGrid/>
        <w:spacing w:line="240" w:lineRule="auto"/>
        <w:ind w:left="3328" w:leftChars="0" w:hanging="3118"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主要产污环节及污染因子</w:t>
      </w:r>
    </w:p>
    <w:p w14:paraId="7B5A7DD4">
      <w:pPr>
        <w:pStyle w:val="76"/>
        <w:numPr>
          <w:ilvl w:val="3"/>
          <w:numId w:val="4"/>
        </w:numPr>
        <w:spacing w:line="360" w:lineRule="auto"/>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主要产污环节及污染因子</w:t>
      </w:r>
    </w:p>
    <w:tbl>
      <w:tblPr>
        <w:tblStyle w:val="52"/>
        <w:tblpPr w:leftFromText="180" w:rightFromText="180" w:vertAnchor="text" w:tblpXSpec="center" w:tblpY="1"/>
        <w:tblOverlap w:val="never"/>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2460"/>
        <w:gridCol w:w="4368"/>
      </w:tblGrid>
      <w:tr w14:paraId="4E60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2E2D6CD3">
            <w:pPr>
              <w:jc w:val="center"/>
              <w:rPr>
                <w:rFonts w:hint="default" w:ascii="Arial" w:hAnsi="Arial" w:eastAsia="宋体" w:cs="Arial"/>
                <w:szCs w:val="21"/>
              </w:rPr>
            </w:pPr>
            <w:r>
              <w:rPr>
                <w:rFonts w:hint="default" w:ascii="Arial" w:hAnsi="Arial" w:eastAsia="宋体" w:cs="Arial"/>
                <w:szCs w:val="21"/>
              </w:rPr>
              <w:t>污染类型</w:t>
            </w:r>
          </w:p>
        </w:tc>
        <w:tc>
          <w:tcPr>
            <w:tcW w:w="2460" w:type="dxa"/>
            <w:vAlign w:val="center"/>
          </w:tcPr>
          <w:p w14:paraId="458820E7">
            <w:pPr>
              <w:jc w:val="center"/>
              <w:rPr>
                <w:rFonts w:hint="default" w:ascii="Arial" w:hAnsi="Arial" w:eastAsia="宋体" w:cs="Arial"/>
                <w:szCs w:val="21"/>
              </w:rPr>
            </w:pPr>
            <w:r>
              <w:rPr>
                <w:rFonts w:hint="default" w:ascii="Arial" w:hAnsi="Arial" w:eastAsia="宋体" w:cs="Arial"/>
                <w:szCs w:val="21"/>
              </w:rPr>
              <w:t>污染环节</w:t>
            </w:r>
          </w:p>
        </w:tc>
        <w:tc>
          <w:tcPr>
            <w:tcW w:w="4368" w:type="dxa"/>
            <w:vAlign w:val="center"/>
          </w:tcPr>
          <w:p w14:paraId="53408579">
            <w:pPr>
              <w:jc w:val="center"/>
              <w:rPr>
                <w:rFonts w:hint="default" w:ascii="Arial" w:hAnsi="Arial" w:eastAsia="宋体" w:cs="Arial"/>
                <w:szCs w:val="21"/>
              </w:rPr>
            </w:pPr>
            <w:r>
              <w:rPr>
                <w:rFonts w:hint="default" w:ascii="Arial" w:hAnsi="Arial" w:eastAsia="宋体" w:cs="Arial"/>
                <w:szCs w:val="21"/>
              </w:rPr>
              <w:t>主要污染因子</w:t>
            </w:r>
          </w:p>
        </w:tc>
      </w:tr>
      <w:tr w14:paraId="63A3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1CCF851A">
            <w:pPr>
              <w:jc w:val="center"/>
              <w:rPr>
                <w:rFonts w:hint="default" w:ascii="Arial" w:hAnsi="Arial" w:eastAsia="宋体" w:cs="Arial"/>
                <w:szCs w:val="21"/>
                <w:lang w:val="en-US" w:eastAsia="zh-CN"/>
              </w:rPr>
            </w:pPr>
            <w:r>
              <w:rPr>
                <w:rFonts w:hint="default" w:ascii="Arial" w:hAnsi="Arial" w:eastAsia="宋体" w:cs="Arial"/>
                <w:szCs w:val="21"/>
                <w:lang w:val="en-US" w:eastAsia="zh-CN"/>
              </w:rPr>
              <w:t>废气</w:t>
            </w:r>
          </w:p>
        </w:tc>
        <w:tc>
          <w:tcPr>
            <w:tcW w:w="2460" w:type="dxa"/>
            <w:vAlign w:val="center"/>
          </w:tcPr>
          <w:p w14:paraId="6B1D1AF5">
            <w:pPr>
              <w:jc w:val="center"/>
              <w:rPr>
                <w:rFonts w:hint="default" w:ascii="Arial" w:hAnsi="Arial" w:eastAsia="宋体" w:cs="Arial"/>
                <w:szCs w:val="21"/>
                <w:lang w:val="en-US" w:eastAsia="zh-CN"/>
              </w:rPr>
            </w:pPr>
            <w:r>
              <w:rPr>
                <w:rFonts w:hint="default" w:ascii="Arial" w:hAnsi="Arial" w:eastAsia="宋体" w:cs="Arial"/>
                <w:szCs w:val="21"/>
                <w:lang w:val="en-US" w:eastAsia="zh-CN"/>
              </w:rPr>
              <w:t>感应淬火+回火</w:t>
            </w:r>
          </w:p>
        </w:tc>
        <w:tc>
          <w:tcPr>
            <w:tcW w:w="4368" w:type="dxa"/>
            <w:vAlign w:val="center"/>
          </w:tcPr>
          <w:p w14:paraId="7826439D">
            <w:pPr>
              <w:jc w:val="center"/>
              <w:rPr>
                <w:rFonts w:hint="default" w:ascii="Arial" w:hAnsi="Arial" w:eastAsia="宋体" w:cs="Arial"/>
                <w:szCs w:val="21"/>
                <w:lang w:val="en-US" w:eastAsia="zh-CN"/>
              </w:rPr>
            </w:pPr>
            <w:r>
              <w:rPr>
                <w:rFonts w:hint="eastAsia" w:ascii="Arial" w:hAnsi="Arial" w:eastAsia="宋体" w:cs="Arial"/>
                <w:szCs w:val="21"/>
                <w:lang w:val="en-US" w:eastAsia="zh-CN"/>
              </w:rPr>
              <w:t>非甲烷总烃、颗粒物</w:t>
            </w:r>
          </w:p>
        </w:tc>
      </w:tr>
      <w:tr w14:paraId="7BA7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291CC91C">
            <w:pPr>
              <w:jc w:val="center"/>
              <w:rPr>
                <w:rFonts w:hint="default" w:ascii="Arial" w:hAnsi="Arial" w:eastAsia="宋体" w:cs="Arial"/>
                <w:szCs w:val="21"/>
                <w:lang w:val="en-US" w:eastAsia="zh-CN"/>
              </w:rPr>
            </w:pPr>
          </w:p>
        </w:tc>
        <w:tc>
          <w:tcPr>
            <w:tcW w:w="2460" w:type="dxa"/>
            <w:vAlign w:val="center"/>
          </w:tcPr>
          <w:p w14:paraId="2F16A999">
            <w:pPr>
              <w:jc w:val="center"/>
              <w:rPr>
                <w:rFonts w:hint="default" w:ascii="Arial" w:hAnsi="Arial" w:eastAsia="宋体" w:cs="Arial"/>
                <w:szCs w:val="21"/>
                <w:lang w:val="en-US" w:eastAsia="zh-CN"/>
              </w:rPr>
            </w:pPr>
            <w:r>
              <w:rPr>
                <w:rFonts w:hint="eastAsia" w:ascii="Arial" w:hAnsi="Arial" w:eastAsia="宋体" w:cs="Arial"/>
                <w:szCs w:val="21"/>
                <w:lang w:val="en-US" w:eastAsia="zh-CN"/>
              </w:rPr>
              <w:t>前处理、</w:t>
            </w:r>
            <w:r>
              <w:rPr>
                <w:rFonts w:hint="default" w:ascii="Arial" w:hAnsi="Arial" w:eastAsia="宋体" w:cs="Arial"/>
                <w:szCs w:val="21"/>
                <w:lang w:val="en-US" w:eastAsia="zh-CN"/>
              </w:rPr>
              <w:t>烘干</w:t>
            </w:r>
          </w:p>
        </w:tc>
        <w:tc>
          <w:tcPr>
            <w:tcW w:w="4368" w:type="dxa"/>
            <w:vAlign w:val="center"/>
          </w:tcPr>
          <w:p w14:paraId="68D64B67">
            <w:pPr>
              <w:jc w:val="center"/>
              <w:rPr>
                <w:rFonts w:hint="default" w:ascii="Arial" w:hAnsi="Arial" w:eastAsia="宋体" w:cs="Arial"/>
                <w:szCs w:val="21"/>
                <w:lang w:val="en-US" w:eastAsia="zh-CN"/>
              </w:rPr>
            </w:pPr>
            <w:r>
              <w:rPr>
                <w:rFonts w:hint="eastAsia" w:ascii="Arial" w:hAnsi="Arial" w:eastAsia="宋体" w:cs="Arial"/>
                <w:szCs w:val="21"/>
                <w:lang w:val="en-US" w:eastAsia="zh-CN"/>
              </w:rPr>
              <w:t>非甲烷总烃</w:t>
            </w:r>
          </w:p>
        </w:tc>
      </w:tr>
      <w:tr w14:paraId="73CF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986EAF5">
            <w:pPr>
              <w:jc w:val="center"/>
              <w:rPr>
                <w:rFonts w:hint="default" w:ascii="Arial" w:hAnsi="Arial" w:eastAsia="宋体" w:cs="Arial"/>
                <w:szCs w:val="21"/>
                <w:lang w:val="en-US" w:eastAsia="zh-CN"/>
              </w:rPr>
            </w:pPr>
          </w:p>
        </w:tc>
        <w:tc>
          <w:tcPr>
            <w:tcW w:w="2460" w:type="dxa"/>
            <w:vAlign w:val="center"/>
          </w:tcPr>
          <w:p w14:paraId="369AD9DE">
            <w:pPr>
              <w:jc w:val="center"/>
              <w:rPr>
                <w:rFonts w:hint="default" w:ascii="Arial" w:hAnsi="Arial" w:eastAsia="宋体" w:cs="Arial"/>
                <w:szCs w:val="21"/>
                <w:lang w:val="en-US" w:eastAsia="zh-CN"/>
              </w:rPr>
            </w:pPr>
            <w:r>
              <w:rPr>
                <w:rFonts w:hint="default" w:ascii="Arial" w:hAnsi="Arial" w:eastAsia="宋体" w:cs="Arial"/>
                <w:szCs w:val="21"/>
                <w:lang w:val="en-US" w:eastAsia="zh-CN"/>
              </w:rPr>
              <w:t>废水处理</w:t>
            </w:r>
            <w:r>
              <w:rPr>
                <w:rFonts w:hint="eastAsia" w:ascii="Arial" w:hAnsi="Arial" w:eastAsia="宋体" w:cs="Arial"/>
                <w:szCs w:val="21"/>
                <w:lang w:val="en-US" w:eastAsia="zh-CN"/>
              </w:rPr>
              <w:t>不凝气</w:t>
            </w:r>
          </w:p>
        </w:tc>
        <w:tc>
          <w:tcPr>
            <w:tcW w:w="4368" w:type="dxa"/>
            <w:vAlign w:val="center"/>
          </w:tcPr>
          <w:p w14:paraId="607DACA3">
            <w:pPr>
              <w:jc w:val="center"/>
              <w:rPr>
                <w:rFonts w:hint="default" w:ascii="Arial" w:hAnsi="Arial" w:eastAsia="宋体" w:cs="Arial"/>
                <w:szCs w:val="21"/>
                <w:lang w:val="en-US" w:eastAsia="zh-CN"/>
              </w:rPr>
            </w:pPr>
            <w:r>
              <w:rPr>
                <w:rFonts w:hint="eastAsia" w:ascii="Arial" w:hAnsi="Arial" w:eastAsia="宋体" w:cs="Arial"/>
                <w:szCs w:val="21"/>
                <w:lang w:val="en-US" w:eastAsia="zh-CN"/>
              </w:rPr>
              <w:t>非甲烷总烃</w:t>
            </w:r>
          </w:p>
        </w:tc>
      </w:tr>
      <w:tr w14:paraId="3095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3CD49488">
            <w:pPr>
              <w:jc w:val="center"/>
              <w:rPr>
                <w:rFonts w:hint="default" w:ascii="Arial" w:hAnsi="Arial" w:eastAsia="宋体" w:cs="Arial"/>
                <w:szCs w:val="21"/>
              </w:rPr>
            </w:pPr>
            <w:r>
              <w:rPr>
                <w:rFonts w:hint="default" w:ascii="Arial" w:hAnsi="Arial" w:eastAsia="宋体" w:cs="Arial"/>
                <w:szCs w:val="21"/>
              </w:rPr>
              <w:t>废水</w:t>
            </w:r>
          </w:p>
        </w:tc>
        <w:tc>
          <w:tcPr>
            <w:tcW w:w="2460" w:type="dxa"/>
            <w:vAlign w:val="center"/>
          </w:tcPr>
          <w:p w14:paraId="3A73376C">
            <w:pPr>
              <w:jc w:val="center"/>
              <w:rPr>
                <w:rFonts w:hint="default" w:ascii="Arial" w:hAnsi="Arial" w:eastAsia="宋体" w:cs="Arial"/>
                <w:szCs w:val="21"/>
                <w:lang w:val="en-US" w:eastAsia="zh-CN"/>
              </w:rPr>
            </w:pPr>
            <w:r>
              <w:rPr>
                <w:rFonts w:hint="default" w:ascii="Arial" w:hAnsi="Arial" w:eastAsia="宋体" w:cs="Arial"/>
                <w:szCs w:val="21"/>
                <w:lang w:val="en-US" w:eastAsia="zh-CN"/>
              </w:rPr>
              <w:t>清洗</w:t>
            </w:r>
          </w:p>
        </w:tc>
        <w:tc>
          <w:tcPr>
            <w:tcW w:w="4368" w:type="dxa"/>
            <w:vAlign w:val="center"/>
          </w:tcPr>
          <w:p w14:paraId="033C0C8E">
            <w:pPr>
              <w:jc w:val="center"/>
              <w:rPr>
                <w:rFonts w:hint="default" w:ascii="Arial" w:hAnsi="Arial" w:eastAsia="宋体" w:cs="Arial"/>
                <w:szCs w:val="21"/>
                <w:lang w:val="en-US" w:eastAsia="zh-CN"/>
              </w:rPr>
            </w:pPr>
            <w:r>
              <w:rPr>
                <w:rFonts w:hint="default" w:ascii="Arial" w:hAnsi="Arial" w:eastAsia="宋体" w:cs="Arial"/>
                <w:szCs w:val="21"/>
                <w:lang w:val="en-US" w:eastAsia="zh-CN"/>
              </w:rPr>
              <w:t>CODcr、</w:t>
            </w:r>
            <w:r>
              <w:rPr>
                <w:rFonts w:hint="default" w:ascii="Arial" w:hAnsi="Arial" w:eastAsia="宋体" w:cs="Arial"/>
                <w:b w:val="0"/>
                <w:color w:val="000000"/>
                <w:sz w:val="21"/>
                <w:szCs w:val="21"/>
                <w:lang w:val="en-US" w:eastAsia="zh-CN"/>
              </w:rPr>
              <w:t>NH</w:t>
            </w:r>
            <w:r>
              <w:rPr>
                <w:rFonts w:hint="default" w:ascii="Arial" w:hAnsi="Arial" w:eastAsia="宋体" w:cs="Arial"/>
                <w:b w:val="0"/>
                <w:color w:val="000000"/>
                <w:sz w:val="21"/>
                <w:szCs w:val="21"/>
                <w:vertAlign w:val="subscript"/>
                <w:lang w:val="en-US" w:eastAsia="zh-CN"/>
              </w:rPr>
              <w:t>3</w:t>
            </w:r>
            <w:r>
              <w:rPr>
                <w:rFonts w:hint="eastAsia" w:ascii="Arial" w:hAnsi="Arial" w:cs="Arial"/>
                <w:b w:val="0"/>
                <w:color w:val="000000"/>
                <w:sz w:val="21"/>
                <w:szCs w:val="21"/>
                <w:vertAlign w:val="baseline"/>
                <w:lang w:val="en-US" w:eastAsia="zh-CN"/>
              </w:rPr>
              <w:t>-N</w:t>
            </w:r>
            <w:r>
              <w:rPr>
                <w:rFonts w:hint="default" w:ascii="Arial" w:hAnsi="Arial" w:eastAsia="宋体" w:cs="Arial"/>
                <w:szCs w:val="21"/>
                <w:lang w:val="en-US" w:eastAsia="zh-CN"/>
              </w:rPr>
              <w:t>、SS、石油类、TN、LAS</w:t>
            </w:r>
          </w:p>
        </w:tc>
      </w:tr>
      <w:tr w14:paraId="316F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0F344306">
            <w:pPr>
              <w:jc w:val="center"/>
              <w:rPr>
                <w:rFonts w:hint="default" w:ascii="Arial" w:hAnsi="Arial" w:eastAsia="宋体" w:cs="Arial"/>
                <w:szCs w:val="21"/>
              </w:rPr>
            </w:pPr>
          </w:p>
        </w:tc>
        <w:tc>
          <w:tcPr>
            <w:tcW w:w="2460" w:type="dxa"/>
            <w:shd w:val="clear" w:color="auto" w:fill="auto"/>
            <w:vAlign w:val="center"/>
          </w:tcPr>
          <w:p w14:paraId="1008025F">
            <w:pPr>
              <w:jc w:val="center"/>
              <w:rPr>
                <w:rFonts w:hint="default" w:ascii="Arial" w:hAnsi="Arial" w:eastAsia="宋体" w:cs="Arial"/>
                <w:kern w:val="2"/>
                <w:sz w:val="21"/>
                <w:szCs w:val="21"/>
                <w:lang w:val="en-US" w:eastAsia="zh-CN" w:bidi="ar-SA"/>
              </w:rPr>
            </w:pPr>
            <w:r>
              <w:rPr>
                <w:rFonts w:hint="default" w:ascii="Arial" w:hAnsi="Arial" w:eastAsia="宋体" w:cs="Arial"/>
                <w:szCs w:val="21"/>
              </w:rPr>
              <w:t>员工生活</w:t>
            </w:r>
          </w:p>
        </w:tc>
        <w:tc>
          <w:tcPr>
            <w:tcW w:w="4368" w:type="dxa"/>
            <w:shd w:val="clear" w:color="auto" w:fill="auto"/>
            <w:vAlign w:val="center"/>
          </w:tcPr>
          <w:p w14:paraId="198BFC9B">
            <w:pPr>
              <w:jc w:val="center"/>
              <w:rPr>
                <w:rFonts w:hint="default" w:ascii="Arial" w:hAnsi="Arial" w:eastAsia="宋体" w:cs="Arial"/>
                <w:kern w:val="2"/>
                <w:sz w:val="21"/>
                <w:szCs w:val="21"/>
                <w:lang w:val="en-US" w:eastAsia="zh-CN" w:bidi="ar-SA"/>
              </w:rPr>
            </w:pPr>
            <w:r>
              <w:rPr>
                <w:rFonts w:hint="default" w:ascii="Arial" w:hAnsi="Arial" w:eastAsia="宋体" w:cs="Arial"/>
                <w:szCs w:val="21"/>
              </w:rPr>
              <w:t>生活污水：COD</w:t>
            </w:r>
            <w:r>
              <w:rPr>
                <w:rFonts w:hint="default" w:ascii="Arial" w:hAnsi="Arial" w:eastAsia="宋体" w:cs="Arial"/>
                <w:szCs w:val="21"/>
                <w:lang w:val="en-US" w:eastAsia="zh-CN"/>
              </w:rPr>
              <w:t>cr</w:t>
            </w: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tc>
      </w:tr>
      <w:tr w14:paraId="4F52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restart"/>
            <w:vAlign w:val="center"/>
          </w:tcPr>
          <w:p w14:paraId="1A366866">
            <w:pPr>
              <w:widowControl/>
              <w:jc w:val="center"/>
              <w:rPr>
                <w:rFonts w:hint="default" w:ascii="Arial" w:hAnsi="Arial" w:eastAsia="宋体" w:cs="Arial"/>
                <w:szCs w:val="21"/>
                <w:lang w:val="en-US" w:eastAsia="zh-CN"/>
              </w:rPr>
            </w:pPr>
            <w:r>
              <w:rPr>
                <w:rFonts w:hint="default" w:ascii="Arial" w:hAnsi="Arial" w:eastAsia="宋体" w:cs="Arial"/>
                <w:szCs w:val="21"/>
                <w:lang w:val="en-US" w:eastAsia="zh-CN"/>
              </w:rPr>
              <w:t>固废</w:t>
            </w:r>
          </w:p>
        </w:tc>
        <w:tc>
          <w:tcPr>
            <w:tcW w:w="2460" w:type="dxa"/>
            <w:vAlign w:val="center"/>
          </w:tcPr>
          <w:p w14:paraId="0B5CC849">
            <w:pPr>
              <w:jc w:val="center"/>
              <w:rPr>
                <w:rFonts w:hint="default" w:ascii="Arial" w:hAnsi="Arial" w:eastAsia="宋体" w:cs="Arial"/>
                <w:szCs w:val="21"/>
                <w:lang w:val="en-US" w:eastAsia="zh-CN"/>
              </w:rPr>
            </w:pPr>
            <w:r>
              <w:rPr>
                <w:rFonts w:hint="default" w:ascii="Arial" w:hAnsi="Arial" w:eastAsia="宋体" w:cs="Arial"/>
                <w:szCs w:val="21"/>
                <w:lang w:val="en-US" w:eastAsia="zh-CN"/>
              </w:rPr>
              <w:t>废一般包装材料</w:t>
            </w:r>
          </w:p>
        </w:tc>
        <w:tc>
          <w:tcPr>
            <w:tcW w:w="4368" w:type="dxa"/>
            <w:vAlign w:val="center"/>
          </w:tcPr>
          <w:p w14:paraId="4C7CAFE0">
            <w:pPr>
              <w:jc w:val="center"/>
              <w:rPr>
                <w:rFonts w:hint="default" w:ascii="Arial" w:hAnsi="Arial" w:eastAsia="宋体" w:cs="Arial"/>
                <w:szCs w:val="21"/>
                <w:lang w:val="en-US" w:eastAsia="zh-CN"/>
              </w:rPr>
            </w:pPr>
            <w:r>
              <w:rPr>
                <w:rFonts w:hint="default" w:ascii="Arial" w:hAnsi="Arial" w:eastAsia="宋体" w:cs="Arial"/>
                <w:szCs w:val="21"/>
                <w:lang w:val="en-US" w:eastAsia="zh-CN"/>
              </w:rPr>
              <w:t>废塑料</w:t>
            </w:r>
          </w:p>
        </w:tc>
      </w:tr>
      <w:tr w14:paraId="4CE6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8459FCD">
            <w:pPr>
              <w:widowControl/>
              <w:jc w:val="center"/>
              <w:rPr>
                <w:rFonts w:hint="default" w:ascii="Arial" w:hAnsi="Arial" w:eastAsia="宋体" w:cs="Arial"/>
                <w:szCs w:val="21"/>
                <w:lang w:val="en-US" w:eastAsia="zh-CN"/>
              </w:rPr>
            </w:pPr>
          </w:p>
        </w:tc>
        <w:tc>
          <w:tcPr>
            <w:tcW w:w="2460" w:type="dxa"/>
            <w:vAlign w:val="center"/>
          </w:tcPr>
          <w:p w14:paraId="6D19A54F">
            <w:pPr>
              <w:jc w:val="center"/>
              <w:rPr>
                <w:rFonts w:hint="default" w:ascii="Arial" w:hAnsi="Arial" w:eastAsia="宋体" w:cs="Arial"/>
                <w:szCs w:val="21"/>
                <w:lang w:val="en-US" w:eastAsia="zh-CN"/>
              </w:rPr>
            </w:pPr>
            <w:r>
              <w:rPr>
                <w:rFonts w:hint="default" w:ascii="Arial" w:hAnsi="Arial" w:eastAsia="宋体" w:cs="Arial"/>
                <w:szCs w:val="21"/>
                <w:lang w:val="en-US" w:eastAsia="zh-CN"/>
              </w:rPr>
              <w:t>不合格品</w:t>
            </w:r>
          </w:p>
        </w:tc>
        <w:tc>
          <w:tcPr>
            <w:tcW w:w="4368" w:type="dxa"/>
            <w:vAlign w:val="center"/>
          </w:tcPr>
          <w:p w14:paraId="31517EF0">
            <w:pPr>
              <w:jc w:val="center"/>
              <w:rPr>
                <w:rFonts w:hint="default" w:ascii="Arial" w:hAnsi="Arial" w:eastAsia="宋体" w:cs="Arial"/>
                <w:szCs w:val="21"/>
                <w:lang w:val="en-US" w:eastAsia="zh-CN"/>
              </w:rPr>
            </w:pPr>
            <w:r>
              <w:rPr>
                <w:rFonts w:hint="default" w:ascii="Arial" w:hAnsi="Arial" w:eastAsia="宋体" w:cs="Arial"/>
                <w:szCs w:val="21"/>
                <w:lang w:val="en-US" w:eastAsia="zh-CN"/>
              </w:rPr>
              <w:t>废金属</w:t>
            </w:r>
          </w:p>
        </w:tc>
      </w:tr>
      <w:tr w14:paraId="11FB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FDEA2DA">
            <w:pPr>
              <w:widowControl/>
              <w:jc w:val="center"/>
              <w:rPr>
                <w:rFonts w:hint="default" w:ascii="Arial" w:hAnsi="Arial" w:eastAsia="宋体" w:cs="Arial"/>
                <w:szCs w:val="21"/>
                <w:lang w:val="en-US" w:eastAsia="zh-CN"/>
              </w:rPr>
            </w:pPr>
          </w:p>
        </w:tc>
        <w:tc>
          <w:tcPr>
            <w:tcW w:w="2460" w:type="dxa"/>
            <w:vAlign w:val="center"/>
          </w:tcPr>
          <w:p w14:paraId="3AE3B3B6">
            <w:pPr>
              <w:jc w:val="center"/>
              <w:rPr>
                <w:rFonts w:hint="default" w:ascii="Arial" w:hAnsi="Arial" w:eastAsia="宋体" w:cs="Arial"/>
                <w:szCs w:val="21"/>
                <w:lang w:val="en-US" w:eastAsia="zh-CN"/>
              </w:rPr>
            </w:pPr>
            <w:r>
              <w:rPr>
                <w:rFonts w:hint="default" w:ascii="Arial" w:hAnsi="Arial" w:eastAsia="宋体" w:cs="Arial"/>
                <w:szCs w:val="21"/>
                <w:lang w:val="en-US" w:eastAsia="zh-CN"/>
              </w:rPr>
              <w:t>废金属边角料</w:t>
            </w:r>
          </w:p>
        </w:tc>
        <w:tc>
          <w:tcPr>
            <w:tcW w:w="4368" w:type="dxa"/>
            <w:vAlign w:val="center"/>
          </w:tcPr>
          <w:p w14:paraId="1BE3154D">
            <w:pPr>
              <w:jc w:val="center"/>
              <w:rPr>
                <w:rFonts w:hint="default" w:ascii="Arial" w:hAnsi="Arial" w:eastAsia="宋体" w:cs="Arial"/>
                <w:szCs w:val="21"/>
                <w:lang w:val="en-US" w:eastAsia="zh-CN"/>
              </w:rPr>
            </w:pPr>
            <w:r>
              <w:rPr>
                <w:rFonts w:hint="default" w:ascii="Arial" w:hAnsi="Arial" w:eastAsia="宋体" w:cs="Arial"/>
                <w:szCs w:val="21"/>
                <w:lang w:val="en-US" w:eastAsia="zh-CN"/>
              </w:rPr>
              <w:t>废金属</w:t>
            </w:r>
          </w:p>
        </w:tc>
      </w:tr>
      <w:tr w14:paraId="6207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62276998">
            <w:pPr>
              <w:widowControl/>
              <w:jc w:val="center"/>
              <w:rPr>
                <w:rFonts w:hint="default" w:ascii="Arial" w:hAnsi="Arial" w:eastAsia="宋体" w:cs="Arial"/>
                <w:szCs w:val="21"/>
                <w:lang w:val="en-US" w:eastAsia="zh-CN"/>
              </w:rPr>
            </w:pPr>
          </w:p>
        </w:tc>
        <w:tc>
          <w:tcPr>
            <w:tcW w:w="2460" w:type="dxa"/>
            <w:vAlign w:val="center"/>
          </w:tcPr>
          <w:p w14:paraId="2BE30197">
            <w:pPr>
              <w:jc w:val="center"/>
              <w:rPr>
                <w:rFonts w:hint="default" w:ascii="Arial" w:hAnsi="Arial" w:eastAsia="宋体" w:cs="Arial"/>
                <w:szCs w:val="21"/>
                <w:lang w:val="en-US" w:eastAsia="zh-CN"/>
              </w:rPr>
            </w:pPr>
            <w:r>
              <w:rPr>
                <w:rFonts w:hint="default" w:ascii="Arial" w:hAnsi="Arial" w:eastAsia="宋体" w:cs="Arial"/>
                <w:szCs w:val="21"/>
                <w:lang w:val="en-US" w:eastAsia="zh-CN"/>
              </w:rPr>
              <w:t>废含油金属屑</w:t>
            </w:r>
          </w:p>
        </w:tc>
        <w:tc>
          <w:tcPr>
            <w:tcW w:w="4368" w:type="dxa"/>
            <w:vAlign w:val="center"/>
          </w:tcPr>
          <w:p w14:paraId="34FB0F5F">
            <w:pPr>
              <w:jc w:val="center"/>
              <w:rPr>
                <w:rFonts w:hint="default" w:ascii="Arial" w:hAnsi="Arial" w:eastAsia="宋体" w:cs="Arial"/>
                <w:szCs w:val="21"/>
                <w:lang w:val="en-US" w:eastAsia="zh-CN"/>
              </w:rPr>
            </w:pPr>
            <w:r>
              <w:rPr>
                <w:rFonts w:hint="default" w:ascii="Arial" w:hAnsi="Arial" w:eastAsia="宋体" w:cs="Arial"/>
                <w:szCs w:val="21"/>
                <w:lang w:val="en-US" w:eastAsia="zh-CN"/>
              </w:rPr>
              <w:t>切削液、金属屑</w:t>
            </w:r>
          </w:p>
        </w:tc>
      </w:tr>
      <w:tr w14:paraId="0B6C9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244ADDD">
            <w:pPr>
              <w:widowControl/>
              <w:jc w:val="center"/>
              <w:rPr>
                <w:rFonts w:hint="default" w:ascii="Arial" w:hAnsi="Arial" w:eastAsia="宋体" w:cs="Arial"/>
                <w:szCs w:val="21"/>
                <w:lang w:val="en-US" w:eastAsia="zh-CN"/>
              </w:rPr>
            </w:pPr>
          </w:p>
        </w:tc>
        <w:tc>
          <w:tcPr>
            <w:tcW w:w="2460" w:type="dxa"/>
            <w:vAlign w:val="center"/>
          </w:tcPr>
          <w:p w14:paraId="58FDADEF">
            <w:pPr>
              <w:jc w:val="center"/>
              <w:rPr>
                <w:rFonts w:hint="default" w:ascii="Arial" w:hAnsi="Arial" w:eastAsia="宋体" w:cs="Arial"/>
                <w:szCs w:val="21"/>
                <w:lang w:val="en-US" w:eastAsia="zh-CN"/>
              </w:rPr>
            </w:pPr>
            <w:r>
              <w:rPr>
                <w:rFonts w:hint="default" w:ascii="Arial" w:hAnsi="Arial" w:eastAsia="宋体" w:cs="Arial"/>
                <w:szCs w:val="21"/>
                <w:lang w:val="en-US" w:eastAsia="zh-CN"/>
              </w:rPr>
              <w:t>磨搓泥</w:t>
            </w:r>
          </w:p>
        </w:tc>
        <w:tc>
          <w:tcPr>
            <w:tcW w:w="4368" w:type="dxa"/>
            <w:vAlign w:val="center"/>
          </w:tcPr>
          <w:p w14:paraId="7C8EC892">
            <w:pPr>
              <w:jc w:val="center"/>
              <w:rPr>
                <w:rFonts w:hint="default" w:ascii="Arial" w:hAnsi="Arial" w:eastAsia="宋体" w:cs="Arial"/>
                <w:szCs w:val="21"/>
                <w:lang w:val="en-US" w:eastAsia="zh-CN"/>
              </w:rPr>
            </w:pPr>
            <w:r>
              <w:rPr>
                <w:rFonts w:hint="default" w:ascii="Arial" w:hAnsi="Arial" w:eastAsia="宋体" w:cs="Arial"/>
                <w:szCs w:val="21"/>
                <w:lang w:val="en-US" w:eastAsia="zh-CN"/>
              </w:rPr>
              <w:t>切削液、金属屑</w:t>
            </w:r>
          </w:p>
        </w:tc>
      </w:tr>
      <w:tr w14:paraId="3258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756E77A5">
            <w:pPr>
              <w:widowControl/>
              <w:jc w:val="center"/>
              <w:rPr>
                <w:rFonts w:hint="default" w:ascii="Arial" w:hAnsi="Arial" w:eastAsia="宋体" w:cs="Arial"/>
                <w:szCs w:val="21"/>
                <w:lang w:val="en-US" w:eastAsia="zh-CN"/>
              </w:rPr>
            </w:pPr>
          </w:p>
        </w:tc>
        <w:tc>
          <w:tcPr>
            <w:tcW w:w="2460" w:type="dxa"/>
            <w:vAlign w:val="center"/>
          </w:tcPr>
          <w:p w14:paraId="76EF2F45">
            <w:pPr>
              <w:jc w:val="center"/>
              <w:rPr>
                <w:rFonts w:hint="default" w:ascii="Arial" w:hAnsi="Arial" w:eastAsia="宋体" w:cs="Arial"/>
                <w:szCs w:val="21"/>
                <w:lang w:val="en-US" w:eastAsia="zh-CN"/>
              </w:rPr>
            </w:pPr>
            <w:r>
              <w:rPr>
                <w:rFonts w:hint="default" w:ascii="Arial" w:hAnsi="Arial" w:eastAsia="宋体" w:cs="Arial"/>
                <w:szCs w:val="21"/>
                <w:lang w:val="en-US" w:eastAsia="zh-CN"/>
              </w:rPr>
              <w:t>废淬火液</w:t>
            </w:r>
          </w:p>
        </w:tc>
        <w:tc>
          <w:tcPr>
            <w:tcW w:w="4368" w:type="dxa"/>
            <w:vAlign w:val="center"/>
          </w:tcPr>
          <w:p w14:paraId="55F5E932">
            <w:pPr>
              <w:jc w:val="center"/>
              <w:rPr>
                <w:rFonts w:hint="default" w:ascii="Arial" w:hAnsi="Arial" w:eastAsia="宋体" w:cs="Arial"/>
                <w:szCs w:val="21"/>
                <w:lang w:val="en-US" w:eastAsia="zh-CN"/>
              </w:rPr>
            </w:pPr>
            <w:r>
              <w:rPr>
                <w:rFonts w:hint="default" w:ascii="Arial" w:hAnsi="Arial" w:eastAsia="宋体" w:cs="Arial"/>
                <w:szCs w:val="21"/>
                <w:lang w:val="en-US" w:eastAsia="zh-CN"/>
              </w:rPr>
              <w:t>淬火液</w:t>
            </w:r>
          </w:p>
        </w:tc>
      </w:tr>
      <w:tr w14:paraId="5D85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5F7EC1DF">
            <w:pPr>
              <w:widowControl/>
              <w:jc w:val="center"/>
              <w:rPr>
                <w:rFonts w:hint="default" w:ascii="Arial" w:hAnsi="Arial" w:eastAsia="宋体" w:cs="Arial"/>
                <w:szCs w:val="21"/>
                <w:lang w:val="en-US" w:eastAsia="zh-CN"/>
              </w:rPr>
            </w:pPr>
          </w:p>
        </w:tc>
        <w:tc>
          <w:tcPr>
            <w:tcW w:w="2460" w:type="dxa"/>
            <w:vAlign w:val="center"/>
          </w:tcPr>
          <w:p w14:paraId="6231114B">
            <w:pPr>
              <w:jc w:val="center"/>
              <w:rPr>
                <w:rFonts w:hint="default" w:ascii="Arial" w:hAnsi="Arial" w:eastAsia="宋体" w:cs="Arial"/>
                <w:szCs w:val="21"/>
                <w:lang w:val="en-US" w:eastAsia="zh-CN"/>
              </w:rPr>
            </w:pPr>
            <w:r>
              <w:rPr>
                <w:rFonts w:hint="default" w:ascii="Arial" w:hAnsi="Arial" w:eastAsia="宋体" w:cs="Arial"/>
                <w:szCs w:val="21"/>
                <w:lang w:val="en-US" w:eastAsia="zh-CN"/>
              </w:rPr>
              <w:t>废切削液</w:t>
            </w:r>
          </w:p>
        </w:tc>
        <w:tc>
          <w:tcPr>
            <w:tcW w:w="4368" w:type="dxa"/>
            <w:vAlign w:val="center"/>
          </w:tcPr>
          <w:p w14:paraId="11500CAD">
            <w:pPr>
              <w:jc w:val="center"/>
              <w:rPr>
                <w:rFonts w:hint="default" w:ascii="Arial" w:hAnsi="Arial" w:eastAsia="宋体" w:cs="Arial"/>
                <w:szCs w:val="21"/>
                <w:lang w:val="en-US" w:eastAsia="zh-CN"/>
              </w:rPr>
            </w:pPr>
            <w:r>
              <w:rPr>
                <w:rFonts w:hint="default" w:ascii="Arial" w:hAnsi="Arial" w:eastAsia="宋体" w:cs="Arial"/>
                <w:szCs w:val="21"/>
                <w:lang w:val="en-US" w:eastAsia="zh-CN"/>
              </w:rPr>
              <w:t>切削液</w:t>
            </w:r>
          </w:p>
        </w:tc>
      </w:tr>
      <w:tr w14:paraId="19CD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1147600D">
            <w:pPr>
              <w:widowControl/>
              <w:jc w:val="center"/>
              <w:rPr>
                <w:rFonts w:hint="default" w:ascii="Arial" w:hAnsi="Arial" w:eastAsia="宋体" w:cs="Arial"/>
                <w:szCs w:val="21"/>
                <w:lang w:val="en-US" w:eastAsia="zh-CN"/>
              </w:rPr>
            </w:pPr>
          </w:p>
        </w:tc>
        <w:tc>
          <w:tcPr>
            <w:tcW w:w="2460" w:type="dxa"/>
            <w:vAlign w:val="center"/>
          </w:tcPr>
          <w:p w14:paraId="76082E86">
            <w:pPr>
              <w:jc w:val="center"/>
              <w:rPr>
                <w:rFonts w:hint="default" w:ascii="Arial" w:hAnsi="Arial" w:eastAsia="宋体" w:cs="Arial"/>
                <w:szCs w:val="21"/>
                <w:lang w:val="en-US" w:eastAsia="zh-CN"/>
              </w:rPr>
            </w:pPr>
            <w:r>
              <w:rPr>
                <w:rFonts w:hint="default" w:ascii="Arial" w:hAnsi="Arial" w:eastAsia="宋体" w:cs="Arial"/>
                <w:szCs w:val="21"/>
                <w:lang w:val="en-US" w:eastAsia="zh-CN"/>
              </w:rPr>
              <w:t>废水处理浓缩液</w:t>
            </w:r>
          </w:p>
        </w:tc>
        <w:tc>
          <w:tcPr>
            <w:tcW w:w="4368" w:type="dxa"/>
            <w:vAlign w:val="center"/>
          </w:tcPr>
          <w:p w14:paraId="030A93A2">
            <w:pPr>
              <w:jc w:val="center"/>
              <w:rPr>
                <w:rFonts w:hint="default" w:ascii="Arial" w:hAnsi="Arial" w:eastAsia="宋体" w:cs="Arial"/>
                <w:szCs w:val="21"/>
              </w:rPr>
            </w:pPr>
            <w:r>
              <w:rPr>
                <w:rFonts w:hint="default" w:ascii="Arial" w:hAnsi="Arial" w:eastAsia="宋体" w:cs="Arial"/>
                <w:szCs w:val="21"/>
                <w:lang w:val="en-US" w:eastAsia="zh-CN"/>
              </w:rPr>
              <w:t>CODcr、</w:t>
            </w:r>
            <w:r>
              <w:rPr>
                <w:rFonts w:hint="default" w:ascii="Arial" w:hAnsi="Arial" w:eastAsia="宋体" w:cs="Arial"/>
                <w:b w:val="0"/>
                <w:color w:val="000000"/>
                <w:sz w:val="21"/>
                <w:szCs w:val="21"/>
                <w:lang w:val="en-US" w:eastAsia="zh-CN"/>
              </w:rPr>
              <w:t>NH</w:t>
            </w:r>
            <w:r>
              <w:rPr>
                <w:rFonts w:hint="default" w:ascii="Arial" w:hAnsi="Arial" w:eastAsia="宋体" w:cs="Arial"/>
                <w:b w:val="0"/>
                <w:color w:val="000000"/>
                <w:sz w:val="21"/>
                <w:szCs w:val="21"/>
                <w:vertAlign w:val="subscript"/>
                <w:lang w:val="en-US" w:eastAsia="zh-CN"/>
              </w:rPr>
              <w:t>3</w:t>
            </w:r>
            <w:r>
              <w:rPr>
                <w:rFonts w:hint="eastAsia" w:ascii="Arial" w:hAnsi="Arial" w:cs="Arial"/>
                <w:b w:val="0"/>
                <w:color w:val="000000"/>
                <w:sz w:val="21"/>
                <w:szCs w:val="21"/>
                <w:vertAlign w:val="baseline"/>
                <w:lang w:val="en-US" w:eastAsia="zh-CN"/>
              </w:rPr>
              <w:t>-N</w:t>
            </w:r>
            <w:r>
              <w:rPr>
                <w:rFonts w:hint="default" w:ascii="Arial" w:hAnsi="Arial" w:eastAsia="宋体" w:cs="Arial"/>
                <w:szCs w:val="21"/>
                <w:lang w:val="en-US" w:eastAsia="zh-CN"/>
              </w:rPr>
              <w:t>、SS、石油类、TN、LAS</w:t>
            </w:r>
          </w:p>
        </w:tc>
      </w:tr>
      <w:tr w14:paraId="64A7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498B9A04">
            <w:pPr>
              <w:widowControl/>
              <w:jc w:val="center"/>
              <w:rPr>
                <w:rFonts w:hint="default" w:ascii="Arial" w:hAnsi="Arial" w:eastAsia="宋体" w:cs="Arial"/>
                <w:szCs w:val="21"/>
              </w:rPr>
            </w:pPr>
          </w:p>
        </w:tc>
        <w:tc>
          <w:tcPr>
            <w:tcW w:w="2460" w:type="dxa"/>
            <w:vAlign w:val="center"/>
          </w:tcPr>
          <w:p w14:paraId="0C5D7866">
            <w:pPr>
              <w:jc w:val="center"/>
              <w:rPr>
                <w:rFonts w:hint="default" w:ascii="Arial" w:hAnsi="Arial" w:eastAsia="宋体" w:cs="Arial"/>
                <w:szCs w:val="21"/>
                <w:lang w:val="en-US" w:eastAsia="zh-CN"/>
              </w:rPr>
            </w:pPr>
            <w:r>
              <w:rPr>
                <w:rFonts w:hint="default" w:ascii="Arial" w:hAnsi="Arial" w:eastAsia="宋体" w:cs="Arial"/>
                <w:szCs w:val="21"/>
                <w:lang w:val="en-US" w:eastAsia="zh-CN"/>
              </w:rPr>
              <w:t>废水处理废膜</w:t>
            </w:r>
          </w:p>
        </w:tc>
        <w:tc>
          <w:tcPr>
            <w:tcW w:w="4368" w:type="dxa"/>
            <w:vAlign w:val="center"/>
          </w:tcPr>
          <w:p w14:paraId="3A696437">
            <w:pPr>
              <w:jc w:val="center"/>
              <w:rPr>
                <w:rFonts w:hint="default" w:ascii="Arial" w:hAnsi="Arial" w:eastAsia="宋体" w:cs="Arial"/>
                <w:szCs w:val="21"/>
                <w:lang w:val="en-US" w:eastAsia="zh-CN"/>
              </w:rPr>
            </w:pPr>
            <w:r>
              <w:rPr>
                <w:rFonts w:hint="default" w:ascii="Arial" w:hAnsi="Arial" w:eastAsia="宋体" w:cs="Arial"/>
                <w:szCs w:val="21"/>
                <w:lang w:val="en-US" w:eastAsia="zh-CN"/>
              </w:rPr>
              <w:t>陶瓷、塑料</w:t>
            </w:r>
          </w:p>
        </w:tc>
      </w:tr>
      <w:tr w14:paraId="2EB9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3A0C75AD">
            <w:pPr>
              <w:widowControl/>
              <w:jc w:val="center"/>
              <w:rPr>
                <w:rFonts w:hint="default" w:ascii="Arial" w:hAnsi="Arial" w:eastAsia="宋体" w:cs="Arial"/>
                <w:szCs w:val="21"/>
              </w:rPr>
            </w:pPr>
          </w:p>
        </w:tc>
        <w:tc>
          <w:tcPr>
            <w:tcW w:w="2460" w:type="dxa"/>
            <w:vAlign w:val="center"/>
          </w:tcPr>
          <w:p w14:paraId="017EF16C">
            <w:pPr>
              <w:jc w:val="center"/>
              <w:rPr>
                <w:rFonts w:hint="default" w:ascii="Arial" w:hAnsi="Arial" w:eastAsia="宋体" w:cs="Arial"/>
                <w:szCs w:val="21"/>
                <w:lang w:val="en-US" w:eastAsia="zh-CN"/>
              </w:rPr>
            </w:pPr>
            <w:r>
              <w:rPr>
                <w:rFonts w:hint="default" w:ascii="Arial" w:hAnsi="Arial" w:eastAsia="宋体" w:cs="Arial"/>
                <w:szCs w:val="21"/>
                <w:lang w:val="en-US" w:eastAsia="zh-CN"/>
              </w:rPr>
              <w:t>废化学品包装</w:t>
            </w:r>
          </w:p>
        </w:tc>
        <w:tc>
          <w:tcPr>
            <w:tcW w:w="4368" w:type="dxa"/>
            <w:vAlign w:val="center"/>
          </w:tcPr>
          <w:p w14:paraId="73C9A852">
            <w:pPr>
              <w:jc w:val="center"/>
              <w:rPr>
                <w:rFonts w:hint="default" w:ascii="Arial" w:hAnsi="Arial" w:eastAsia="宋体" w:cs="Arial"/>
                <w:szCs w:val="21"/>
              </w:rPr>
            </w:pPr>
            <w:r>
              <w:rPr>
                <w:rFonts w:hint="default" w:ascii="Arial" w:hAnsi="Arial" w:eastAsia="宋体" w:cs="Arial"/>
                <w:szCs w:val="21"/>
                <w:lang w:val="en-US" w:eastAsia="zh-CN"/>
              </w:rPr>
              <w:t>塑料、有机物</w:t>
            </w:r>
          </w:p>
        </w:tc>
      </w:tr>
      <w:tr w14:paraId="18795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Merge w:val="continue"/>
            <w:vAlign w:val="center"/>
          </w:tcPr>
          <w:p w14:paraId="018016B2">
            <w:pPr>
              <w:widowControl/>
              <w:jc w:val="center"/>
              <w:rPr>
                <w:rFonts w:hint="default" w:ascii="Arial" w:hAnsi="Arial" w:eastAsia="宋体" w:cs="Arial"/>
                <w:szCs w:val="21"/>
              </w:rPr>
            </w:pPr>
          </w:p>
        </w:tc>
        <w:tc>
          <w:tcPr>
            <w:tcW w:w="2460" w:type="dxa"/>
            <w:vAlign w:val="center"/>
          </w:tcPr>
          <w:p w14:paraId="0A07B263">
            <w:pPr>
              <w:jc w:val="center"/>
              <w:rPr>
                <w:rFonts w:hint="default" w:ascii="Arial" w:hAnsi="Arial" w:eastAsia="宋体" w:cs="Arial"/>
                <w:szCs w:val="21"/>
              </w:rPr>
            </w:pPr>
            <w:r>
              <w:rPr>
                <w:rFonts w:hint="default" w:ascii="Arial" w:hAnsi="Arial" w:eastAsia="宋体" w:cs="Arial"/>
                <w:szCs w:val="21"/>
              </w:rPr>
              <w:t>员工生活</w:t>
            </w:r>
          </w:p>
        </w:tc>
        <w:tc>
          <w:tcPr>
            <w:tcW w:w="4368" w:type="dxa"/>
            <w:vAlign w:val="center"/>
          </w:tcPr>
          <w:p w14:paraId="1FC6CBDE">
            <w:pPr>
              <w:jc w:val="center"/>
              <w:rPr>
                <w:rFonts w:hint="default" w:ascii="Arial" w:hAnsi="Arial" w:eastAsia="宋体" w:cs="Arial"/>
                <w:szCs w:val="21"/>
                <w:lang w:val="en-US" w:eastAsia="zh-CN"/>
              </w:rPr>
            </w:pPr>
            <w:r>
              <w:rPr>
                <w:rFonts w:hint="default" w:ascii="Arial" w:hAnsi="Arial" w:eastAsia="宋体" w:cs="Arial"/>
                <w:szCs w:val="21"/>
                <w:lang w:val="en-US" w:eastAsia="zh-CN"/>
              </w:rPr>
              <w:t>生活垃圾</w:t>
            </w:r>
          </w:p>
        </w:tc>
      </w:tr>
      <w:tr w14:paraId="005B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dxa"/>
            <w:vAlign w:val="center"/>
          </w:tcPr>
          <w:p w14:paraId="1AB3F7B1">
            <w:pPr>
              <w:widowControl/>
              <w:jc w:val="center"/>
              <w:rPr>
                <w:rFonts w:hint="default" w:ascii="Arial" w:hAnsi="Arial" w:eastAsia="宋体" w:cs="Arial"/>
                <w:szCs w:val="21"/>
              </w:rPr>
            </w:pPr>
            <w:r>
              <w:rPr>
                <w:rFonts w:hint="default" w:ascii="Arial" w:hAnsi="Arial" w:eastAsia="宋体" w:cs="Arial"/>
                <w:szCs w:val="21"/>
              </w:rPr>
              <w:t>噪声</w:t>
            </w:r>
          </w:p>
        </w:tc>
        <w:tc>
          <w:tcPr>
            <w:tcW w:w="2460" w:type="dxa"/>
            <w:vAlign w:val="center"/>
          </w:tcPr>
          <w:p w14:paraId="237F04C2">
            <w:pPr>
              <w:jc w:val="center"/>
              <w:rPr>
                <w:rFonts w:hint="default" w:ascii="Arial" w:hAnsi="Arial" w:eastAsia="宋体" w:cs="Arial"/>
                <w:szCs w:val="21"/>
              </w:rPr>
            </w:pPr>
            <w:r>
              <w:rPr>
                <w:rFonts w:hint="default" w:ascii="Arial" w:hAnsi="Arial" w:eastAsia="宋体" w:cs="Arial"/>
                <w:szCs w:val="21"/>
              </w:rPr>
              <w:t>各生产工序</w:t>
            </w:r>
          </w:p>
        </w:tc>
        <w:tc>
          <w:tcPr>
            <w:tcW w:w="4368" w:type="dxa"/>
            <w:vAlign w:val="center"/>
          </w:tcPr>
          <w:p w14:paraId="657D9F6F">
            <w:pPr>
              <w:jc w:val="center"/>
              <w:rPr>
                <w:rFonts w:hint="default" w:ascii="Arial" w:hAnsi="Arial" w:eastAsia="宋体" w:cs="Arial"/>
                <w:szCs w:val="21"/>
              </w:rPr>
            </w:pPr>
            <w:r>
              <w:rPr>
                <w:rFonts w:hint="default" w:ascii="Arial" w:hAnsi="Arial" w:eastAsia="宋体" w:cs="Arial"/>
                <w:szCs w:val="21"/>
              </w:rPr>
              <w:t>机械噪声</w:t>
            </w:r>
          </w:p>
        </w:tc>
      </w:tr>
    </w:tbl>
    <w:p w14:paraId="71B317F7">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493" w:leftChars="0" w:hanging="283" w:firstLineChars="0"/>
        <w:jc w:val="left"/>
        <w:textAlignment w:val="auto"/>
        <w:outlineLvl w:val="1"/>
        <w:rPr>
          <w:rFonts w:hint="default" w:ascii="Arial" w:hAnsi="Arial" w:eastAsia="宋体" w:cs="Arial"/>
          <w:b/>
          <w:bCs/>
          <w:sz w:val="24"/>
          <w:szCs w:val="24"/>
        </w:rPr>
      </w:pPr>
      <w:r>
        <w:rPr>
          <w:rFonts w:hint="default" w:ascii="Arial" w:hAnsi="Arial" w:eastAsia="宋体" w:cs="Arial"/>
          <w:b/>
          <w:bCs/>
          <w:sz w:val="24"/>
          <w:szCs w:val="24"/>
          <w:lang w:val="en-US" w:eastAsia="zh-CN"/>
        </w:rPr>
        <w:t>水平衡</w:t>
      </w:r>
    </w:p>
    <w:p w14:paraId="0801874F">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10" w:leftChars="0"/>
        <w:jc w:val="left"/>
        <w:textAlignment w:val="auto"/>
        <w:outlineLvl w:val="1"/>
        <w:rPr>
          <w:rFonts w:hint="default" w:ascii="Arial" w:hAnsi="Arial" w:eastAsia="宋体" w:cs="Arial"/>
          <w:b/>
          <w:bCs/>
          <w:sz w:val="24"/>
          <w:szCs w:val="24"/>
        </w:rPr>
      </w:pPr>
      <w:r>
        <w:rPr>
          <w:rFonts w:hint="default" w:ascii="Arial" w:hAnsi="Arial" w:eastAsia="宋体" w:cs="Arial"/>
          <w:b/>
          <w:bCs/>
          <w:sz w:val="24"/>
          <w:szCs w:val="24"/>
        </w:rPr>
        <w:object>
          <v:shape id="_x0000_i1030" o:spt="75" type="#_x0000_t75" style="height:284.75pt;width:391.85pt;" o:ole="t" filled="f" o:preferrelative="t" stroked="f" coordsize="21600,21600">
            <v:path/>
            <v:fill on="f" focussize="0,0"/>
            <v:stroke on="f"/>
            <v:imagedata r:id="rId45" o:title=""/>
            <o:lock v:ext="edit" aspectratio="f"/>
            <w10:wrap type="none"/>
            <w10:anchorlock/>
          </v:shape>
          <o:OLEObject Type="Embed" ProgID="Visio.Drawing.11" ShapeID="_x0000_i1030" DrawAspect="Content" ObjectID="_1468075730" r:id="rId44">
            <o:LockedField>false</o:LockedField>
          </o:OLEObject>
        </w:object>
      </w:r>
    </w:p>
    <w:p w14:paraId="324E7B54">
      <w:pPr>
        <w:numPr>
          <w:ilvl w:val="0"/>
          <w:numId w:val="0"/>
        </w:numPr>
        <w:autoSpaceDE w:val="0"/>
        <w:autoSpaceDN w:val="0"/>
        <w:spacing w:line="360" w:lineRule="auto"/>
        <w:ind w:left="775" w:leftChars="0"/>
        <w:jc w:val="center"/>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 xml:space="preserve">图2-6 </w:t>
      </w: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水平衡图</w:t>
      </w:r>
    </w:p>
    <w:p w14:paraId="4BFF7FD8">
      <w:pPr>
        <w:pStyle w:val="76"/>
        <w:keepNext w:val="0"/>
        <w:keepLines w:val="0"/>
        <w:pageBreakBefore w:val="0"/>
        <w:widowControl w:val="0"/>
        <w:numPr>
          <w:ilvl w:val="1"/>
          <w:numId w:val="4"/>
        </w:numPr>
        <w:kinsoku/>
        <w:wordWrap/>
        <w:overflowPunct/>
        <w:topLinePunct w:val="0"/>
        <w:autoSpaceDE/>
        <w:autoSpaceDN/>
        <w:bidi w:val="0"/>
        <w:adjustRightInd/>
        <w:snapToGrid/>
        <w:spacing w:line="360" w:lineRule="auto"/>
        <w:ind w:left="283" w:firstLineChars="0"/>
        <w:jc w:val="left"/>
        <w:textAlignment w:val="auto"/>
        <w:outlineLvl w:val="1"/>
        <w:rPr>
          <w:rFonts w:hint="default" w:ascii="Arial" w:hAnsi="Arial" w:eastAsia="宋体" w:cs="Arial"/>
          <w:b/>
          <w:bCs/>
          <w:sz w:val="24"/>
          <w:szCs w:val="24"/>
        </w:rPr>
      </w:pPr>
      <w:r>
        <w:rPr>
          <w:rFonts w:hint="default" w:ascii="Arial" w:hAnsi="Arial" w:eastAsia="宋体" w:cs="Arial"/>
          <w:b/>
          <w:bCs/>
          <w:sz w:val="24"/>
          <w:szCs w:val="24"/>
        </w:rPr>
        <w:t>与项目有关的原有污染问题</w:t>
      </w:r>
    </w:p>
    <w:p w14:paraId="09B8245B">
      <w:pPr>
        <w:pStyle w:val="76"/>
        <w:numPr>
          <w:ilvl w:val="2"/>
          <w:numId w:val="4"/>
        </w:numPr>
        <w:spacing w:line="360" w:lineRule="auto"/>
        <w:ind w:left="568" w:hanging="284" w:firstLineChars="0"/>
        <w:outlineLvl w:val="2"/>
        <w:rPr>
          <w:rFonts w:hint="default" w:ascii="Arial" w:hAnsi="Arial" w:eastAsia="宋体" w:cs="Arial"/>
          <w:b/>
          <w:bCs/>
          <w:sz w:val="24"/>
          <w:szCs w:val="24"/>
        </w:rPr>
      </w:pPr>
      <w:r>
        <w:rPr>
          <w:rFonts w:hint="default" w:ascii="Arial" w:hAnsi="Arial" w:eastAsia="宋体" w:cs="Arial"/>
          <w:b/>
          <w:bCs/>
          <w:sz w:val="24"/>
          <w:szCs w:val="24"/>
        </w:rPr>
        <w:t>现有工程环境影响评价及竣工环境保护验收情况</w:t>
      </w:r>
    </w:p>
    <w:p w14:paraId="06A340CB">
      <w:pPr>
        <w:pStyle w:val="76"/>
        <w:spacing w:line="360" w:lineRule="auto"/>
        <w:ind w:left="105" w:leftChars="50" w:right="105" w:rightChars="50" w:firstLine="480"/>
        <w:rPr>
          <w:rFonts w:hint="default" w:ascii="Arial" w:hAnsi="Arial" w:eastAsia="宋体" w:cs="Arial"/>
          <w:sz w:val="24"/>
          <w:szCs w:val="24"/>
        </w:rPr>
      </w:pPr>
      <w:r>
        <w:rPr>
          <w:rFonts w:hint="default" w:ascii="Arial" w:hAnsi="Arial" w:eastAsia="宋体" w:cs="Arial"/>
          <w:sz w:val="24"/>
          <w:szCs w:val="24"/>
          <w:lang w:val="en-US" w:eastAsia="zh-CN"/>
        </w:rPr>
        <w:t>浙江汇轩汽车零部件有限公司</w:t>
      </w:r>
      <w:r>
        <w:rPr>
          <w:rFonts w:hint="default" w:ascii="Arial" w:hAnsi="Arial" w:eastAsia="宋体" w:cs="Arial"/>
          <w:sz w:val="24"/>
          <w:szCs w:val="24"/>
        </w:rPr>
        <w:t>，位于浙江省嘉兴市平湖市</w:t>
      </w:r>
      <w:r>
        <w:rPr>
          <w:rFonts w:hint="default" w:ascii="Arial" w:hAnsi="Arial" w:eastAsia="宋体" w:cs="Arial"/>
          <w:sz w:val="24"/>
          <w:szCs w:val="24"/>
          <w:lang w:val="en-US" w:eastAsia="zh-CN"/>
        </w:rPr>
        <w:t>钟埭街道五洲路</w:t>
      </w:r>
      <w:r>
        <w:rPr>
          <w:rFonts w:hint="default" w:ascii="Arial" w:hAnsi="Arial" w:eastAsia="宋体" w:cs="Arial"/>
          <w:sz w:val="24"/>
          <w:szCs w:val="24"/>
        </w:rPr>
        <w:t>1</w:t>
      </w:r>
      <w:r>
        <w:rPr>
          <w:rFonts w:hint="default" w:ascii="Arial" w:hAnsi="Arial" w:eastAsia="宋体" w:cs="Arial"/>
          <w:sz w:val="24"/>
          <w:szCs w:val="24"/>
          <w:lang w:val="en-US" w:eastAsia="zh-CN"/>
        </w:rPr>
        <w:t>268</w:t>
      </w:r>
      <w:r>
        <w:rPr>
          <w:rFonts w:hint="default" w:ascii="Arial" w:hAnsi="Arial" w:eastAsia="宋体" w:cs="Arial"/>
          <w:sz w:val="24"/>
          <w:szCs w:val="24"/>
        </w:rPr>
        <w:t>号，目前主要进行</w:t>
      </w:r>
      <w:r>
        <w:rPr>
          <w:rFonts w:hint="default" w:ascii="Arial" w:hAnsi="Arial" w:eastAsia="宋体" w:cs="Arial"/>
          <w:sz w:val="24"/>
          <w:szCs w:val="24"/>
          <w:lang w:val="en-US" w:eastAsia="zh-CN"/>
        </w:rPr>
        <w:t>汽车转向总成等零部件</w:t>
      </w:r>
      <w:r>
        <w:rPr>
          <w:rFonts w:hint="default" w:ascii="Arial" w:hAnsi="Arial" w:eastAsia="宋体" w:cs="Arial"/>
          <w:sz w:val="24"/>
          <w:szCs w:val="24"/>
        </w:rPr>
        <w:t>的生产。</w:t>
      </w:r>
      <w:r>
        <w:rPr>
          <w:rFonts w:hint="default" w:ascii="Arial" w:hAnsi="Arial" w:eastAsia="宋体" w:cs="Arial"/>
          <w:sz w:val="24"/>
          <w:szCs w:val="24"/>
          <w:lang w:val="en-US" w:eastAsia="zh-CN"/>
        </w:rPr>
        <w:t>2017年企业委托浙江省工业环保设计研究院</w:t>
      </w:r>
      <w:r>
        <w:rPr>
          <w:rFonts w:hint="default" w:ascii="Arial" w:hAnsi="Arial" w:eastAsia="宋体" w:cs="Arial"/>
          <w:sz w:val="24"/>
          <w:szCs w:val="24"/>
        </w:rPr>
        <w:t>编制了《年产300万套汽车转向管柱总成生产基地建设项目环境影响报告</w:t>
      </w:r>
      <w:r>
        <w:rPr>
          <w:rFonts w:hint="default" w:ascii="Arial" w:hAnsi="Arial" w:eastAsia="宋体" w:cs="Arial"/>
          <w:sz w:val="24"/>
          <w:szCs w:val="24"/>
          <w:lang w:val="en-US" w:eastAsia="zh-CN"/>
        </w:rPr>
        <w:t>表</w:t>
      </w:r>
      <w:r>
        <w:rPr>
          <w:rFonts w:hint="default" w:ascii="Arial" w:hAnsi="Arial" w:eastAsia="宋体" w:cs="Arial"/>
          <w:sz w:val="24"/>
          <w:szCs w:val="24"/>
        </w:rPr>
        <w:t>》，该报告于201</w:t>
      </w:r>
      <w:r>
        <w:rPr>
          <w:rFonts w:hint="default" w:ascii="Arial" w:hAnsi="Arial" w:eastAsia="宋体" w:cs="Arial"/>
          <w:sz w:val="24"/>
          <w:szCs w:val="24"/>
          <w:lang w:val="en-US" w:eastAsia="zh-CN"/>
        </w:rPr>
        <w:t>7</w:t>
      </w:r>
      <w:r>
        <w:rPr>
          <w:rFonts w:hint="default" w:ascii="Arial" w:hAnsi="Arial" w:eastAsia="宋体" w:cs="Arial"/>
          <w:sz w:val="24"/>
          <w:szCs w:val="24"/>
        </w:rPr>
        <w:t>年</w:t>
      </w:r>
      <w:r>
        <w:rPr>
          <w:rFonts w:hint="default" w:ascii="Arial" w:hAnsi="Arial" w:eastAsia="宋体" w:cs="Arial"/>
          <w:sz w:val="24"/>
          <w:szCs w:val="24"/>
          <w:lang w:val="en-US" w:eastAsia="zh-CN"/>
        </w:rPr>
        <w:t>7</w:t>
      </w:r>
      <w:r>
        <w:rPr>
          <w:rFonts w:hint="default" w:ascii="Arial" w:hAnsi="Arial" w:eastAsia="宋体" w:cs="Arial"/>
          <w:sz w:val="24"/>
          <w:szCs w:val="24"/>
        </w:rPr>
        <w:t>月</w:t>
      </w:r>
      <w:r>
        <w:rPr>
          <w:rFonts w:hint="default" w:ascii="Arial" w:hAnsi="Arial" w:eastAsia="宋体" w:cs="Arial"/>
          <w:sz w:val="24"/>
          <w:szCs w:val="24"/>
          <w:lang w:val="en-US" w:eastAsia="zh-CN"/>
        </w:rPr>
        <w:t>20</w:t>
      </w:r>
      <w:r>
        <w:rPr>
          <w:rFonts w:hint="default" w:ascii="Arial" w:hAnsi="Arial" w:eastAsia="宋体" w:cs="Arial"/>
          <w:sz w:val="24"/>
          <w:szCs w:val="24"/>
        </w:rPr>
        <w:t>日通过了（原）平湖市环境保护局的审批</w:t>
      </w:r>
      <w:r>
        <w:rPr>
          <w:rFonts w:hint="default" w:ascii="Arial" w:hAnsi="Arial" w:eastAsia="宋体" w:cs="Arial"/>
          <w:sz w:val="24"/>
          <w:szCs w:val="24"/>
          <w:lang w:eastAsia="zh-CN"/>
        </w:rPr>
        <w:t>（平环建2017-B-098号）</w:t>
      </w:r>
      <w:r>
        <w:rPr>
          <w:rFonts w:hint="default" w:ascii="Arial" w:hAnsi="Arial" w:eastAsia="宋体" w:cs="Arial"/>
          <w:sz w:val="24"/>
          <w:szCs w:val="24"/>
        </w:rPr>
        <w:t>。企业于20</w:t>
      </w:r>
      <w:r>
        <w:rPr>
          <w:rFonts w:hint="default" w:ascii="Arial" w:hAnsi="Arial" w:eastAsia="宋体" w:cs="Arial"/>
          <w:sz w:val="24"/>
          <w:szCs w:val="24"/>
          <w:lang w:val="en-US" w:eastAsia="zh-CN"/>
        </w:rPr>
        <w:t>22</w:t>
      </w:r>
      <w:r>
        <w:rPr>
          <w:rFonts w:hint="default" w:ascii="Arial" w:hAnsi="Arial" w:eastAsia="宋体" w:cs="Arial"/>
          <w:sz w:val="24"/>
          <w:szCs w:val="24"/>
        </w:rPr>
        <w:t>年12月进行了建设项目竣工环境保护</w:t>
      </w:r>
      <w:r>
        <w:rPr>
          <w:rFonts w:hint="default" w:ascii="Arial" w:hAnsi="Arial" w:eastAsia="宋体" w:cs="Arial"/>
          <w:sz w:val="24"/>
          <w:szCs w:val="24"/>
          <w:lang w:val="en-US" w:eastAsia="zh-CN"/>
        </w:rPr>
        <w:t>阶段性</w:t>
      </w:r>
      <w:r>
        <w:rPr>
          <w:rFonts w:hint="default" w:ascii="Arial" w:hAnsi="Arial" w:eastAsia="宋体" w:cs="Arial"/>
          <w:sz w:val="24"/>
          <w:szCs w:val="24"/>
        </w:rPr>
        <w:t>验收，并于202</w:t>
      </w:r>
      <w:r>
        <w:rPr>
          <w:rFonts w:hint="default" w:ascii="Arial" w:hAnsi="Arial" w:eastAsia="宋体" w:cs="Arial"/>
          <w:sz w:val="24"/>
          <w:szCs w:val="24"/>
          <w:lang w:val="en-US" w:eastAsia="zh-CN"/>
        </w:rPr>
        <w:t>2</w:t>
      </w:r>
      <w:r>
        <w:rPr>
          <w:rFonts w:hint="default" w:ascii="Arial" w:hAnsi="Arial" w:eastAsia="宋体" w:cs="Arial"/>
          <w:sz w:val="24"/>
          <w:szCs w:val="24"/>
        </w:rPr>
        <w:t>年</w:t>
      </w:r>
      <w:r>
        <w:rPr>
          <w:rFonts w:hint="default" w:ascii="Arial" w:hAnsi="Arial" w:eastAsia="宋体" w:cs="Arial"/>
          <w:sz w:val="24"/>
          <w:szCs w:val="24"/>
          <w:lang w:val="en-US" w:eastAsia="zh-CN"/>
        </w:rPr>
        <w:t>10</w:t>
      </w:r>
      <w:r>
        <w:rPr>
          <w:rFonts w:hint="default" w:ascii="Arial" w:hAnsi="Arial" w:eastAsia="宋体" w:cs="Arial"/>
          <w:sz w:val="24"/>
          <w:szCs w:val="24"/>
        </w:rPr>
        <w:t>月完成了固定污染源排污登记，登记编号913304</w:t>
      </w:r>
      <w:r>
        <w:rPr>
          <w:rFonts w:hint="default" w:ascii="Arial" w:hAnsi="Arial" w:eastAsia="宋体" w:cs="Arial"/>
          <w:sz w:val="24"/>
          <w:szCs w:val="24"/>
          <w:lang w:val="en-US" w:eastAsia="zh-CN"/>
        </w:rPr>
        <w:t>82</w:t>
      </w:r>
      <w:r>
        <w:rPr>
          <w:rFonts w:hint="default" w:ascii="Arial" w:hAnsi="Arial" w:eastAsia="宋体" w:cs="Arial"/>
          <w:sz w:val="24"/>
          <w:szCs w:val="24"/>
        </w:rPr>
        <w:t>MA28</w:t>
      </w:r>
      <w:r>
        <w:rPr>
          <w:rFonts w:hint="default" w:ascii="Arial" w:hAnsi="Arial" w:eastAsia="宋体" w:cs="Arial"/>
          <w:sz w:val="24"/>
          <w:szCs w:val="24"/>
          <w:lang w:val="en-US" w:eastAsia="zh-CN"/>
        </w:rPr>
        <w:t>A9AEST</w:t>
      </w:r>
      <w:r>
        <w:rPr>
          <w:rFonts w:hint="default" w:ascii="Arial" w:hAnsi="Arial" w:eastAsia="宋体" w:cs="Arial"/>
          <w:sz w:val="24"/>
          <w:szCs w:val="24"/>
        </w:rPr>
        <w:t>；企业现有工程履行环境影响评价和竣工验收情况见表2-</w:t>
      </w:r>
      <w:r>
        <w:rPr>
          <w:rFonts w:hint="eastAsia" w:ascii="Arial" w:hAnsi="Arial" w:eastAsia="宋体" w:cs="Arial"/>
          <w:sz w:val="24"/>
          <w:szCs w:val="24"/>
          <w:lang w:val="en-US" w:eastAsia="zh-CN"/>
        </w:rPr>
        <w:t>9</w:t>
      </w:r>
      <w:r>
        <w:rPr>
          <w:rFonts w:hint="default" w:ascii="Arial" w:hAnsi="Arial" w:eastAsia="宋体" w:cs="Arial"/>
          <w:sz w:val="24"/>
          <w:szCs w:val="24"/>
        </w:rPr>
        <w:t>，现有工程履行排污许可手续情况见表2-</w:t>
      </w:r>
      <w:r>
        <w:rPr>
          <w:rFonts w:hint="eastAsia" w:ascii="Arial" w:hAnsi="Arial" w:eastAsia="宋体" w:cs="Arial"/>
          <w:sz w:val="24"/>
          <w:szCs w:val="24"/>
          <w:lang w:val="en-US" w:eastAsia="zh-CN"/>
        </w:rPr>
        <w:t>10</w:t>
      </w:r>
      <w:r>
        <w:rPr>
          <w:rFonts w:hint="default" w:ascii="Arial" w:hAnsi="Arial" w:eastAsia="宋体" w:cs="Arial"/>
          <w:sz w:val="24"/>
          <w:szCs w:val="24"/>
        </w:rPr>
        <w:t>。</w:t>
      </w:r>
    </w:p>
    <w:p w14:paraId="1FD99D2A">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现有工程履行环境影响评价和竣工验收情况一览表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376"/>
        <w:gridCol w:w="1132"/>
        <w:gridCol w:w="954"/>
        <w:gridCol w:w="1238"/>
        <w:gridCol w:w="1176"/>
        <w:gridCol w:w="2061"/>
      </w:tblGrid>
      <w:tr w14:paraId="3C13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376" w:type="dxa"/>
            <w:noWrap w:val="0"/>
            <w:vAlign w:val="center"/>
          </w:tcPr>
          <w:p w14:paraId="1844482E">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项目名称</w:t>
            </w:r>
          </w:p>
        </w:tc>
        <w:tc>
          <w:tcPr>
            <w:tcW w:w="1132" w:type="dxa"/>
            <w:noWrap w:val="0"/>
            <w:vAlign w:val="center"/>
          </w:tcPr>
          <w:p w14:paraId="19706BC7">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审批文号</w:t>
            </w:r>
          </w:p>
        </w:tc>
        <w:tc>
          <w:tcPr>
            <w:tcW w:w="954" w:type="dxa"/>
            <w:noWrap w:val="0"/>
            <w:vAlign w:val="center"/>
          </w:tcPr>
          <w:p w14:paraId="345C5906">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审批时间</w:t>
            </w:r>
          </w:p>
        </w:tc>
        <w:tc>
          <w:tcPr>
            <w:tcW w:w="1238" w:type="dxa"/>
            <w:noWrap w:val="0"/>
            <w:vAlign w:val="center"/>
          </w:tcPr>
          <w:p w14:paraId="6C718824">
            <w:pPr>
              <w:snapToGrid w:val="0"/>
              <w:jc w:val="center"/>
              <w:rPr>
                <w:rFonts w:hint="default" w:ascii="Arial" w:hAnsi="Arial" w:eastAsia="宋体" w:cs="Arial"/>
                <w:snapToGrid w:val="0"/>
                <w:sz w:val="18"/>
                <w:szCs w:val="18"/>
              </w:rPr>
            </w:pPr>
            <w:r>
              <w:rPr>
                <w:rFonts w:hint="default" w:ascii="Arial" w:hAnsi="Arial" w:eastAsia="宋体" w:cs="Arial"/>
                <w:snapToGrid w:val="0"/>
                <w:spacing w:val="-6"/>
                <w:sz w:val="18"/>
                <w:szCs w:val="18"/>
              </w:rPr>
              <w:t>项目主要内容</w:t>
            </w:r>
          </w:p>
        </w:tc>
        <w:tc>
          <w:tcPr>
            <w:tcW w:w="1176" w:type="dxa"/>
            <w:noWrap w:val="0"/>
            <w:vAlign w:val="center"/>
          </w:tcPr>
          <w:p w14:paraId="533BA3D1">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实施情况</w:t>
            </w:r>
          </w:p>
        </w:tc>
        <w:tc>
          <w:tcPr>
            <w:tcW w:w="2061" w:type="dxa"/>
            <w:noWrap w:val="0"/>
            <w:vAlign w:val="center"/>
          </w:tcPr>
          <w:p w14:paraId="00EB8306">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验收情况</w:t>
            </w:r>
          </w:p>
        </w:tc>
      </w:tr>
      <w:tr w14:paraId="6673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376" w:type="dxa"/>
            <w:noWrap w:val="0"/>
            <w:vAlign w:val="center"/>
          </w:tcPr>
          <w:p w14:paraId="78ED85D6">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年产300万套汽车转向管柱总成生产基地建设项目</w:t>
            </w:r>
          </w:p>
        </w:tc>
        <w:tc>
          <w:tcPr>
            <w:tcW w:w="1132" w:type="dxa"/>
            <w:noWrap w:val="0"/>
            <w:vAlign w:val="center"/>
          </w:tcPr>
          <w:p w14:paraId="6CD4FA50">
            <w:pPr>
              <w:snapToGrid w:val="0"/>
              <w:jc w:val="center"/>
              <w:rPr>
                <w:rFonts w:hint="default" w:ascii="Arial" w:hAnsi="Arial" w:eastAsia="宋体" w:cs="Arial"/>
                <w:sz w:val="18"/>
                <w:szCs w:val="18"/>
              </w:rPr>
            </w:pPr>
            <w:r>
              <w:rPr>
                <w:rFonts w:hint="default" w:ascii="Arial" w:hAnsi="Arial" w:eastAsia="宋体" w:cs="Arial"/>
                <w:sz w:val="18"/>
                <w:szCs w:val="18"/>
              </w:rPr>
              <w:t>平环建2017-B-098号</w:t>
            </w:r>
          </w:p>
        </w:tc>
        <w:tc>
          <w:tcPr>
            <w:tcW w:w="954" w:type="dxa"/>
            <w:noWrap w:val="0"/>
            <w:vAlign w:val="center"/>
          </w:tcPr>
          <w:p w14:paraId="2177B109">
            <w:pPr>
              <w:snapToGrid w:val="0"/>
              <w:jc w:val="center"/>
              <w:rPr>
                <w:rFonts w:hint="default" w:ascii="Arial" w:hAnsi="Arial" w:eastAsia="宋体" w:cs="Arial"/>
                <w:sz w:val="18"/>
                <w:szCs w:val="18"/>
                <w:lang w:val="en-US" w:eastAsia="zh-CN"/>
              </w:rPr>
            </w:pPr>
            <w:r>
              <w:rPr>
                <w:rFonts w:hint="default" w:ascii="Arial" w:hAnsi="Arial" w:eastAsia="宋体" w:cs="Arial"/>
                <w:sz w:val="18"/>
                <w:szCs w:val="18"/>
              </w:rPr>
              <w:t>201</w:t>
            </w:r>
            <w:r>
              <w:rPr>
                <w:rFonts w:hint="default" w:ascii="Arial" w:hAnsi="Arial" w:eastAsia="宋体" w:cs="Arial"/>
                <w:sz w:val="18"/>
                <w:szCs w:val="18"/>
                <w:lang w:val="en-US" w:eastAsia="zh-CN"/>
              </w:rPr>
              <w:t>7</w:t>
            </w:r>
            <w:r>
              <w:rPr>
                <w:rFonts w:hint="default" w:ascii="Arial" w:hAnsi="Arial" w:eastAsia="宋体" w:cs="Arial"/>
                <w:sz w:val="18"/>
                <w:szCs w:val="18"/>
              </w:rPr>
              <w:t>年</w:t>
            </w:r>
            <w:r>
              <w:rPr>
                <w:rFonts w:hint="default" w:ascii="Arial" w:hAnsi="Arial" w:eastAsia="宋体" w:cs="Arial"/>
                <w:sz w:val="18"/>
                <w:szCs w:val="18"/>
                <w:lang w:val="en-US" w:eastAsia="zh-CN"/>
              </w:rPr>
              <w:t>7</w:t>
            </w:r>
            <w:r>
              <w:rPr>
                <w:rFonts w:hint="default" w:ascii="Arial" w:hAnsi="Arial" w:eastAsia="宋体" w:cs="Arial"/>
                <w:sz w:val="18"/>
                <w:szCs w:val="18"/>
              </w:rPr>
              <w:t>月</w:t>
            </w:r>
            <w:r>
              <w:rPr>
                <w:rFonts w:hint="default" w:ascii="Arial" w:hAnsi="Arial" w:eastAsia="宋体" w:cs="Arial"/>
                <w:sz w:val="18"/>
                <w:szCs w:val="18"/>
                <w:lang w:val="en-US" w:eastAsia="zh-CN"/>
              </w:rPr>
              <w:t>20日</w:t>
            </w:r>
          </w:p>
        </w:tc>
        <w:tc>
          <w:tcPr>
            <w:tcW w:w="1238" w:type="dxa"/>
            <w:noWrap w:val="0"/>
            <w:vAlign w:val="center"/>
          </w:tcPr>
          <w:p w14:paraId="1E6E0F22">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年产300万套汽车转向管柱总成</w:t>
            </w:r>
          </w:p>
        </w:tc>
        <w:tc>
          <w:tcPr>
            <w:tcW w:w="1176" w:type="dxa"/>
            <w:noWrap w:val="0"/>
            <w:vAlign w:val="center"/>
          </w:tcPr>
          <w:p w14:paraId="7191A518">
            <w:pPr>
              <w:snapToGrid w:val="0"/>
              <w:jc w:val="center"/>
              <w:rPr>
                <w:rFonts w:hint="default" w:ascii="Arial" w:hAnsi="Arial" w:eastAsia="宋体" w:cs="Arial"/>
                <w:snapToGrid w:val="0"/>
                <w:sz w:val="18"/>
                <w:szCs w:val="18"/>
                <w:lang w:val="en-US" w:eastAsia="zh-CN"/>
              </w:rPr>
            </w:pPr>
            <w:r>
              <w:rPr>
                <w:rFonts w:hint="default" w:ascii="Arial" w:hAnsi="Arial" w:eastAsia="宋体" w:cs="Arial"/>
                <w:snapToGrid w:val="0"/>
                <w:sz w:val="18"/>
                <w:szCs w:val="18"/>
                <w:lang w:val="en-US" w:eastAsia="zh-CN"/>
              </w:rPr>
              <w:t>部分建设完毕</w:t>
            </w:r>
          </w:p>
        </w:tc>
        <w:tc>
          <w:tcPr>
            <w:tcW w:w="2061" w:type="dxa"/>
            <w:noWrap w:val="0"/>
            <w:vAlign w:val="center"/>
          </w:tcPr>
          <w:p w14:paraId="4F2801AF">
            <w:pPr>
              <w:snapToGrid w:val="0"/>
              <w:jc w:val="center"/>
              <w:rPr>
                <w:rFonts w:hint="default" w:ascii="Arial" w:hAnsi="Arial" w:eastAsia="宋体" w:cs="Arial"/>
                <w:snapToGrid w:val="0"/>
                <w:sz w:val="18"/>
                <w:szCs w:val="18"/>
                <w:lang w:eastAsia="zh-CN"/>
              </w:rPr>
            </w:pPr>
            <w:r>
              <w:rPr>
                <w:rFonts w:hint="default" w:ascii="Arial" w:hAnsi="Arial" w:eastAsia="宋体" w:cs="Arial"/>
                <w:snapToGrid w:val="0"/>
                <w:sz w:val="18"/>
                <w:szCs w:val="18"/>
              </w:rPr>
              <w:t>20</w:t>
            </w:r>
            <w:r>
              <w:rPr>
                <w:rFonts w:hint="default" w:ascii="Arial" w:hAnsi="Arial" w:eastAsia="宋体" w:cs="Arial"/>
                <w:snapToGrid w:val="0"/>
                <w:sz w:val="18"/>
                <w:szCs w:val="18"/>
                <w:lang w:val="en-US" w:eastAsia="zh-CN"/>
              </w:rPr>
              <w:t>22</w:t>
            </w:r>
            <w:r>
              <w:rPr>
                <w:rFonts w:hint="default" w:ascii="Arial" w:hAnsi="Arial" w:eastAsia="宋体" w:cs="Arial"/>
                <w:snapToGrid w:val="0"/>
                <w:sz w:val="18"/>
                <w:szCs w:val="18"/>
              </w:rPr>
              <w:t>年12月完成</w:t>
            </w:r>
            <w:r>
              <w:rPr>
                <w:rFonts w:hint="default" w:ascii="Arial" w:hAnsi="Arial" w:eastAsia="宋体" w:cs="Arial"/>
                <w:snapToGrid w:val="0"/>
                <w:sz w:val="18"/>
                <w:szCs w:val="18"/>
                <w:lang w:val="en-US" w:eastAsia="zh-CN"/>
              </w:rPr>
              <w:t>阶段性</w:t>
            </w:r>
            <w:r>
              <w:rPr>
                <w:rFonts w:hint="default" w:ascii="Arial" w:hAnsi="Arial" w:eastAsia="宋体" w:cs="Arial"/>
                <w:snapToGrid w:val="0"/>
                <w:sz w:val="18"/>
                <w:szCs w:val="18"/>
              </w:rPr>
              <w:t>验收</w:t>
            </w:r>
            <w:r>
              <w:rPr>
                <w:rFonts w:hint="default" w:ascii="Arial" w:hAnsi="Arial" w:eastAsia="宋体" w:cs="Arial"/>
                <w:snapToGrid w:val="0"/>
                <w:sz w:val="18"/>
                <w:szCs w:val="18"/>
                <w:lang w:eastAsia="zh-CN"/>
              </w:rPr>
              <w:t>，年产300万套汽车转向管柱总成扭杆</w:t>
            </w:r>
          </w:p>
        </w:tc>
      </w:tr>
    </w:tbl>
    <w:p w14:paraId="03327132">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现有工程履行排污许可手续情况</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1348"/>
        <w:gridCol w:w="676"/>
        <w:gridCol w:w="912"/>
        <w:gridCol w:w="1131"/>
        <w:gridCol w:w="662"/>
        <w:gridCol w:w="779"/>
        <w:gridCol w:w="750"/>
        <w:gridCol w:w="780"/>
        <w:gridCol w:w="900"/>
      </w:tblGrid>
      <w:tr w14:paraId="1774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348" w:type="dxa"/>
            <w:vMerge w:val="restart"/>
            <w:tcBorders>
              <w:tl2br w:val="single" w:color="auto" w:sz="4" w:space="0"/>
            </w:tcBorders>
            <w:noWrap w:val="0"/>
            <w:vAlign w:val="center"/>
          </w:tcPr>
          <w:p w14:paraId="0CAB616D">
            <w:pPr>
              <w:snapToGrid w:val="0"/>
              <w:jc w:val="right"/>
              <w:rPr>
                <w:rFonts w:hint="default" w:ascii="Arial" w:hAnsi="Arial" w:eastAsia="宋体" w:cs="Arial"/>
                <w:snapToGrid w:val="0"/>
                <w:sz w:val="18"/>
                <w:szCs w:val="18"/>
              </w:rPr>
            </w:pPr>
            <w:r>
              <w:rPr>
                <w:rFonts w:hint="default" w:ascii="Arial" w:hAnsi="Arial" w:eastAsia="宋体" w:cs="Arial"/>
                <w:snapToGrid w:val="0"/>
                <w:sz w:val="18"/>
                <w:szCs w:val="18"/>
              </w:rPr>
              <w:t>类别</w:t>
            </w:r>
          </w:p>
          <w:p w14:paraId="0996C98A">
            <w:pPr>
              <w:snapToGrid w:val="0"/>
              <w:jc w:val="left"/>
              <w:rPr>
                <w:rFonts w:hint="default" w:ascii="Arial" w:hAnsi="Arial" w:eastAsia="宋体" w:cs="Arial"/>
                <w:snapToGrid w:val="0"/>
                <w:sz w:val="18"/>
                <w:szCs w:val="18"/>
              </w:rPr>
            </w:pPr>
            <w:r>
              <w:rPr>
                <w:rFonts w:hint="default" w:ascii="Arial" w:hAnsi="Arial" w:eastAsia="宋体" w:cs="Arial"/>
                <w:snapToGrid w:val="0"/>
                <w:sz w:val="18"/>
                <w:szCs w:val="18"/>
              </w:rPr>
              <w:t>项目</w:t>
            </w:r>
          </w:p>
        </w:tc>
        <w:tc>
          <w:tcPr>
            <w:tcW w:w="676" w:type="dxa"/>
            <w:vMerge w:val="restart"/>
            <w:noWrap w:val="0"/>
            <w:vAlign w:val="center"/>
          </w:tcPr>
          <w:p w14:paraId="79EB8AFF">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申领时间</w:t>
            </w:r>
          </w:p>
        </w:tc>
        <w:tc>
          <w:tcPr>
            <w:tcW w:w="912" w:type="dxa"/>
            <w:vMerge w:val="restart"/>
            <w:noWrap w:val="0"/>
            <w:vAlign w:val="center"/>
          </w:tcPr>
          <w:p w14:paraId="0D47D017">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核发单位</w:t>
            </w:r>
          </w:p>
        </w:tc>
        <w:tc>
          <w:tcPr>
            <w:tcW w:w="1131" w:type="dxa"/>
            <w:vMerge w:val="restart"/>
            <w:noWrap w:val="0"/>
            <w:vAlign w:val="center"/>
          </w:tcPr>
          <w:p w14:paraId="7D50F1E5">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证书编号</w:t>
            </w:r>
          </w:p>
        </w:tc>
        <w:tc>
          <w:tcPr>
            <w:tcW w:w="2191" w:type="dxa"/>
            <w:gridSpan w:val="3"/>
            <w:noWrap w:val="0"/>
            <w:vAlign w:val="center"/>
          </w:tcPr>
          <w:p w14:paraId="16427786">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废水排放总量或排污权总量（t/a）</w:t>
            </w:r>
          </w:p>
        </w:tc>
        <w:tc>
          <w:tcPr>
            <w:tcW w:w="1680" w:type="dxa"/>
            <w:gridSpan w:val="2"/>
            <w:noWrap w:val="0"/>
            <w:vAlign w:val="center"/>
          </w:tcPr>
          <w:p w14:paraId="3AC63236">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废气排放总量或排污权总量(t/a)</w:t>
            </w:r>
          </w:p>
        </w:tc>
      </w:tr>
      <w:tr w14:paraId="3F77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348" w:type="dxa"/>
            <w:vMerge w:val="continue"/>
            <w:tcBorders>
              <w:tl2br w:val="single" w:color="auto" w:sz="4" w:space="0"/>
            </w:tcBorders>
            <w:noWrap w:val="0"/>
            <w:vAlign w:val="center"/>
          </w:tcPr>
          <w:p w14:paraId="32555117">
            <w:pPr>
              <w:snapToGrid w:val="0"/>
              <w:jc w:val="center"/>
              <w:rPr>
                <w:rFonts w:hint="default" w:ascii="Arial" w:hAnsi="Arial" w:eastAsia="宋体" w:cs="Arial"/>
                <w:snapToGrid w:val="0"/>
                <w:sz w:val="18"/>
                <w:szCs w:val="18"/>
              </w:rPr>
            </w:pPr>
          </w:p>
        </w:tc>
        <w:tc>
          <w:tcPr>
            <w:tcW w:w="676" w:type="dxa"/>
            <w:vMerge w:val="continue"/>
            <w:noWrap w:val="0"/>
            <w:vAlign w:val="center"/>
          </w:tcPr>
          <w:p w14:paraId="001769D1">
            <w:pPr>
              <w:snapToGrid w:val="0"/>
              <w:jc w:val="center"/>
              <w:rPr>
                <w:rFonts w:hint="default" w:ascii="Arial" w:hAnsi="Arial" w:eastAsia="宋体" w:cs="Arial"/>
                <w:snapToGrid w:val="0"/>
                <w:sz w:val="18"/>
                <w:szCs w:val="18"/>
              </w:rPr>
            </w:pPr>
          </w:p>
        </w:tc>
        <w:tc>
          <w:tcPr>
            <w:tcW w:w="912" w:type="dxa"/>
            <w:vMerge w:val="continue"/>
            <w:noWrap w:val="0"/>
            <w:vAlign w:val="center"/>
          </w:tcPr>
          <w:p w14:paraId="02ADB867">
            <w:pPr>
              <w:snapToGrid w:val="0"/>
              <w:jc w:val="center"/>
              <w:rPr>
                <w:rFonts w:hint="default" w:ascii="Arial" w:hAnsi="Arial" w:eastAsia="宋体" w:cs="Arial"/>
                <w:snapToGrid w:val="0"/>
                <w:sz w:val="18"/>
                <w:szCs w:val="18"/>
              </w:rPr>
            </w:pPr>
          </w:p>
        </w:tc>
        <w:tc>
          <w:tcPr>
            <w:tcW w:w="1131" w:type="dxa"/>
            <w:vMerge w:val="continue"/>
            <w:noWrap w:val="0"/>
            <w:vAlign w:val="center"/>
          </w:tcPr>
          <w:p w14:paraId="336F06AA">
            <w:pPr>
              <w:snapToGrid w:val="0"/>
              <w:jc w:val="center"/>
              <w:rPr>
                <w:rFonts w:hint="default" w:ascii="Arial" w:hAnsi="Arial" w:eastAsia="宋体" w:cs="Arial"/>
                <w:snapToGrid w:val="0"/>
                <w:sz w:val="18"/>
                <w:szCs w:val="18"/>
              </w:rPr>
            </w:pPr>
          </w:p>
        </w:tc>
        <w:tc>
          <w:tcPr>
            <w:tcW w:w="662" w:type="dxa"/>
            <w:noWrap w:val="0"/>
            <w:vAlign w:val="center"/>
          </w:tcPr>
          <w:p w14:paraId="1A73217B">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废水量</w:t>
            </w:r>
          </w:p>
        </w:tc>
        <w:tc>
          <w:tcPr>
            <w:tcW w:w="779" w:type="dxa"/>
            <w:noWrap w:val="0"/>
            <w:vAlign w:val="center"/>
          </w:tcPr>
          <w:p w14:paraId="234DF58E">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化学需氧量</w:t>
            </w:r>
          </w:p>
        </w:tc>
        <w:tc>
          <w:tcPr>
            <w:tcW w:w="750" w:type="dxa"/>
            <w:noWrap w:val="0"/>
            <w:vAlign w:val="center"/>
          </w:tcPr>
          <w:p w14:paraId="1F6A9420">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氨氮</w:t>
            </w:r>
          </w:p>
        </w:tc>
        <w:tc>
          <w:tcPr>
            <w:tcW w:w="780" w:type="dxa"/>
            <w:noWrap w:val="0"/>
            <w:vAlign w:val="center"/>
          </w:tcPr>
          <w:p w14:paraId="250D6BB2">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工业烟粉尘</w:t>
            </w:r>
          </w:p>
        </w:tc>
        <w:tc>
          <w:tcPr>
            <w:tcW w:w="900" w:type="dxa"/>
            <w:noWrap w:val="0"/>
            <w:vAlign w:val="center"/>
          </w:tcPr>
          <w:p w14:paraId="6C2473BF">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挥发性有机物</w:t>
            </w:r>
          </w:p>
        </w:tc>
      </w:tr>
      <w:tr w14:paraId="16A5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1348" w:type="dxa"/>
            <w:noWrap w:val="0"/>
            <w:vAlign w:val="center"/>
          </w:tcPr>
          <w:p w14:paraId="7CC1DF9A">
            <w:pPr>
              <w:snapToGrid w:val="0"/>
              <w:jc w:val="center"/>
              <w:rPr>
                <w:rFonts w:hint="default" w:ascii="Arial" w:hAnsi="Arial" w:eastAsia="宋体" w:cs="Arial"/>
                <w:sz w:val="18"/>
                <w:szCs w:val="18"/>
              </w:rPr>
            </w:pPr>
            <w:r>
              <w:rPr>
                <w:rFonts w:hint="default" w:ascii="Arial" w:hAnsi="Arial" w:eastAsia="宋体" w:cs="Arial"/>
                <w:snapToGrid w:val="0"/>
                <w:sz w:val="18"/>
                <w:szCs w:val="18"/>
              </w:rPr>
              <w:t>年产300万套汽车转向管柱总成生产基地建设项目</w:t>
            </w:r>
          </w:p>
        </w:tc>
        <w:tc>
          <w:tcPr>
            <w:tcW w:w="676" w:type="dxa"/>
            <w:noWrap w:val="0"/>
            <w:vAlign w:val="center"/>
          </w:tcPr>
          <w:p w14:paraId="0048EDB0">
            <w:pPr>
              <w:snapToGrid w:val="0"/>
              <w:jc w:val="center"/>
              <w:rPr>
                <w:rFonts w:hint="default" w:ascii="Arial" w:hAnsi="Arial" w:eastAsia="宋体" w:cs="Arial"/>
                <w:snapToGrid w:val="0"/>
                <w:sz w:val="18"/>
                <w:szCs w:val="18"/>
                <w:lang w:val="en-US" w:eastAsia="zh-CN"/>
              </w:rPr>
            </w:pPr>
            <w:r>
              <w:rPr>
                <w:rFonts w:hint="default" w:ascii="Arial" w:hAnsi="Arial" w:eastAsia="宋体" w:cs="Arial"/>
                <w:snapToGrid w:val="0"/>
                <w:sz w:val="18"/>
                <w:szCs w:val="18"/>
              </w:rPr>
              <w:t>202</w:t>
            </w:r>
            <w:r>
              <w:rPr>
                <w:rFonts w:hint="default" w:ascii="Arial" w:hAnsi="Arial" w:eastAsia="宋体" w:cs="Arial"/>
                <w:snapToGrid w:val="0"/>
                <w:sz w:val="18"/>
                <w:szCs w:val="18"/>
                <w:lang w:val="en-US" w:eastAsia="zh-CN"/>
              </w:rPr>
              <w:t>2</w:t>
            </w:r>
            <w:r>
              <w:rPr>
                <w:rFonts w:hint="default" w:ascii="Arial" w:hAnsi="Arial" w:eastAsia="宋体" w:cs="Arial"/>
                <w:snapToGrid w:val="0"/>
                <w:sz w:val="18"/>
                <w:szCs w:val="18"/>
              </w:rPr>
              <w:t>.</w:t>
            </w:r>
            <w:r>
              <w:rPr>
                <w:rFonts w:hint="default" w:ascii="Arial" w:hAnsi="Arial" w:eastAsia="宋体" w:cs="Arial"/>
                <w:snapToGrid w:val="0"/>
                <w:sz w:val="18"/>
                <w:szCs w:val="18"/>
                <w:lang w:val="en-US" w:eastAsia="zh-CN"/>
              </w:rPr>
              <w:t>10</w:t>
            </w:r>
          </w:p>
        </w:tc>
        <w:tc>
          <w:tcPr>
            <w:tcW w:w="912" w:type="dxa"/>
            <w:noWrap w:val="0"/>
            <w:vAlign w:val="center"/>
          </w:tcPr>
          <w:p w14:paraId="5DBAE12C">
            <w:pPr>
              <w:snapToGrid w:val="0"/>
              <w:jc w:val="center"/>
              <w:rPr>
                <w:rFonts w:hint="default" w:ascii="Arial" w:hAnsi="Arial" w:eastAsia="宋体" w:cs="Arial"/>
                <w:sz w:val="18"/>
                <w:szCs w:val="18"/>
              </w:rPr>
            </w:pPr>
            <w:r>
              <w:rPr>
                <w:rFonts w:hint="default" w:ascii="Arial" w:hAnsi="Arial" w:eastAsia="宋体" w:cs="Arial"/>
                <w:sz w:val="18"/>
                <w:szCs w:val="18"/>
              </w:rPr>
              <w:t>嘉兴市生态环境局</w:t>
            </w:r>
          </w:p>
        </w:tc>
        <w:tc>
          <w:tcPr>
            <w:tcW w:w="1131" w:type="dxa"/>
            <w:noWrap w:val="0"/>
            <w:vAlign w:val="center"/>
          </w:tcPr>
          <w:p w14:paraId="6752B9F0">
            <w:pPr>
              <w:snapToGrid w:val="0"/>
              <w:jc w:val="center"/>
              <w:rPr>
                <w:rFonts w:hint="default" w:ascii="Arial" w:hAnsi="Arial" w:eastAsia="宋体" w:cs="Arial"/>
                <w:sz w:val="18"/>
                <w:szCs w:val="18"/>
              </w:rPr>
            </w:pPr>
            <w:r>
              <w:rPr>
                <w:rFonts w:hint="default" w:ascii="Arial" w:hAnsi="Arial" w:eastAsia="宋体" w:cs="Arial"/>
                <w:sz w:val="18"/>
                <w:szCs w:val="18"/>
              </w:rPr>
              <w:t>91330482MA28A9AEST</w:t>
            </w:r>
          </w:p>
        </w:tc>
        <w:tc>
          <w:tcPr>
            <w:tcW w:w="662" w:type="dxa"/>
            <w:noWrap w:val="0"/>
            <w:vAlign w:val="center"/>
          </w:tcPr>
          <w:p w14:paraId="34AA48AA">
            <w:pPr>
              <w:snapToGrid w:val="0"/>
              <w:jc w:val="center"/>
              <w:rPr>
                <w:rFonts w:hint="default" w:ascii="Arial" w:hAnsi="Arial" w:eastAsia="宋体" w:cs="Arial"/>
                <w:snapToGrid w:val="0"/>
                <w:sz w:val="18"/>
                <w:szCs w:val="18"/>
                <w:lang w:val="en-US" w:eastAsia="zh-CN"/>
              </w:rPr>
            </w:pPr>
            <w:r>
              <w:rPr>
                <w:rFonts w:hint="default" w:ascii="Arial" w:hAnsi="Arial" w:eastAsia="宋体" w:cs="Arial"/>
                <w:snapToGrid w:val="0"/>
                <w:sz w:val="18"/>
                <w:szCs w:val="18"/>
                <w:lang w:val="en-US" w:eastAsia="zh-CN"/>
              </w:rPr>
              <w:t>9000</w:t>
            </w:r>
          </w:p>
        </w:tc>
        <w:tc>
          <w:tcPr>
            <w:tcW w:w="779" w:type="dxa"/>
            <w:noWrap w:val="0"/>
            <w:vAlign w:val="center"/>
          </w:tcPr>
          <w:p w14:paraId="132F8EA6">
            <w:pPr>
              <w:snapToGrid w:val="0"/>
              <w:jc w:val="center"/>
              <w:rPr>
                <w:rFonts w:hint="default" w:ascii="Arial" w:hAnsi="Arial" w:eastAsia="宋体" w:cs="Arial"/>
                <w:snapToGrid w:val="0"/>
                <w:sz w:val="18"/>
                <w:szCs w:val="18"/>
                <w:lang w:val="en-US" w:eastAsia="zh-CN"/>
              </w:rPr>
            </w:pPr>
            <w:r>
              <w:rPr>
                <w:rFonts w:hint="default" w:ascii="Arial" w:hAnsi="Arial" w:eastAsia="宋体" w:cs="Arial"/>
                <w:snapToGrid w:val="0"/>
                <w:sz w:val="18"/>
                <w:szCs w:val="18"/>
              </w:rPr>
              <w:t>0.3</w:t>
            </w:r>
            <w:r>
              <w:rPr>
                <w:rFonts w:hint="default" w:ascii="Arial" w:hAnsi="Arial" w:eastAsia="宋体" w:cs="Arial"/>
                <w:snapToGrid w:val="0"/>
                <w:sz w:val="18"/>
                <w:szCs w:val="18"/>
                <w:lang w:val="en-US" w:eastAsia="zh-CN"/>
              </w:rPr>
              <w:t>6</w:t>
            </w:r>
          </w:p>
        </w:tc>
        <w:tc>
          <w:tcPr>
            <w:tcW w:w="750" w:type="dxa"/>
            <w:noWrap w:val="0"/>
            <w:vAlign w:val="center"/>
          </w:tcPr>
          <w:p w14:paraId="612F5FCA">
            <w:pPr>
              <w:snapToGrid w:val="0"/>
              <w:jc w:val="center"/>
              <w:rPr>
                <w:rFonts w:hint="default" w:ascii="Arial" w:hAnsi="Arial" w:eastAsia="宋体" w:cs="Arial"/>
                <w:snapToGrid w:val="0"/>
                <w:sz w:val="18"/>
                <w:szCs w:val="18"/>
              </w:rPr>
            </w:pPr>
            <w:r>
              <w:rPr>
                <w:rFonts w:hint="default" w:ascii="Arial" w:hAnsi="Arial" w:eastAsia="宋体" w:cs="Arial"/>
                <w:snapToGrid w:val="0"/>
                <w:sz w:val="18"/>
                <w:szCs w:val="18"/>
              </w:rPr>
              <w:t>0.01</w:t>
            </w:r>
            <w:r>
              <w:rPr>
                <w:rFonts w:hint="default" w:ascii="Arial" w:hAnsi="Arial" w:eastAsia="宋体" w:cs="Arial"/>
                <w:snapToGrid w:val="0"/>
                <w:sz w:val="18"/>
                <w:szCs w:val="18"/>
                <w:lang w:val="en-US" w:eastAsia="zh-CN"/>
              </w:rPr>
              <w:t>8</w:t>
            </w:r>
          </w:p>
        </w:tc>
        <w:tc>
          <w:tcPr>
            <w:tcW w:w="780" w:type="dxa"/>
            <w:noWrap w:val="0"/>
            <w:vAlign w:val="center"/>
          </w:tcPr>
          <w:p w14:paraId="2533CFD4">
            <w:pPr>
              <w:snapToGrid w:val="0"/>
              <w:jc w:val="center"/>
              <w:rPr>
                <w:rFonts w:hint="default" w:ascii="Arial" w:hAnsi="Arial" w:eastAsia="宋体" w:cs="Arial"/>
                <w:snapToGrid w:val="0"/>
                <w:sz w:val="18"/>
                <w:szCs w:val="18"/>
                <w:lang w:val="en-US" w:eastAsia="zh-CN"/>
              </w:rPr>
            </w:pPr>
            <w:r>
              <w:rPr>
                <w:rFonts w:hint="default" w:ascii="Arial" w:hAnsi="Arial" w:eastAsia="宋体" w:cs="Arial"/>
                <w:snapToGrid w:val="0"/>
                <w:sz w:val="18"/>
                <w:szCs w:val="18"/>
              </w:rPr>
              <w:t>0.</w:t>
            </w:r>
            <w:r>
              <w:rPr>
                <w:rFonts w:hint="default" w:ascii="Arial" w:hAnsi="Arial" w:eastAsia="宋体" w:cs="Arial"/>
                <w:snapToGrid w:val="0"/>
                <w:sz w:val="18"/>
                <w:szCs w:val="18"/>
                <w:lang w:val="en-US" w:eastAsia="zh-CN"/>
              </w:rPr>
              <w:t>022</w:t>
            </w:r>
          </w:p>
        </w:tc>
        <w:tc>
          <w:tcPr>
            <w:tcW w:w="900" w:type="dxa"/>
            <w:noWrap w:val="0"/>
            <w:vAlign w:val="center"/>
          </w:tcPr>
          <w:p w14:paraId="5FC2A757">
            <w:pPr>
              <w:snapToGrid w:val="0"/>
              <w:jc w:val="center"/>
              <w:rPr>
                <w:rFonts w:hint="default" w:ascii="Arial" w:hAnsi="Arial" w:eastAsia="宋体" w:cs="Arial"/>
                <w:snapToGrid w:val="0"/>
                <w:sz w:val="18"/>
                <w:szCs w:val="18"/>
                <w:lang w:val="en-US" w:eastAsia="zh-CN"/>
              </w:rPr>
            </w:pPr>
            <w:r>
              <w:rPr>
                <w:rFonts w:hint="default" w:ascii="Arial" w:hAnsi="Arial" w:eastAsia="宋体" w:cs="Arial"/>
                <w:snapToGrid w:val="0"/>
                <w:sz w:val="18"/>
                <w:szCs w:val="18"/>
              </w:rPr>
              <w:t>0.</w:t>
            </w:r>
            <w:r>
              <w:rPr>
                <w:rFonts w:hint="default" w:ascii="Arial" w:hAnsi="Arial" w:eastAsia="宋体" w:cs="Arial"/>
                <w:snapToGrid w:val="0"/>
                <w:sz w:val="18"/>
                <w:szCs w:val="18"/>
                <w:lang w:val="en-US" w:eastAsia="zh-CN"/>
              </w:rPr>
              <w:t>034</w:t>
            </w:r>
          </w:p>
        </w:tc>
      </w:tr>
    </w:tbl>
    <w:p w14:paraId="7BDA6F30">
      <w:pPr>
        <w:pStyle w:val="76"/>
        <w:numPr>
          <w:ilvl w:val="2"/>
          <w:numId w:val="4"/>
        </w:numPr>
        <w:spacing w:line="360" w:lineRule="auto"/>
        <w:ind w:left="568" w:hanging="284" w:firstLineChars="0"/>
        <w:outlineLvl w:val="2"/>
        <w:rPr>
          <w:rFonts w:hint="default" w:ascii="Arial" w:hAnsi="Arial" w:eastAsia="宋体" w:cs="Arial"/>
          <w:b/>
          <w:bCs/>
          <w:sz w:val="24"/>
          <w:szCs w:val="24"/>
        </w:rPr>
      </w:pPr>
      <w:r>
        <w:rPr>
          <w:rFonts w:hint="default" w:ascii="Arial" w:hAnsi="Arial" w:eastAsia="宋体" w:cs="Arial"/>
          <w:b/>
          <w:bCs/>
          <w:sz w:val="24"/>
          <w:szCs w:val="24"/>
        </w:rPr>
        <w:t>现有工程已批生产能力</w:t>
      </w:r>
    </w:p>
    <w:p w14:paraId="4A2EB24B">
      <w:pPr>
        <w:pStyle w:val="76"/>
        <w:spacing w:line="360" w:lineRule="auto"/>
        <w:ind w:left="105" w:leftChars="50" w:right="105" w:rightChars="50" w:firstLine="480"/>
        <w:rPr>
          <w:rFonts w:hint="default" w:ascii="Arial" w:hAnsi="Arial" w:eastAsia="宋体" w:cs="Arial"/>
          <w:sz w:val="24"/>
          <w:szCs w:val="24"/>
        </w:rPr>
      </w:pPr>
      <w:r>
        <w:rPr>
          <w:rFonts w:hint="default" w:ascii="Arial" w:hAnsi="Arial" w:eastAsia="宋体" w:cs="Arial"/>
          <w:sz w:val="24"/>
          <w:szCs w:val="24"/>
        </w:rPr>
        <w:t>企业现有工程已批生产能力为年产汽车</w:t>
      </w:r>
      <w:r>
        <w:rPr>
          <w:rFonts w:hint="default" w:ascii="Arial" w:hAnsi="Arial" w:eastAsia="宋体" w:cs="Arial"/>
          <w:sz w:val="24"/>
          <w:szCs w:val="24"/>
          <w:lang w:val="en-US" w:eastAsia="zh-CN"/>
        </w:rPr>
        <w:t>转向管柱总成300万套，2022年12月完成阶段性验收，验收规模为年产300万套汽车转向管柱总成扭杆</w:t>
      </w:r>
      <w:r>
        <w:rPr>
          <w:rFonts w:hint="default" w:ascii="Arial" w:hAnsi="Arial" w:eastAsia="宋体" w:cs="Arial"/>
          <w:sz w:val="24"/>
          <w:szCs w:val="24"/>
        </w:rPr>
        <w:t>。202</w:t>
      </w:r>
      <w:r>
        <w:rPr>
          <w:rFonts w:hint="default" w:ascii="Arial" w:hAnsi="Arial" w:eastAsia="宋体" w:cs="Arial"/>
          <w:sz w:val="24"/>
          <w:szCs w:val="24"/>
          <w:lang w:val="en-US" w:eastAsia="zh-CN"/>
        </w:rPr>
        <w:t>4</w:t>
      </w:r>
      <w:r>
        <w:rPr>
          <w:rFonts w:hint="default" w:ascii="Arial" w:hAnsi="Arial" w:eastAsia="宋体" w:cs="Arial"/>
          <w:sz w:val="24"/>
          <w:szCs w:val="24"/>
        </w:rPr>
        <w:t>年企业产品生产情况见表2-</w:t>
      </w:r>
      <w:r>
        <w:rPr>
          <w:rFonts w:hint="eastAsia" w:ascii="Arial" w:hAnsi="Arial" w:eastAsia="宋体" w:cs="Arial"/>
          <w:sz w:val="24"/>
          <w:szCs w:val="24"/>
          <w:lang w:val="en-US" w:eastAsia="zh-CN"/>
        </w:rPr>
        <w:t>11</w:t>
      </w:r>
      <w:r>
        <w:rPr>
          <w:rFonts w:hint="default" w:ascii="Arial" w:hAnsi="Arial" w:eastAsia="宋体" w:cs="Arial"/>
          <w:sz w:val="24"/>
          <w:szCs w:val="24"/>
        </w:rPr>
        <w:t>。</w:t>
      </w:r>
    </w:p>
    <w:p w14:paraId="2C796639">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现有工程已批生产能力</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432"/>
        <w:gridCol w:w="1019"/>
        <w:gridCol w:w="1070"/>
        <w:gridCol w:w="1136"/>
        <w:gridCol w:w="1136"/>
        <w:gridCol w:w="1135"/>
        <w:gridCol w:w="1093"/>
        <w:gridCol w:w="916"/>
      </w:tblGrid>
      <w:tr w14:paraId="0F82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431" w:hRule="atLeast"/>
          <w:jc w:val="center"/>
        </w:trPr>
        <w:tc>
          <w:tcPr>
            <w:tcW w:w="432" w:type="dxa"/>
            <w:vMerge w:val="restart"/>
            <w:noWrap w:val="0"/>
            <w:tcMar>
              <w:left w:w="57" w:type="dxa"/>
              <w:right w:w="57" w:type="dxa"/>
            </w:tcMar>
            <w:vAlign w:val="center"/>
          </w:tcPr>
          <w:p w14:paraId="6D99A84B">
            <w:pPr>
              <w:widowControl/>
              <w:contextualSpacing/>
              <w:jc w:val="center"/>
              <w:rPr>
                <w:rFonts w:hint="default" w:ascii="Arial" w:hAnsi="Arial" w:eastAsia="宋体" w:cs="Arial"/>
                <w:kern w:val="0"/>
                <w:sz w:val="21"/>
                <w:szCs w:val="21"/>
              </w:rPr>
            </w:pPr>
            <w:r>
              <w:rPr>
                <w:rFonts w:hint="default" w:ascii="Arial" w:hAnsi="Arial" w:eastAsia="宋体" w:cs="Arial"/>
                <w:kern w:val="0"/>
                <w:sz w:val="21"/>
                <w:szCs w:val="21"/>
              </w:rPr>
              <w:t>序号</w:t>
            </w:r>
          </w:p>
        </w:tc>
        <w:tc>
          <w:tcPr>
            <w:tcW w:w="2089" w:type="dxa"/>
            <w:gridSpan w:val="2"/>
            <w:vMerge w:val="restart"/>
            <w:noWrap w:val="0"/>
            <w:tcMar>
              <w:left w:w="57" w:type="dxa"/>
              <w:right w:w="57" w:type="dxa"/>
            </w:tcMar>
            <w:vAlign w:val="center"/>
          </w:tcPr>
          <w:p w14:paraId="0EF308BF">
            <w:pPr>
              <w:widowControl/>
              <w:contextualSpacing/>
              <w:jc w:val="center"/>
              <w:rPr>
                <w:rFonts w:hint="default" w:ascii="Arial" w:hAnsi="Arial" w:eastAsia="宋体" w:cs="Arial"/>
                <w:color w:val="000000" w:themeColor="text1"/>
                <w:kern w:val="0"/>
                <w:sz w:val="21"/>
                <w:szCs w:val="21"/>
                <w14:textFill>
                  <w14:solidFill>
                    <w14:schemeClr w14:val="tx1"/>
                  </w14:solidFill>
                </w14:textFill>
              </w:rPr>
            </w:pPr>
            <w:r>
              <w:rPr>
                <w:rFonts w:hint="default" w:ascii="Arial" w:hAnsi="Arial" w:eastAsia="宋体" w:cs="Arial"/>
                <w:color w:val="000000" w:themeColor="text1"/>
                <w:kern w:val="0"/>
                <w:sz w:val="21"/>
                <w:szCs w:val="21"/>
                <w14:textFill>
                  <w14:solidFill>
                    <w14:schemeClr w14:val="tx1"/>
                  </w14:solidFill>
                </w14:textFill>
              </w:rPr>
              <w:t>产品名称</w:t>
            </w:r>
          </w:p>
        </w:tc>
        <w:tc>
          <w:tcPr>
            <w:tcW w:w="1136" w:type="dxa"/>
            <w:vMerge w:val="restart"/>
            <w:noWrap w:val="0"/>
            <w:vAlign w:val="center"/>
          </w:tcPr>
          <w:p w14:paraId="1BED9425">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审批数量</w:t>
            </w:r>
          </w:p>
          <w:p w14:paraId="2BC97203">
            <w:pPr>
              <w:contextualSpacing/>
              <w:jc w:val="center"/>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kern w:val="0"/>
                <w:sz w:val="21"/>
                <w:szCs w:val="21"/>
                <w:lang w:eastAsia="zh-CN"/>
                <w14:textFill>
                  <w14:solidFill>
                    <w14:schemeClr w14:val="tx1"/>
                  </w14:solidFill>
                </w14:textFill>
              </w:rPr>
              <w:t>（</w:t>
            </w:r>
            <w:r>
              <w:rPr>
                <w:rFonts w:hint="default" w:ascii="Arial" w:hAnsi="Arial" w:eastAsia="宋体" w:cs="Arial"/>
                <w:color w:val="000000" w:themeColor="text1"/>
                <w:kern w:val="0"/>
                <w:sz w:val="21"/>
                <w:szCs w:val="21"/>
                <w:lang w:val="en-US" w:eastAsia="zh-CN"/>
                <w14:textFill>
                  <w14:solidFill>
                    <w14:schemeClr w14:val="tx1"/>
                  </w14:solidFill>
                </w14:textFill>
              </w:rPr>
              <w:t>万套</w:t>
            </w:r>
            <w:r>
              <w:rPr>
                <w:rFonts w:hint="default" w:ascii="Arial" w:hAnsi="Arial" w:eastAsia="宋体" w:cs="Arial"/>
                <w:color w:val="000000" w:themeColor="text1"/>
                <w:kern w:val="0"/>
                <w:sz w:val="21"/>
                <w:szCs w:val="21"/>
                <w:lang w:eastAsia="zh-CN"/>
                <w14:textFill>
                  <w14:solidFill>
                    <w14:schemeClr w14:val="tx1"/>
                  </w14:solidFill>
                </w14:textFill>
              </w:rPr>
              <w:t>）</w:t>
            </w:r>
          </w:p>
        </w:tc>
        <w:tc>
          <w:tcPr>
            <w:tcW w:w="1136" w:type="dxa"/>
            <w:vMerge w:val="restart"/>
            <w:noWrap w:val="0"/>
            <w:vAlign w:val="center"/>
          </w:tcPr>
          <w:p w14:paraId="18B80981">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已验收</w:t>
            </w:r>
          </w:p>
          <w:p w14:paraId="06C78512">
            <w:pPr>
              <w:contextualSpacing/>
              <w:jc w:val="center"/>
              <w:rPr>
                <w:rFonts w:hint="default" w:ascii="Arial" w:hAnsi="Arial" w:eastAsia="宋体" w:cs="Arial"/>
                <w:color w:val="000000" w:themeColor="text1"/>
                <w:kern w:val="0"/>
                <w:sz w:val="21"/>
                <w:szCs w:val="21"/>
                <w14:textFill>
                  <w14:solidFill>
                    <w14:schemeClr w14:val="tx1"/>
                  </w14:solidFill>
                </w14:textFill>
              </w:rPr>
            </w:pPr>
            <w:r>
              <w:rPr>
                <w:rFonts w:hint="default" w:ascii="Arial" w:hAnsi="Arial" w:eastAsia="宋体" w:cs="Arial"/>
                <w:color w:val="000000" w:themeColor="text1"/>
                <w:kern w:val="0"/>
                <w:sz w:val="21"/>
                <w:szCs w:val="21"/>
                <w14:textFill>
                  <w14:solidFill>
                    <w14:schemeClr w14:val="tx1"/>
                  </w14:solidFill>
                </w14:textFill>
              </w:rPr>
              <w:t>数量</w:t>
            </w:r>
          </w:p>
          <w:p w14:paraId="719BF194">
            <w:pPr>
              <w:contextualSpacing/>
              <w:jc w:val="center"/>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kern w:val="0"/>
                <w:sz w:val="21"/>
                <w:szCs w:val="21"/>
                <w:lang w:eastAsia="zh-CN"/>
                <w14:textFill>
                  <w14:solidFill>
                    <w14:schemeClr w14:val="tx1"/>
                  </w14:solidFill>
                </w14:textFill>
              </w:rPr>
              <w:t>（</w:t>
            </w:r>
            <w:r>
              <w:rPr>
                <w:rFonts w:hint="default" w:ascii="Arial" w:hAnsi="Arial" w:eastAsia="宋体" w:cs="Arial"/>
                <w:color w:val="000000" w:themeColor="text1"/>
                <w:kern w:val="0"/>
                <w:sz w:val="21"/>
                <w:szCs w:val="21"/>
                <w:lang w:val="en-US" w:eastAsia="zh-CN"/>
                <w14:textFill>
                  <w14:solidFill>
                    <w14:schemeClr w14:val="tx1"/>
                  </w14:solidFill>
                </w14:textFill>
              </w:rPr>
              <w:t>万套</w:t>
            </w:r>
            <w:r>
              <w:rPr>
                <w:rFonts w:hint="default" w:ascii="Arial" w:hAnsi="Arial" w:eastAsia="宋体" w:cs="Arial"/>
                <w:color w:val="000000" w:themeColor="text1"/>
                <w:kern w:val="0"/>
                <w:sz w:val="21"/>
                <w:szCs w:val="21"/>
                <w:lang w:eastAsia="zh-CN"/>
                <w14:textFill>
                  <w14:solidFill>
                    <w14:schemeClr w14:val="tx1"/>
                  </w14:solidFill>
                </w14:textFill>
              </w:rPr>
              <w:t>）</w:t>
            </w:r>
          </w:p>
        </w:tc>
        <w:tc>
          <w:tcPr>
            <w:tcW w:w="2228" w:type="dxa"/>
            <w:gridSpan w:val="2"/>
            <w:noWrap w:val="0"/>
            <w:vAlign w:val="center"/>
          </w:tcPr>
          <w:p w14:paraId="4F17E398">
            <w:pPr>
              <w:contextualSpacing/>
              <w:jc w:val="center"/>
              <w:rPr>
                <w:rFonts w:hint="default" w:ascii="Arial" w:hAnsi="Arial" w:eastAsia="宋体" w:cs="Arial"/>
                <w:color w:val="000000" w:themeColor="text1"/>
                <w:kern w:val="0"/>
                <w:sz w:val="21"/>
                <w:szCs w:val="21"/>
                <w14:textFill>
                  <w14:solidFill>
                    <w14:schemeClr w14:val="tx1"/>
                  </w14:solidFill>
                </w14:textFill>
              </w:rPr>
            </w:pPr>
            <w:r>
              <w:rPr>
                <w:rFonts w:hint="default" w:ascii="Arial" w:hAnsi="Arial" w:eastAsia="宋体" w:cs="Arial"/>
                <w:color w:val="000000" w:themeColor="text1"/>
                <w:kern w:val="0"/>
                <w:sz w:val="21"/>
                <w:szCs w:val="21"/>
                <w14:textFill>
                  <w14:solidFill>
                    <w14:schemeClr w14:val="tx1"/>
                  </w14:solidFill>
                </w14:textFill>
              </w:rPr>
              <w:t>202</w:t>
            </w:r>
            <w:r>
              <w:rPr>
                <w:rFonts w:hint="default" w:ascii="Arial" w:hAnsi="Arial" w:eastAsia="宋体" w:cs="Arial"/>
                <w:color w:val="000000" w:themeColor="text1"/>
                <w:kern w:val="0"/>
                <w:sz w:val="21"/>
                <w:szCs w:val="21"/>
                <w:lang w:val="en-US" w:eastAsia="zh-CN"/>
                <w14:textFill>
                  <w14:solidFill>
                    <w14:schemeClr w14:val="tx1"/>
                  </w14:solidFill>
                </w14:textFill>
              </w:rPr>
              <w:t>4</w:t>
            </w:r>
            <w:r>
              <w:rPr>
                <w:rFonts w:hint="default" w:ascii="Arial" w:hAnsi="Arial" w:eastAsia="宋体" w:cs="Arial"/>
                <w:color w:val="000000" w:themeColor="text1"/>
                <w:kern w:val="0"/>
                <w:sz w:val="21"/>
                <w:szCs w:val="21"/>
                <w14:textFill>
                  <w14:solidFill>
                    <w14:schemeClr w14:val="tx1"/>
                  </w14:solidFill>
                </w14:textFill>
              </w:rPr>
              <w:t>年实际产量</w:t>
            </w:r>
          </w:p>
        </w:tc>
        <w:tc>
          <w:tcPr>
            <w:tcW w:w="916" w:type="dxa"/>
            <w:vMerge w:val="restart"/>
            <w:noWrap w:val="0"/>
            <w:vAlign w:val="center"/>
          </w:tcPr>
          <w:p w14:paraId="6E2AC082">
            <w:pPr>
              <w:contextualSpacing/>
              <w:jc w:val="center"/>
              <w:rPr>
                <w:rFonts w:hint="default" w:ascii="Arial" w:hAnsi="Arial" w:eastAsia="宋体" w:cs="Arial"/>
                <w:kern w:val="0"/>
                <w:sz w:val="21"/>
                <w:szCs w:val="21"/>
              </w:rPr>
            </w:pPr>
            <w:r>
              <w:rPr>
                <w:rFonts w:hint="default" w:ascii="Arial" w:hAnsi="Arial" w:eastAsia="宋体" w:cs="Arial"/>
                <w:kern w:val="0"/>
                <w:sz w:val="21"/>
                <w:szCs w:val="21"/>
              </w:rPr>
              <w:t>备注</w:t>
            </w:r>
          </w:p>
        </w:tc>
      </w:tr>
      <w:tr w14:paraId="477F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431" w:hRule="atLeast"/>
          <w:jc w:val="center"/>
        </w:trPr>
        <w:tc>
          <w:tcPr>
            <w:tcW w:w="432" w:type="dxa"/>
            <w:vMerge w:val="continue"/>
            <w:noWrap w:val="0"/>
            <w:tcMar>
              <w:left w:w="57" w:type="dxa"/>
              <w:right w:w="57" w:type="dxa"/>
            </w:tcMar>
            <w:vAlign w:val="center"/>
          </w:tcPr>
          <w:p w14:paraId="71AC70F1">
            <w:pPr>
              <w:contextualSpacing/>
              <w:jc w:val="center"/>
              <w:rPr>
                <w:rFonts w:hint="default" w:ascii="Arial" w:hAnsi="Arial" w:eastAsia="宋体" w:cs="Arial"/>
                <w:sz w:val="21"/>
                <w:szCs w:val="21"/>
              </w:rPr>
            </w:pPr>
          </w:p>
        </w:tc>
        <w:tc>
          <w:tcPr>
            <w:tcW w:w="2089" w:type="dxa"/>
            <w:gridSpan w:val="2"/>
            <w:vMerge w:val="continue"/>
            <w:noWrap w:val="0"/>
            <w:tcMar>
              <w:left w:w="57" w:type="dxa"/>
              <w:right w:w="57" w:type="dxa"/>
            </w:tcMar>
            <w:vAlign w:val="center"/>
          </w:tcPr>
          <w:p w14:paraId="57B9A6A5">
            <w:pPr>
              <w:contextualSpacing/>
              <w:jc w:val="center"/>
              <w:rPr>
                <w:rFonts w:hint="default" w:ascii="Arial" w:hAnsi="Arial" w:eastAsia="宋体" w:cs="Arial"/>
                <w:color w:val="000000" w:themeColor="text1"/>
                <w:sz w:val="21"/>
                <w:szCs w:val="21"/>
                <w14:textFill>
                  <w14:solidFill>
                    <w14:schemeClr w14:val="tx1"/>
                  </w14:solidFill>
                </w14:textFill>
              </w:rPr>
            </w:pPr>
          </w:p>
        </w:tc>
        <w:tc>
          <w:tcPr>
            <w:tcW w:w="1136" w:type="dxa"/>
            <w:vMerge w:val="continue"/>
            <w:noWrap w:val="0"/>
            <w:vAlign w:val="center"/>
          </w:tcPr>
          <w:p w14:paraId="7D9A0C34">
            <w:pPr>
              <w:contextualSpacing/>
              <w:jc w:val="center"/>
              <w:rPr>
                <w:rFonts w:hint="default" w:ascii="Arial" w:hAnsi="Arial" w:eastAsia="宋体" w:cs="Arial"/>
                <w:color w:val="000000" w:themeColor="text1"/>
                <w:sz w:val="21"/>
                <w:szCs w:val="21"/>
                <w14:textFill>
                  <w14:solidFill>
                    <w14:schemeClr w14:val="tx1"/>
                  </w14:solidFill>
                </w14:textFill>
              </w:rPr>
            </w:pPr>
          </w:p>
        </w:tc>
        <w:tc>
          <w:tcPr>
            <w:tcW w:w="1136" w:type="dxa"/>
            <w:vMerge w:val="continue"/>
            <w:noWrap w:val="0"/>
            <w:vAlign w:val="center"/>
          </w:tcPr>
          <w:p w14:paraId="2EB2A698">
            <w:pPr>
              <w:contextualSpacing/>
              <w:jc w:val="center"/>
              <w:rPr>
                <w:rFonts w:hint="default" w:ascii="Arial" w:hAnsi="Arial" w:eastAsia="宋体" w:cs="Arial"/>
                <w:color w:val="000000" w:themeColor="text1"/>
                <w:sz w:val="21"/>
                <w:szCs w:val="21"/>
                <w14:textFill>
                  <w14:solidFill>
                    <w14:schemeClr w14:val="tx1"/>
                  </w14:solidFill>
                </w14:textFill>
              </w:rPr>
            </w:pPr>
          </w:p>
        </w:tc>
        <w:tc>
          <w:tcPr>
            <w:tcW w:w="1135" w:type="dxa"/>
            <w:noWrap w:val="0"/>
            <w:vAlign w:val="center"/>
          </w:tcPr>
          <w:p w14:paraId="13779A8F">
            <w:pPr>
              <w:contextualSpacing/>
              <w:jc w:val="center"/>
              <w:rPr>
                <w:rFonts w:hint="default" w:ascii="Arial" w:hAnsi="Arial" w:eastAsia="宋体" w:cs="Arial"/>
                <w:color w:val="000000" w:themeColor="text1"/>
                <w:kern w:val="0"/>
                <w:sz w:val="21"/>
                <w:szCs w:val="21"/>
                <w:lang w:eastAsia="zh-CN"/>
                <w14:textFill>
                  <w14:solidFill>
                    <w14:schemeClr w14:val="tx1"/>
                  </w14:solidFill>
                </w14:textFill>
              </w:rPr>
            </w:pPr>
            <w:r>
              <w:rPr>
                <w:rFonts w:hint="default" w:ascii="Arial" w:hAnsi="Arial" w:eastAsia="宋体" w:cs="Arial"/>
                <w:color w:val="000000" w:themeColor="text1"/>
                <w:kern w:val="0"/>
                <w:sz w:val="21"/>
                <w:szCs w:val="21"/>
                <w:lang w:eastAsia="zh-CN"/>
                <w14:textFill>
                  <w14:solidFill>
                    <w14:schemeClr w14:val="tx1"/>
                  </w14:solidFill>
                </w14:textFill>
              </w:rPr>
              <w:t>（</w:t>
            </w:r>
            <w:r>
              <w:rPr>
                <w:rFonts w:hint="default" w:ascii="Arial" w:hAnsi="Arial" w:eastAsia="宋体" w:cs="Arial"/>
                <w:color w:val="000000" w:themeColor="text1"/>
                <w:kern w:val="0"/>
                <w:sz w:val="21"/>
                <w:szCs w:val="21"/>
                <w:lang w:val="en-US" w:eastAsia="zh-CN"/>
                <w14:textFill>
                  <w14:solidFill>
                    <w14:schemeClr w14:val="tx1"/>
                  </w14:solidFill>
                </w14:textFill>
              </w:rPr>
              <w:t>万套）</w:t>
            </w:r>
          </w:p>
        </w:tc>
        <w:tc>
          <w:tcPr>
            <w:tcW w:w="1093" w:type="dxa"/>
            <w:noWrap w:val="0"/>
            <w:vAlign w:val="center"/>
          </w:tcPr>
          <w:p w14:paraId="1E3A4740">
            <w:pPr>
              <w:contextualSpacing/>
              <w:jc w:val="center"/>
              <w:rPr>
                <w:rFonts w:hint="default" w:ascii="Arial" w:hAnsi="Arial" w:eastAsia="宋体" w:cs="Arial"/>
                <w:color w:val="000000" w:themeColor="text1"/>
                <w:kern w:val="0"/>
                <w:sz w:val="21"/>
                <w:szCs w:val="21"/>
                <w:lang w:eastAsia="zh-CN"/>
                <w14:textFill>
                  <w14:solidFill>
                    <w14:schemeClr w14:val="tx1"/>
                  </w14:solidFill>
                </w14:textFill>
              </w:rPr>
            </w:pPr>
            <w:r>
              <w:rPr>
                <w:rFonts w:hint="default" w:ascii="Arial" w:hAnsi="Arial" w:eastAsia="宋体" w:cs="Arial"/>
                <w:color w:val="000000" w:themeColor="text1"/>
                <w:kern w:val="0"/>
                <w:sz w:val="21"/>
                <w:szCs w:val="21"/>
                <w:lang w:eastAsia="zh-CN"/>
                <w14:textFill>
                  <w14:solidFill>
                    <w14:schemeClr w14:val="tx1"/>
                  </w14:solidFill>
                </w14:textFill>
              </w:rPr>
              <w:t>（</w:t>
            </w:r>
            <w:r>
              <w:rPr>
                <w:rFonts w:hint="default" w:ascii="Arial" w:hAnsi="Arial" w:eastAsia="宋体" w:cs="Arial"/>
                <w:color w:val="000000" w:themeColor="text1"/>
                <w:kern w:val="0"/>
                <w:sz w:val="21"/>
                <w:szCs w:val="21"/>
                <w:lang w:val="en-US" w:eastAsia="zh-CN"/>
                <w14:textFill>
                  <w14:solidFill>
                    <w14:schemeClr w14:val="tx1"/>
                  </w14:solidFill>
                </w14:textFill>
              </w:rPr>
              <w:t>万件）</w:t>
            </w:r>
          </w:p>
        </w:tc>
        <w:tc>
          <w:tcPr>
            <w:tcW w:w="916" w:type="dxa"/>
            <w:vMerge w:val="continue"/>
            <w:noWrap w:val="0"/>
            <w:vAlign w:val="center"/>
          </w:tcPr>
          <w:p w14:paraId="1164BB39">
            <w:pPr>
              <w:contextualSpacing/>
              <w:jc w:val="center"/>
              <w:rPr>
                <w:rFonts w:hint="default" w:ascii="Arial" w:hAnsi="Arial" w:eastAsia="宋体" w:cs="Arial"/>
                <w:kern w:val="0"/>
                <w:sz w:val="21"/>
                <w:szCs w:val="21"/>
                <w:lang w:eastAsia="zh-CN"/>
              </w:rPr>
            </w:pPr>
          </w:p>
        </w:tc>
      </w:tr>
      <w:tr w14:paraId="0F5F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432" w:type="dxa"/>
            <w:noWrap w:val="0"/>
            <w:tcMar>
              <w:left w:w="57" w:type="dxa"/>
              <w:right w:w="57" w:type="dxa"/>
            </w:tcMar>
            <w:vAlign w:val="center"/>
          </w:tcPr>
          <w:p w14:paraId="1F0B45D1">
            <w:pPr>
              <w:widowControl/>
              <w:contextualSpacing/>
              <w:jc w:val="center"/>
              <w:rPr>
                <w:rFonts w:hint="default" w:ascii="Arial" w:hAnsi="Arial" w:eastAsia="宋体" w:cs="Arial"/>
                <w:kern w:val="0"/>
                <w:sz w:val="21"/>
                <w:szCs w:val="21"/>
              </w:rPr>
            </w:pPr>
            <w:r>
              <w:rPr>
                <w:rFonts w:hint="default" w:ascii="Arial" w:hAnsi="Arial" w:eastAsia="宋体" w:cs="Arial"/>
                <w:kern w:val="0"/>
                <w:sz w:val="21"/>
                <w:szCs w:val="21"/>
              </w:rPr>
              <w:t>1</w:t>
            </w:r>
          </w:p>
        </w:tc>
        <w:tc>
          <w:tcPr>
            <w:tcW w:w="1019" w:type="dxa"/>
            <w:vMerge w:val="restart"/>
            <w:noWrap w:val="0"/>
            <w:tcMar>
              <w:left w:w="57" w:type="dxa"/>
              <w:right w:w="57" w:type="dxa"/>
            </w:tcMar>
            <w:vAlign w:val="center"/>
          </w:tcPr>
          <w:p w14:paraId="6240CD64">
            <w:pPr>
              <w:widowControl/>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snapToGrid w:val="0"/>
                <w:color w:val="000000" w:themeColor="text1"/>
                <w:sz w:val="21"/>
                <w:szCs w:val="21"/>
                <w14:textFill>
                  <w14:solidFill>
                    <w14:schemeClr w14:val="tx1"/>
                  </w14:solidFill>
                </w14:textFill>
              </w:rPr>
              <w:t>300万套汽车转向管柱总成</w:t>
            </w:r>
          </w:p>
        </w:tc>
        <w:tc>
          <w:tcPr>
            <w:tcW w:w="1070" w:type="dxa"/>
            <w:noWrap w:val="0"/>
            <w:tcMar>
              <w:left w:w="57" w:type="dxa"/>
              <w:right w:w="57" w:type="dxa"/>
            </w:tcMar>
            <w:vAlign w:val="center"/>
          </w:tcPr>
          <w:p w14:paraId="3A5030F2">
            <w:pPr>
              <w:widowControl/>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转向总</w:t>
            </w:r>
          </w:p>
          <w:p w14:paraId="320F12BC">
            <w:pPr>
              <w:widowControl/>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成扭杆</w:t>
            </w:r>
          </w:p>
        </w:tc>
        <w:tc>
          <w:tcPr>
            <w:tcW w:w="1136" w:type="dxa"/>
            <w:noWrap w:val="0"/>
            <w:vAlign w:val="center"/>
          </w:tcPr>
          <w:p w14:paraId="573CF602">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300</w:t>
            </w:r>
          </w:p>
        </w:tc>
        <w:tc>
          <w:tcPr>
            <w:tcW w:w="1136" w:type="dxa"/>
            <w:noWrap w:val="0"/>
            <w:vAlign w:val="center"/>
          </w:tcPr>
          <w:p w14:paraId="5D06879F">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300</w:t>
            </w:r>
          </w:p>
        </w:tc>
        <w:tc>
          <w:tcPr>
            <w:tcW w:w="1135" w:type="dxa"/>
            <w:noWrap w:val="0"/>
            <w:vAlign w:val="center"/>
          </w:tcPr>
          <w:p w14:paraId="38ED9F20">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298</w:t>
            </w:r>
          </w:p>
        </w:tc>
        <w:tc>
          <w:tcPr>
            <w:tcW w:w="1093" w:type="dxa"/>
            <w:noWrap w:val="0"/>
            <w:vAlign w:val="center"/>
          </w:tcPr>
          <w:p w14:paraId="1E224F81">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716</w:t>
            </w:r>
          </w:p>
        </w:tc>
        <w:tc>
          <w:tcPr>
            <w:tcW w:w="916" w:type="dxa"/>
            <w:vMerge w:val="restart"/>
            <w:noWrap w:val="0"/>
            <w:vAlign w:val="center"/>
          </w:tcPr>
          <w:p w14:paraId="1772EEE2">
            <w:pPr>
              <w:contextualSpacing/>
              <w:jc w:val="center"/>
              <w:rPr>
                <w:rFonts w:hint="default" w:ascii="Arial" w:hAnsi="Arial" w:eastAsia="宋体" w:cs="Arial"/>
                <w:kern w:val="0"/>
                <w:sz w:val="21"/>
                <w:szCs w:val="21"/>
              </w:rPr>
            </w:pPr>
            <w:r>
              <w:rPr>
                <w:rFonts w:hint="default" w:ascii="Arial" w:hAnsi="Arial" w:eastAsia="宋体" w:cs="Arial"/>
                <w:kern w:val="0"/>
                <w:sz w:val="21"/>
                <w:szCs w:val="21"/>
              </w:rPr>
              <w:t>在</w:t>
            </w:r>
            <w:r>
              <w:rPr>
                <w:rFonts w:hint="default" w:ascii="Arial" w:hAnsi="Arial" w:eastAsia="宋体" w:cs="Arial"/>
                <w:kern w:val="0"/>
                <w:sz w:val="21"/>
                <w:szCs w:val="21"/>
                <w:lang w:val="en-US" w:eastAsia="zh-CN"/>
              </w:rPr>
              <w:t>验收</w:t>
            </w:r>
            <w:r>
              <w:rPr>
                <w:rFonts w:hint="default" w:ascii="Arial" w:hAnsi="Arial" w:eastAsia="宋体" w:cs="Arial"/>
                <w:kern w:val="0"/>
                <w:sz w:val="21"/>
                <w:szCs w:val="21"/>
              </w:rPr>
              <w:t>核定范围内</w:t>
            </w:r>
          </w:p>
        </w:tc>
      </w:tr>
      <w:tr w14:paraId="7419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432" w:type="dxa"/>
            <w:noWrap w:val="0"/>
            <w:tcMar>
              <w:left w:w="57" w:type="dxa"/>
              <w:right w:w="57" w:type="dxa"/>
            </w:tcMar>
            <w:vAlign w:val="center"/>
          </w:tcPr>
          <w:p w14:paraId="0F77EFDD">
            <w:pPr>
              <w:widowControl/>
              <w:contextualSpacing/>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2</w:t>
            </w:r>
          </w:p>
        </w:tc>
        <w:tc>
          <w:tcPr>
            <w:tcW w:w="1019" w:type="dxa"/>
            <w:vMerge w:val="continue"/>
            <w:noWrap w:val="0"/>
            <w:tcMar>
              <w:left w:w="57" w:type="dxa"/>
              <w:right w:w="57" w:type="dxa"/>
            </w:tcMar>
            <w:vAlign w:val="center"/>
          </w:tcPr>
          <w:p w14:paraId="01BF73E1">
            <w:pPr>
              <w:widowControl/>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p>
        </w:tc>
        <w:tc>
          <w:tcPr>
            <w:tcW w:w="1070" w:type="dxa"/>
            <w:noWrap w:val="0"/>
            <w:tcMar>
              <w:left w:w="57" w:type="dxa"/>
              <w:right w:w="57" w:type="dxa"/>
            </w:tcMar>
            <w:vAlign w:val="center"/>
          </w:tcPr>
          <w:p w14:paraId="2C03C889">
            <w:pPr>
              <w:widowControl/>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输入轴</w:t>
            </w:r>
          </w:p>
        </w:tc>
        <w:tc>
          <w:tcPr>
            <w:tcW w:w="1136" w:type="dxa"/>
            <w:noWrap w:val="0"/>
            <w:vAlign w:val="center"/>
          </w:tcPr>
          <w:p w14:paraId="722DCFEB">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300</w:t>
            </w:r>
          </w:p>
        </w:tc>
        <w:tc>
          <w:tcPr>
            <w:tcW w:w="1136" w:type="dxa"/>
            <w:noWrap w:val="0"/>
            <w:vAlign w:val="center"/>
          </w:tcPr>
          <w:p w14:paraId="18DAAC8A">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0</w:t>
            </w:r>
          </w:p>
        </w:tc>
        <w:tc>
          <w:tcPr>
            <w:tcW w:w="1135" w:type="dxa"/>
            <w:noWrap w:val="0"/>
            <w:vAlign w:val="center"/>
          </w:tcPr>
          <w:p w14:paraId="5DD4BA0C">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0</w:t>
            </w:r>
          </w:p>
        </w:tc>
        <w:tc>
          <w:tcPr>
            <w:tcW w:w="1093" w:type="dxa"/>
            <w:noWrap w:val="0"/>
            <w:vAlign w:val="center"/>
          </w:tcPr>
          <w:p w14:paraId="61B5503E">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0</w:t>
            </w:r>
          </w:p>
        </w:tc>
        <w:tc>
          <w:tcPr>
            <w:tcW w:w="916" w:type="dxa"/>
            <w:vMerge w:val="continue"/>
            <w:noWrap w:val="0"/>
            <w:vAlign w:val="center"/>
          </w:tcPr>
          <w:p w14:paraId="23997909">
            <w:pPr>
              <w:contextualSpacing/>
              <w:jc w:val="center"/>
              <w:rPr>
                <w:rFonts w:hint="default" w:ascii="Arial" w:hAnsi="Arial" w:eastAsia="宋体" w:cs="Arial"/>
                <w:kern w:val="0"/>
                <w:sz w:val="21"/>
                <w:szCs w:val="21"/>
              </w:rPr>
            </w:pPr>
          </w:p>
        </w:tc>
      </w:tr>
      <w:tr w14:paraId="3732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432" w:type="dxa"/>
            <w:noWrap w:val="0"/>
            <w:tcMar>
              <w:left w:w="57" w:type="dxa"/>
              <w:right w:w="57" w:type="dxa"/>
            </w:tcMar>
            <w:vAlign w:val="center"/>
          </w:tcPr>
          <w:p w14:paraId="0377C137">
            <w:pPr>
              <w:widowControl/>
              <w:contextualSpacing/>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3</w:t>
            </w:r>
          </w:p>
        </w:tc>
        <w:tc>
          <w:tcPr>
            <w:tcW w:w="1019" w:type="dxa"/>
            <w:vMerge w:val="continue"/>
            <w:noWrap w:val="0"/>
            <w:tcMar>
              <w:left w:w="57" w:type="dxa"/>
              <w:right w:w="57" w:type="dxa"/>
            </w:tcMar>
            <w:vAlign w:val="center"/>
          </w:tcPr>
          <w:p w14:paraId="3D934715">
            <w:pPr>
              <w:widowControl/>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p>
        </w:tc>
        <w:tc>
          <w:tcPr>
            <w:tcW w:w="1070" w:type="dxa"/>
            <w:noWrap w:val="0"/>
            <w:tcMar>
              <w:left w:w="57" w:type="dxa"/>
              <w:right w:w="57" w:type="dxa"/>
            </w:tcMar>
            <w:vAlign w:val="center"/>
          </w:tcPr>
          <w:p w14:paraId="0511365E">
            <w:pPr>
              <w:widowControl/>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齿轮轴</w:t>
            </w:r>
          </w:p>
        </w:tc>
        <w:tc>
          <w:tcPr>
            <w:tcW w:w="1136" w:type="dxa"/>
            <w:noWrap w:val="0"/>
            <w:vAlign w:val="center"/>
          </w:tcPr>
          <w:p w14:paraId="40F34769">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300</w:t>
            </w:r>
          </w:p>
        </w:tc>
        <w:tc>
          <w:tcPr>
            <w:tcW w:w="1136" w:type="dxa"/>
            <w:noWrap w:val="0"/>
            <w:vAlign w:val="center"/>
          </w:tcPr>
          <w:p w14:paraId="582A8F21">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0</w:t>
            </w:r>
          </w:p>
        </w:tc>
        <w:tc>
          <w:tcPr>
            <w:tcW w:w="1135" w:type="dxa"/>
            <w:noWrap w:val="0"/>
            <w:vAlign w:val="center"/>
          </w:tcPr>
          <w:p w14:paraId="5DEE1195">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0</w:t>
            </w:r>
          </w:p>
        </w:tc>
        <w:tc>
          <w:tcPr>
            <w:tcW w:w="1093" w:type="dxa"/>
            <w:noWrap w:val="0"/>
            <w:vAlign w:val="center"/>
          </w:tcPr>
          <w:p w14:paraId="6E3AAECD">
            <w:pPr>
              <w:contextualSpacing/>
              <w:jc w:val="center"/>
              <w:rPr>
                <w:rFonts w:hint="default" w:ascii="Arial" w:hAnsi="Arial" w:eastAsia="宋体" w:cs="Arial"/>
                <w:color w:val="000000" w:themeColor="text1"/>
                <w:kern w:val="0"/>
                <w:sz w:val="21"/>
                <w:szCs w:val="21"/>
                <w:lang w:val="en-US" w:eastAsia="zh-CN"/>
                <w14:textFill>
                  <w14:solidFill>
                    <w14:schemeClr w14:val="tx1"/>
                  </w14:solidFill>
                </w14:textFill>
              </w:rPr>
            </w:pPr>
            <w:r>
              <w:rPr>
                <w:rFonts w:hint="default" w:ascii="Arial" w:hAnsi="Arial" w:eastAsia="宋体" w:cs="Arial"/>
                <w:color w:val="000000" w:themeColor="text1"/>
                <w:kern w:val="0"/>
                <w:sz w:val="21"/>
                <w:szCs w:val="21"/>
                <w:lang w:val="en-US" w:eastAsia="zh-CN"/>
                <w14:textFill>
                  <w14:solidFill>
                    <w14:schemeClr w14:val="tx1"/>
                  </w14:solidFill>
                </w14:textFill>
              </w:rPr>
              <w:t>0</w:t>
            </w:r>
          </w:p>
        </w:tc>
        <w:tc>
          <w:tcPr>
            <w:tcW w:w="916" w:type="dxa"/>
            <w:vMerge w:val="continue"/>
            <w:noWrap w:val="0"/>
            <w:vAlign w:val="center"/>
          </w:tcPr>
          <w:p w14:paraId="7C68704C">
            <w:pPr>
              <w:contextualSpacing/>
              <w:jc w:val="center"/>
              <w:rPr>
                <w:rFonts w:hint="default" w:ascii="Arial" w:hAnsi="Arial" w:eastAsia="宋体" w:cs="Arial"/>
                <w:kern w:val="0"/>
                <w:sz w:val="21"/>
                <w:szCs w:val="21"/>
              </w:rPr>
            </w:pPr>
          </w:p>
        </w:tc>
      </w:tr>
    </w:tbl>
    <w:p w14:paraId="33FD5CF8">
      <w:pPr>
        <w:pStyle w:val="76"/>
        <w:numPr>
          <w:ilvl w:val="2"/>
          <w:numId w:val="4"/>
        </w:numPr>
        <w:spacing w:line="360" w:lineRule="auto"/>
        <w:ind w:left="568" w:hanging="284" w:firstLineChars="0"/>
        <w:outlineLvl w:val="2"/>
        <w:rPr>
          <w:rFonts w:hint="default" w:ascii="Arial" w:hAnsi="Arial" w:eastAsia="宋体" w:cs="Arial"/>
          <w:b/>
          <w:bCs/>
          <w:sz w:val="24"/>
          <w:szCs w:val="24"/>
        </w:rPr>
      </w:pPr>
      <w:r>
        <w:rPr>
          <w:rFonts w:hint="default" w:ascii="Arial" w:hAnsi="Arial" w:eastAsia="宋体" w:cs="Arial"/>
          <w:b/>
          <w:bCs/>
          <w:sz w:val="24"/>
          <w:szCs w:val="24"/>
        </w:rPr>
        <w:t>现有工程劳动定员及生产班制</w:t>
      </w:r>
    </w:p>
    <w:p w14:paraId="205411E8">
      <w:pPr>
        <w:pStyle w:val="76"/>
        <w:spacing w:line="360" w:lineRule="auto"/>
        <w:ind w:left="105" w:leftChars="50" w:right="105" w:rightChars="50" w:firstLine="480"/>
        <w:rPr>
          <w:rFonts w:hint="default" w:ascii="Arial" w:hAnsi="Arial" w:eastAsia="宋体" w:cs="Arial"/>
          <w:sz w:val="24"/>
          <w:szCs w:val="24"/>
        </w:rPr>
      </w:pPr>
      <w:r>
        <w:rPr>
          <w:rFonts w:hint="default" w:ascii="Arial" w:hAnsi="Arial" w:eastAsia="宋体" w:cs="Arial"/>
          <w:sz w:val="24"/>
          <w:szCs w:val="24"/>
          <w:lang w:val="en-US" w:eastAsia="zh-CN"/>
        </w:rPr>
        <w:t>原环评核定企业职工人数为420人，</w:t>
      </w:r>
      <w:r>
        <w:rPr>
          <w:rFonts w:hint="default" w:ascii="Arial" w:hAnsi="Arial" w:eastAsia="宋体" w:cs="Arial"/>
          <w:sz w:val="24"/>
          <w:szCs w:val="24"/>
        </w:rPr>
        <w:t>企业现有工程劳动定员</w:t>
      </w:r>
      <w:r>
        <w:rPr>
          <w:rFonts w:hint="default" w:ascii="Arial" w:hAnsi="Arial" w:eastAsia="宋体" w:cs="Arial"/>
          <w:sz w:val="24"/>
          <w:szCs w:val="24"/>
          <w:lang w:val="en-US" w:eastAsia="zh-CN"/>
        </w:rPr>
        <w:t>350</w:t>
      </w:r>
      <w:r>
        <w:rPr>
          <w:rFonts w:hint="default" w:ascii="Arial" w:hAnsi="Arial" w:eastAsia="宋体" w:cs="Arial"/>
          <w:sz w:val="24"/>
          <w:szCs w:val="24"/>
        </w:rPr>
        <w:t>人，生产实行</w:t>
      </w:r>
      <w:r>
        <w:rPr>
          <w:rFonts w:hint="default" w:ascii="Arial" w:hAnsi="Arial" w:eastAsia="宋体" w:cs="Arial"/>
          <w:sz w:val="24"/>
          <w:szCs w:val="24"/>
          <w:lang w:val="en-US" w:eastAsia="zh-CN"/>
        </w:rPr>
        <w:t>两</w:t>
      </w:r>
      <w:r>
        <w:rPr>
          <w:rFonts w:hint="default" w:ascii="Arial" w:hAnsi="Arial" w:eastAsia="宋体" w:cs="Arial"/>
          <w:sz w:val="24"/>
          <w:szCs w:val="24"/>
        </w:rPr>
        <w:t>班制，全天24小时生产，年生产天数约300天</w:t>
      </w:r>
      <w:r>
        <w:rPr>
          <w:rFonts w:hint="default" w:ascii="Arial" w:hAnsi="Arial" w:eastAsia="宋体" w:cs="Arial"/>
          <w:sz w:val="24"/>
          <w:szCs w:val="24"/>
          <w:lang w:eastAsia="zh-CN"/>
        </w:rPr>
        <w:t>，</w:t>
      </w:r>
      <w:r>
        <w:rPr>
          <w:rFonts w:hint="default" w:ascii="Arial" w:hAnsi="Arial" w:eastAsia="宋体" w:cs="Arial"/>
          <w:sz w:val="24"/>
          <w:szCs w:val="24"/>
          <w:lang w:val="en-US" w:eastAsia="zh-CN"/>
        </w:rPr>
        <w:t>在原环评核定范围内</w:t>
      </w:r>
      <w:r>
        <w:rPr>
          <w:rFonts w:hint="default" w:ascii="Arial" w:hAnsi="Arial" w:eastAsia="宋体" w:cs="Arial"/>
          <w:sz w:val="24"/>
          <w:szCs w:val="24"/>
        </w:rPr>
        <w:t>。</w:t>
      </w:r>
    </w:p>
    <w:p w14:paraId="1357BB4C">
      <w:pPr>
        <w:pStyle w:val="76"/>
        <w:numPr>
          <w:ilvl w:val="2"/>
          <w:numId w:val="4"/>
        </w:numPr>
        <w:spacing w:line="360" w:lineRule="auto"/>
        <w:ind w:left="568" w:hanging="284" w:firstLineChars="0"/>
        <w:outlineLvl w:val="2"/>
        <w:rPr>
          <w:rFonts w:hint="default" w:ascii="Arial" w:hAnsi="Arial" w:eastAsia="宋体" w:cs="Arial"/>
          <w:b/>
          <w:bCs/>
          <w:sz w:val="24"/>
          <w:szCs w:val="24"/>
        </w:rPr>
      </w:pPr>
      <w:r>
        <w:rPr>
          <w:rFonts w:hint="default" w:ascii="Arial" w:hAnsi="Arial" w:eastAsia="宋体" w:cs="Arial"/>
          <w:b/>
          <w:bCs/>
          <w:sz w:val="24"/>
          <w:szCs w:val="24"/>
        </w:rPr>
        <w:t>现有工程已建项目主要生产设备</w:t>
      </w:r>
    </w:p>
    <w:p w14:paraId="245AC661">
      <w:pPr>
        <w:pStyle w:val="76"/>
        <w:spacing w:line="360" w:lineRule="auto"/>
        <w:ind w:left="105" w:leftChars="50" w:right="105" w:rightChars="50" w:firstLine="480"/>
        <w:rPr>
          <w:rFonts w:hint="default" w:ascii="Arial" w:hAnsi="Arial" w:eastAsia="宋体" w:cs="Arial"/>
          <w:sz w:val="24"/>
          <w:szCs w:val="24"/>
        </w:rPr>
      </w:pPr>
      <w:r>
        <w:rPr>
          <w:rFonts w:hint="default" w:ascii="Arial" w:hAnsi="Arial" w:eastAsia="宋体" w:cs="Arial"/>
          <w:sz w:val="24"/>
          <w:szCs w:val="24"/>
        </w:rPr>
        <w:t>目前现有工程已建项目的实际生产设备数量与竣工环境验保护验收时</w:t>
      </w:r>
      <w:r>
        <w:rPr>
          <w:rFonts w:hint="eastAsia" w:ascii="Arial" w:hAnsi="Arial" w:eastAsia="宋体" w:cs="Arial"/>
          <w:sz w:val="24"/>
          <w:szCs w:val="24"/>
          <w:lang w:val="en-US" w:eastAsia="zh-CN"/>
        </w:rPr>
        <w:t>设备数量</w:t>
      </w:r>
      <w:r>
        <w:rPr>
          <w:rFonts w:hint="default" w:ascii="Arial" w:hAnsi="Arial" w:eastAsia="宋体" w:cs="Arial"/>
          <w:sz w:val="24"/>
          <w:szCs w:val="24"/>
        </w:rPr>
        <w:t>见下表。</w:t>
      </w:r>
    </w:p>
    <w:p w14:paraId="0B7F4819">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现有工程已建项目生产设备</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108" w:type="dxa"/>
          <w:bottom w:w="28" w:type="dxa"/>
          <w:right w:w="108" w:type="dxa"/>
        </w:tblCellMar>
      </w:tblPr>
      <w:tblGrid>
        <w:gridCol w:w="833"/>
        <w:gridCol w:w="1767"/>
        <w:gridCol w:w="1620"/>
        <w:gridCol w:w="1078"/>
        <w:gridCol w:w="1079"/>
        <w:gridCol w:w="1561"/>
      </w:tblGrid>
      <w:tr w14:paraId="05A87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tblHeader/>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2D290EE5">
            <w:pPr>
              <w:widowControl/>
              <w:contextualSpacing/>
              <w:jc w:val="center"/>
              <w:rPr>
                <w:rFonts w:hint="default" w:ascii="Arial" w:hAnsi="Arial" w:eastAsia="宋体" w:cs="Arial"/>
                <w:kern w:val="0"/>
                <w:szCs w:val="21"/>
              </w:rPr>
            </w:pPr>
            <w:bookmarkStart w:id="4" w:name="_Hlk119494923"/>
            <w:r>
              <w:rPr>
                <w:rFonts w:hint="default" w:ascii="Arial" w:hAnsi="Arial" w:eastAsia="宋体" w:cs="Arial"/>
                <w:kern w:val="0"/>
                <w:szCs w:val="21"/>
              </w:rPr>
              <w:t>序号</w:t>
            </w:r>
            <w:bookmarkEnd w:id="4"/>
          </w:p>
        </w:tc>
        <w:tc>
          <w:tcPr>
            <w:tcW w:w="1767" w:type="dxa"/>
            <w:tcBorders>
              <w:top w:val="single" w:color="auto" w:sz="4" w:space="0"/>
              <w:left w:val="single" w:color="auto" w:sz="4" w:space="0"/>
              <w:bottom w:val="single" w:color="auto" w:sz="4" w:space="0"/>
              <w:right w:val="single" w:color="auto" w:sz="4" w:space="0"/>
            </w:tcBorders>
            <w:noWrap w:val="0"/>
            <w:vAlign w:val="center"/>
          </w:tcPr>
          <w:p w14:paraId="3679087F">
            <w:pPr>
              <w:widowControl/>
              <w:contextualSpacing/>
              <w:jc w:val="center"/>
              <w:rPr>
                <w:rFonts w:hint="default" w:ascii="Arial" w:hAnsi="Arial" w:eastAsia="宋体" w:cs="Arial"/>
                <w:kern w:val="0"/>
                <w:szCs w:val="21"/>
              </w:rPr>
            </w:pPr>
            <w:r>
              <w:rPr>
                <w:rFonts w:hint="default" w:ascii="Arial" w:hAnsi="Arial" w:eastAsia="宋体" w:cs="Arial"/>
                <w:kern w:val="0"/>
                <w:szCs w:val="21"/>
              </w:rPr>
              <w:t>设备名称</w:t>
            </w:r>
          </w:p>
        </w:tc>
        <w:tc>
          <w:tcPr>
            <w:tcW w:w="1620" w:type="dxa"/>
            <w:tcBorders>
              <w:top w:val="single" w:color="auto" w:sz="4" w:space="0"/>
              <w:left w:val="single" w:color="auto" w:sz="4" w:space="0"/>
              <w:bottom w:val="single" w:color="auto" w:sz="4" w:space="0"/>
              <w:right w:val="single" w:color="auto" w:sz="4" w:space="0"/>
            </w:tcBorders>
            <w:noWrap w:val="0"/>
            <w:vAlign w:val="center"/>
          </w:tcPr>
          <w:p w14:paraId="5D90CCF4">
            <w:pPr>
              <w:widowControl/>
              <w:contextualSpacing/>
              <w:jc w:val="center"/>
              <w:rPr>
                <w:rFonts w:hint="default" w:ascii="Arial" w:hAnsi="Arial" w:eastAsia="宋体" w:cs="Arial"/>
                <w:kern w:val="0"/>
                <w:szCs w:val="21"/>
              </w:rPr>
            </w:pPr>
            <w:r>
              <w:rPr>
                <w:rFonts w:hint="default" w:ascii="Arial" w:hAnsi="Arial" w:eastAsia="宋体" w:cs="Arial"/>
                <w:kern w:val="0"/>
                <w:szCs w:val="21"/>
              </w:rPr>
              <w:t>环评核定数量</w:t>
            </w:r>
          </w:p>
        </w:tc>
        <w:tc>
          <w:tcPr>
            <w:tcW w:w="1078" w:type="dxa"/>
            <w:tcBorders>
              <w:top w:val="single" w:color="auto" w:sz="4" w:space="0"/>
              <w:left w:val="single" w:color="auto" w:sz="4" w:space="0"/>
              <w:bottom w:val="single" w:color="auto" w:sz="4" w:space="0"/>
              <w:right w:val="single" w:color="auto" w:sz="4" w:space="0"/>
            </w:tcBorders>
            <w:noWrap w:val="0"/>
            <w:vAlign w:val="center"/>
          </w:tcPr>
          <w:p w14:paraId="281126B6">
            <w:pPr>
              <w:widowControl/>
              <w:contextualSpacing/>
              <w:jc w:val="center"/>
              <w:rPr>
                <w:rFonts w:hint="default" w:ascii="Arial" w:hAnsi="Arial" w:eastAsia="宋体" w:cs="Arial"/>
                <w:kern w:val="0"/>
                <w:szCs w:val="21"/>
              </w:rPr>
            </w:pPr>
            <w:r>
              <w:rPr>
                <w:rFonts w:hint="default" w:ascii="Arial" w:hAnsi="Arial" w:eastAsia="宋体" w:cs="Arial"/>
                <w:kern w:val="0"/>
                <w:szCs w:val="21"/>
              </w:rPr>
              <w:t>验收设备数量</w:t>
            </w:r>
          </w:p>
        </w:tc>
        <w:tc>
          <w:tcPr>
            <w:tcW w:w="1079" w:type="dxa"/>
            <w:tcBorders>
              <w:top w:val="single" w:color="auto" w:sz="4" w:space="0"/>
              <w:left w:val="single" w:color="auto" w:sz="4" w:space="0"/>
              <w:bottom w:val="single" w:color="auto" w:sz="4" w:space="0"/>
              <w:right w:val="single" w:color="auto" w:sz="4" w:space="0"/>
            </w:tcBorders>
            <w:noWrap w:val="0"/>
            <w:vAlign w:val="center"/>
          </w:tcPr>
          <w:p w14:paraId="187B7FC4">
            <w:pPr>
              <w:widowControl/>
              <w:contextualSpacing/>
              <w:jc w:val="center"/>
              <w:rPr>
                <w:rFonts w:hint="default" w:ascii="Arial" w:hAnsi="Arial" w:eastAsia="宋体" w:cs="Arial"/>
                <w:kern w:val="0"/>
                <w:szCs w:val="21"/>
              </w:rPr>
            </w:pPr>
            <w:r>
              <w:rPr>
                <w:rFonts w:hint="default" w:ascii="Arial" w:hAnsi="Arial" w:eastAsia="宋体" w:cs="Arial"/>
                <w:kern w:val="0"/>
                <w:szCs w:val="21"/>
              </w:rPr>
              <w:t>实际设备数量</w:t>
            </w:r>
          </w:p>
        </w:tc>
        <w:tc>
          <w:tcPr>
            <w:tcW w:w="1561" w:type="dxa"/>
            <w:tcBorders>
              <w:top w:val="single" w:color="auto" w:sz="4" w:space="0"/>
              <w:left w:val="single" w:color="auto" w:sz="4" w:space="0"/>
              <w:bottom w:val="single" w:color="auto" w:sz="4" w:space="0"/>
              <w:right w:val="single" w:color="auto" w:sz="4" w:space="0"/>
            </w:tcBorders>
            <w:noWrap w:val="0"/>
            <w:vAlign w:val="center"/>
          </w:tcPr>
          <w:p w14:paraId="4F8983ED">
            <w:pPr>
              <w:widowControl/>
              <w:contextualSpacing/>
              <w:jc w:val="center"/>
              <w:rPr>
                <w:rFonts w:hint="default" w:ascii="Arial" w:hAnsi="Arial" w:eastAsia="宋体" w:cs="Arial"/>
                <w:kern w:val="0"/>
                <w:szCs w:val="21"/>
              </w:rPr>
            </w:pPr>
            <w:r>
              <w:rPr>
                <w:rFonts w:hint="default" w:ascii="Arial" w:hAnsi="Arial" w:eastAsia="宋体" w:cs="Arial"/>
                <w:kern w:val="0"/>
                <w:szCs w:val="21"/>
              </w:rPr>
              <w:t>与</w:t>
            </w:r>
            <w:r>
              <w:rPr>
                <w:rFonts w:hint="eastAsia" w:ascii="Arial" w:hAnsi="Arial" w:eastAsia="宋体" w:cs="Arial"/>
                <w:kern w:val="0"/>
                <w:szCs w:val="21"/>
                <w:lang w:val="en-US" w:eastAsia="zh-CN"/>
              </w:rPr>
              <w:t>验收设备</w:t>
            </w:r>
            <w:r>
              <w:rPr>
                <w:rFonts w:hint="default" w:ascii="Arial" w:hAnsi="Arial" w:eastAsia="宋体" w:cs="Arial"/>
                <w:kern w:val="0"/>
                <w:szCs w:val="21"/>
              </w:rPr>
              <w:t>数量的变化情况</w:t>
            </w:r>
          </w:p>
        </w:tc>
      </w:tr>
      <w:tr w14:paraId="7F8C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7B9E2BF0">
            <w:pPr>
              <w:widowControl/>
              <w:contextualSpacing/>
              <w:jc w:val="center"/>
              <w:rPr>
                <w:rFonts w:hint="default" w:ascii="Arial" w:hAnsi="Arial" w:eastAsia="宋体" w:cs="Arial"/>
                <w:kern w:val="0"/>
                <w:szCs w:val="21"/>
              </w:rPr>
            </w:pPr>
            <w:r>
              <w:rPr>
                <w:rFonts w:hint="default" w:ascii="Arial" w:hAnsi="Arial" w:eastAsia="宋体" w:cs="Arial"/>
                <w:kern w:val="0"/>
                <w:szCs w:val="21"/>
              </w:rPr>
              <w:t>1</w:t>
            </w:r>
          </w:p>
        </w:tc>
        <w:tc>
          <w:tcPr>
            <w:tcW w:w="1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DCF816">
            <w:pPr>
              <w:pStyle w:val="760"/>
              <w:jc w:val="center"/>
              <w:rPr>
                <w:rFonts w:hint="eastAsia" w:ascii="Arial" w:hAnsi="Arial" w:eastAsia="宋体" w:cs="Arial"/>
                <w:kern w:val="0"/>
                <w:sz w:val="21"/>
                <w:szCs w:val="21"/>
                <w:lang w:val="en-US" w:eastAsia="zh-CN" w:bidi="ar-SA"/>
              </w:rPr>
            </w:pPr>
            <w:r>
              <w:rPr>
                <w:rFonts w:hint="default" w:ascii="Arial" w:hAnsi="Arial" w:eastAsia="宋体" w:cs="Arial"/>
                <w:color w:val="000000"/>
                <w:sz w:val="21"/>
                <w:szCs w:val="21"/>
              </w:rPr>
              <w:t>旋锻机</w:t>
            </w:r>
            <w:r>
              <w:rPr>
                <w:rFonts w:hint="eastAsia" w:ascii="Arial" w:hAnsi="Arial" w:cs="Arial"/>
                <w:color w:val="000000"/>
                <w:sz w:val="21"/>
                <w:szCs w:val="21"/>
                <w:vertAlign w:val="superscript"/>
                <w:lang w:val="en-US" w:eastAsia="zh-CN"/>
              </w:rPr>
              <w:t>①</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F4CC969">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8</w:t>
            </w:r>
          </w:p>
        </w:tc>
        <w:tc>
          <w:tcPr>
            <w:tcW w:w="10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F30DB92">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0</w:t>
            </w:r>
          </w:p>
        </w:tc>
        <w:tc>
          <w:tcPr>
            <w:tcW w:w="10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107BF33">
            <w:pPr>
              <w:pStyle w:val="760"/>
              <w:jc w:val="center"/>
              <w:rPr>
                <w:rFonts w:hint="eastAsia" w:ascii="Arial" w:hAnsi="Arial" w:eastAsia="宋体" w:cs="Arial"/>
                <w:color w:val="000000"/>
                <w:sz w:val="21"/>
                <w:szCs w:val="21"/>
                <w:lang w:val="en-US" w:eastAsia="zh-CN"/>
              </w:rPr>
            </w:pPr>
            <w:r>
              <w:rPr>
                <w:rFonts w:hint="eastAsia" w:ascii="Arial" w:hAnsi="Arial" w:cs="Arial"/>
                <w:color w:val="000000"/>
                <w:sz w:val="21"/>
                <w:szCs w:val="21"/>
                <w:lang w:val="en-US" w:eastAsia="zh-CN"/>
              </w:rPr>
              <w:t>0</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99BA331">
            <w:pPr>
              <w:pStyle w:val="760"/>
              <w:jc w:val="center"/>
              <w:rPr>
                <w:rFonts w:hint="default" w:ascii="Arial" w:hAnsi="Arial" w:eastAsia="宋体" w:cs="Arial"/>
                <w:kern w:val="0"/>
                <w:sz w:val="21"/>
                <w:szCs w:val="21"/>
                <w:lang w:val="en-US" w:eastAsia="zh-CN" w:bidi="ar-SA"/>
              </w:rPr>
            </w:pPr>
            <w:r>
              <w:rPr>
                <w:rFonts w:hint="default" w:ascii="Arial" w:hAnsi="Arial" w:eastAsia="宋体" w:cs="Arial"/>
                <w:sz w:val="21"/>
                <w:szCs w:val="21"/>
                <w:lang w:eastAsia="zh-CN"/>
              </w:rPr>
              <w:t>-8</w:t>
            </w:r>
          </w:p>
        </w:tc>
      </w:tr>
      <w:tr w14:paraId="1A3B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66597316">
            <w:pPr>
              <w:widowControl/>
              <w:contextualSpacing/>
              <w:jc w:val="center"/>
              <w:rPr>
                <w:rFonts w:hint="default" w:ascii="Arial" w:hAnsi="Arial" w:eastAsia="宋体" w:cs="Arial"/>
                <w:kern w:val="0"/>
                <w:szCs w:val="21"/>
              </w:rPr>
            </w:pPr>
            <w:r>
              <w:rPr>
                <w:rFonts w:hint="default" w:ascii="Arial" w:hAnsi="Arial" w:eastAsia="宋体" w:cs="Arial"/>
                <w:kern w:val="0"/>
                <w:szCs w:val="21"/>
              </w:rPr>
              <w:t>2</w:t>
            </w:r>
          </w:p>
        </w:tc>
        <w:tc>
          <w:tcPr>
            <w:tcW w:w="1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16D5EF">
            <w:pPr>
              <w:pStyle w:val="760"/>
              <w:jc w:val="center"/>
              <w:rPr>
                <w:rFonts w:hint="eastAsia" w:ascii="Arial" w:hAnsi="Arial" w:eastAsia="宋体" w:cs="Arial"/>
                <w:kern w:val="0"/>
                <w:sz w:val="21"/>
                <w:szCs w:val="21"/>
                <w:lang w:val="en-US" w:eastAsia="zh-CN" w:bidi="ar-SA"/>
              </w:rPr>
            </w:pPr>
            <w:r>
              <w:rPr>
                <w:rFonts w:hint="default" w:ascii="Arial" w:hAnsi="Arial" w:eastAsia="宋体" w:cs="Arial"/>
                <w:color w:val="000000"/>
                <w:sz w:val="21"/>
                <w:szCs w:val="21"/>
              </w:rPr>
              <w:t>加工中心</w:t>
            </w:r>
            <w:r>
              <w:rPr>
                <w:rFonts w:hint="eastAsia" w:ascii="Arial" w:hAnsi="Arial" w:cs="Arial"/>
                <w:color w:val="000000"/>
                <w:sz w:val="21"/>
                <w:szCs w:val="21"/>
                <w:vertAlign w:val="superscript"/>
                <w:lang w:val="en-US" w:eastAsia="zh-CN"/>
              </w:rPr>
              <w:t>②</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BF52E56">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6</w:t>
            </w:r>
          </w:p>
        </w:tc>
        <w:tc>
          <w:tcPr>
            <w:tcW w:w="10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ACBCB8F">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6</w:t>
            </w:r>
          </w:p>
        </w:tc>
        <w:tc>
          <w:tcPr>
            <w:tcW w:w="10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D20166C">
            <w:pPr>
              <w:pStyle w:val="760"/>
              <w:jc w:val="center"/>
              <w:rPr>
                <w:rFonts w:hint="default" w:ascii="Arial" w:hAnsi="Arial" w:eastAsia="宋体" w:cs="Arial"/>
                <w:color w:val="000000"/>
                <w:sz w:val="21"/>
                <w:szCs w:val="21"/>
                <w:lang w:val="en-US" w:eastAsia="zh-CN"/>
              </w:rPr>
            </w:pPr>
            <w:r>
              <w:rPr>
                <w:rFonts w:hint="eastAsia" w:ascii="Arial" w:hAnsi="Arial" w:cs="Arial"/>
                <w:color w:val="000000"/>
                <w:sz w:val="21"/>
                <w:szCs w:val="21"/>
                <w:lang w:val="en-US" w:eastAsia="zh-CN"/>
              </w:rPr>
              <w:t>8</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5E9DC3">
            <w:pPr>
              <w:pStyle w:val="760"/>
              <w:jc w:val="center"/>
              <w:rPr>
                <w:rFonts w:hint="default" w:ascii="Arial" w:hAnsi="Arial" w:eastAsia="宋体" w:cs="Arial"/>
                <w:kern w:val="0"/>
                <w:sz w:val="21"/>
                <w:szCs w:val="21"/>
                <w:lang w:val="en-US" w:eastAsia="zh-CN" w:bidi="ar-SA"/>
              </w:rPr>
            </w:pPr>
            <w:r>
              <w:rPr>
                <w:rFonts w:hint="eastAsia" w:ascii="Arial" w:hAnsi="Arial" w:cs="Arial"/>
                <w:kern w:val="0"/>
                <w:sz w:val="21"/>
                <w:szCs w:val="21"/>
                <w:lang w:val="en-US" w:eastAsia="zh-CN" w:bidi="ar-SA"/>
              </w:rPr>
              <w:t>+2</w:t>
            </w:r>
          </w:p>
        </w:tc>
      </w:tr>
      <w:tr w14:paraId="57C5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7E9AF09B">
            <w:pPr>
              <w:widowControl/>
              <w:contextualSpacing/>
              <w:jc w:val="center"/>
              <w:rPr>
                <w:rFonts w:hint="default" w:ascii="Arial" w:hAnsi="Arial" w:eastAsia="宋体" w:cs="Arial"/>
                <w:kern w:val="0"/>
                <w:szCs w:val="21"/>
              </w:rPr>
            </w:pPr>
            <w:r>
              <w:rPr>
                <w:rFonts w:hint="default" w:ascii="Arial" w:hAnsi="Arial" w:eastAsia="宋体" w:cs="Arial"/>
                <w:kern w:val="0"/>
                <w:szCs w:val="21"/>
              </w:rPr>
              <w:t>3</w:t>
            </w:r>
          </w:p>
        </w:tc>
        <w:tc>
          <w:tcPr>
            <w:tcW w:w="1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F9AB16E">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数控</w:t>
            </w:r>
            <w:r>
              <w:rPr>
                <w:rFonts w:hint="eastAsia" w:ascii="Arial" w:hAnsi="Arial" w:cs="Arial"/>
                <w:color w:val="000000"/>
                <w:sz w:val="21"/>
                <w:szCs w:val="21"/>
                <w:lang w:val="en-US" w:eastAsia="zh-CN"/>
              </w:rPr>
              <w:t>车</w:t>
            </w:r>
            <w:r>
              <w:rPr>
                <w:rFonts w:hint="default" w:ascii="Arial" w:hAnsi="Arial" w:eastAsia="宋体" w:cs="Arial"/>
                <w:color w:val="000000"/>
                <w:sz w:val="21"/>
                <w:szCs w:val="21"/>
              </w:rPr>
              <w:t>床</w:t>
            </w:r>
            <w:r>
              <w:rPr>
                <w:rFonts w:hint="eastAsia" w:ascii="Arial" w:hAnsi="Arial" w:cs="Arial"/>
                <w:color w:val="000000"/>
                <w:sz w:val="21"/>
                <w:szCs w:val="21"/>
                <w:vertAlign w:val="superscript"/>
                <w:lang w:val="en-US" w:eastAsia="zh-CN"/>
              </w:rPr>
              <w:t>②</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B7A8583">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20</w:t>
            </w:r>
          </w:p>
        </w:tc>
        <w:tc>
          <w:tcPr>
            <w:tcW w:w="10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D9937F">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20</w:t>
            </w:r>
          </w:p>
        </w:tc>
        <w:tc>
          <w:tcPr>
            <w:tcW w:w="10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351AB71">
            <w:pPr>
              <w:pStyle w:val="760"/>
              <w:jc w:val="center"/>
              <w:rPr>
                <w:rFonts w:hint="default" w:ascii="Arial" w:hAnsi="Arial" w:eastAsia="宋体" w:cs="Arial"/>
                <w:color w:val="000000"/>
                <w:sz w:val="21"/>
                <w:szCs w:val="21"/>
                <w:lang w:val="en-US" w:eastAsia="zh-CN"/>
              </w:rPr>
            </w:pPr>
            <w:r>
              <w:rPr>
                <w:rFonts w:hint="eastAsia" w:ascii="Arial" w:hAnsi="Arial" w:cs="Arial"/>
                <w:color w:val="000000"/>
                <w:sz w:val="21"/>
                <w:szCs w:val="21"/>
                <w:lang w:val="en-US" w:eastAsia="zh-CN"/>
              </w:rPr>
              <w:t>25</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8649E74">
            <w:pPr>
              <w:pStyle w:val="760"/>
              <w:jc w:val="center"/>
              <w:rPr>
                <w:rFonts w:hint="default" w:ascii="Arial" w:hAnsi="Arial" w:eastAsia="宋体" w:cs="Arial"/>
                <w:kern w:val="0"/>
                <w:sz w:val="21"/>
                <w:szCs w:val="21"/>
                <w:lang w:val="en-US" w:eastAsia="zh-CN" w:bidi="ar-SA"/>
              </w:rPr>
            </w:pPr>
            <w:r>
              <w:rPr>
                <w:rFonts w:hint="eastAsia" w:ascii="Arial" w:hAnsi="Arial" w:cs="Arial"/>
                <w:kern w:val="0"/>
                <w:sz w:val="21"/>
                <w:szCs w:val="21"/>
                <w:lang w:val="en-US" w:eastAsia="zh-CN" w:bidi="ar-SA"/>
              </w:rPr>
              <w:t>+5</w:t>
            </w:r>
          </w:p>
        </w:tc>
      </w:tr>
      <w:tr w14:paraId="418F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424D8483">
            <w:pPr>
              <w:widowControl/>
              <w:contextualSpacing/>
              <w:jc w:val="center"/>
              <w:rPr>
                <w:rFonts w:hint="default" w:ascii="Arial" w:hAnsi="Arial" w:eastAsia="宋体" w:cs="Arial"/>
                <w:kern w:val="0"/>
                <w:szCs w:val="21"/>
              </w:rPr>
            </w:pPr>
            <w:r>
              <w:rPr>
                <w:rFonts w:hint="default" w:ascii="Arial" w:hAnsi="Arial" w:eastAsia="宋体" w:cs="Arial"/>
                <w:kern w:val="0"/>
                <w:szCs w:val="21"/>
              </w:rPr>
              <w:t>4</w:t>
            </w:r>
          </w:p>
        </w:tc>
        <w:tc>
          <w:tcPr>
            <w:tcW w:w="1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FCF317">
            <w:pPr>
              <w:pStyle w:val="760"/>
              <w:jc w:val="center"/>
              <w:rPr>
                <w:rFonts w:hint="default" w:ascii="Arial" w:hAnsi="Arial" w:eastAsia="宋体" w:cs="Arial"/>
                <w:kern w:val="0"/>
                <w:sz w:val="21"/>
                <w:szCs w:val="21"/>
                <w:lang w:val="en-US" w:eastAsia="zh-CN" w:bidi="ar-SA"/>
              </w:rPr>
            </w:pPr>
            <w:r>
              <w:rPr>
                <w:rFonts w:hint="eastAsia" w:ascii="Arial" w:hAnsi="Arial" w:cs="Arial"/>
                <w:color w:val="000000"/>
                <w:sz w:val="21"/>
                <w:szCs w:val="21"/>
                <w:lang w:val="en-US" w:eastAsia="zh-CN"/>
              </w:rPr>
              <w:t>无心</w:t>
            </w:r>
            <w:r>
              <w:rPr>
                <w:rFonts w:hint="default" w:ascii="Arial" w:hAnsi="Arial" w:eastAsia="宋体" w:cs="Arial"/>
                <w:color w:val="000000"/>
                <w:sz w:val="21"/>
                <w:szCs w:val="21"/>
              </w:rPr>
              <w:t>磨床</w:t>
            </w:r>
            <w:r>
              <w:rPr>
                <w:rFonts w:hint="eastAsia" w:ascii="Arial" w:hAnsi="Arial" w:cs="Arial"/>
                <w:color w:val="000000"/>
                <w:sz w:val="21"/>
                <w:szCs w:val="21"/>
                <w:vertAlign w:val="superscript"/>
                <w:lang w:val="en-US" w:eastAsia="zh-CN"/>
              </w:rPr>
              <w:t>②</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DEE0CC">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3</w:t>
            </w:r>
          </w:p>
        </w:tc>
        <w:tc>
          <w:tcPr>
            <w:tcW w:w="10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C5B5C13">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8</w:t>
            </w:r>
          </w:p>
        </w:tc>
        <w:tc>
          <w:tcPr>
            <w:tcW w:w="10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41EEDD2">
            <w:pPr>
              <w:pStyle w:val="760"/>
              <w:jc w:val="center"/>
              <w:rPr>
                <w:rFonts w:hint="default" w:ascii="Arial" w:hAnsi="Arial" w:eastAsia="宋体" w:cs="Arial"/>
                <w:color w:val="000000"/>
                <w:sz w:val="21"/>
                <w:szCs w:val="21"/>
                <w:lang w:val="en-US" w:eastAsia="zh-CN"/>
              </w:rPr>
            </w:pPr>
            <w:r>
              <w:rPr>
                <w:rFonts w:hint="eastAsia" w:ascii="Arial" w:hAnsi="Arial" w:cs="Arial"/>
                <w:color w:val="000000"/>
                <w:sz w:val="21"/>
                <w:szCs w:val="21"/>
                <w:lang w:val="en-US" w:eastAsia="zh-CN"/>
              </w:rPr>
              <w:t>10</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70A9B1D">
            <w:pPr>
              <w:pStyle w:val="760"/>
              <w:jc w:val="center"/>
              <w:rPr>
                <w:rFonts w:hint="default" w:ascii="Arial" w:hAnsi="Arial" w:eastAsia="宋体" w:cs="Arial"/>
                <w:kern w:val="0"/>
                <w:sz w:val="21"/>
                <w:szCs w:val="21"/>
                <w:lang w:val="en-US" w:eastAsia="zh-CN" w:bidi="ar-SA"/>
              </w:rPr>
            </w:pPr>
            <w:r>
              <w:rPr>
                <w:rFonts w:hint="default" w:ascii="Arial" w:hAnsi="Arial" w:eastAsia="宋体" w:cs="Arial"/>
                <w:sz w:val="21"/>
                <w:szCs w:val="21"/>
                <w:lang w:eastAsia="zh-CN"/>
              </w:rPr>
              <w:t>+</w:t>
            </w:r>
            <w:r>
              <w:rPr>
                <w:rFonts w:hint="eastAsia" w:ascii="Arial" w:hAnsi="Arial" w:cs="Arial"/>
                <w:sz w:val="21"/>
                <w:szCs w:val="21"/>
                <w:lang w:val="en-US" w:eastAsia="zh-CN"/>
              </w:rPr>
              <w:t>2</w:t>
            </w:r>
          </w:p>
        </w:tc>
      </w:tr>
      <w:tr w14:paraId="01D7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3D819F76">
            <w:pPr>
              <w:widowControl/>
              <w:contextualSpacing/>
              <w:jc w:val="center"/>
              <w:rPr>
                <w:rFonts w:hint="default" w:ascii="Arial" w:hAnsi="Arial" w:eastAsia="宋体" w:cs="Arial"/>
                <w:kern w:val="0"/>
                <w:szCs w:val="21"/>
              </w:rPr>
            </w:pPr>
            <w:r>
              <w:rPr>
                <w:rFonts w:hint="default" w:ascii="Arial" w:hAnsi="Arial" w:eastAsia="宋体" w:cs="Arial"/>
                <w:kern w:val="0"/>
                <w:szCs w:val="21"/>
              </w:rPr>
              <w:t>5</w:t>
            </w:r>
          </w:p>
        </w:tc>
        <w:tc>
          <w:tcPr>
            <w:tcW w:w="1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1FF3DD">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车铣复合</w:t>
            </w:r>
            <w:r>
              <w:rPr>
                <w:rFonts w:hint="eastAsia" w:ascii="Arial" w:hAnsi="Arial" w:cs="Arial"/>
                <w:color w:val="000000"/>
                <w:sz w:val="21"/>
                <w:szCs w:val="21"/>
                <w:lang w:val="en-US" w:eastAsia="zh-CN"/>
              </w:rPr>
              <w:t>机床</w:t>
            </w:r>
            <w:r>
              <w:rPr>
                <w:rFonts w:hint="eastAsia" w:ascii="Arial" w:hAnsi="Arial" w:cs="Arial"/>
                <w:color w:val="000000"/>
                <w:sz w:val="21"/>
                <w:szCs w:val="21"/>
                <w:vertAlign w:val="superscript"/>
                <w:lang w:val="en-US" w:eastAsia="zh-CN"/>
              </w:rPr>
              <w:t>②</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114B7E">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15</w:t>
            </w:r>
          </w:p>
        </w:tc>
        <w:tc>
          <w:tcPr>
            <w:tcW w:w="10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2D3F56A">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15</w:t>
            </w:r>
          </w:p>
        </w:tc>
        <w:tc>
          <w:tcPr>
            <w:tcW w:w="10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1EF38C0">
            <w:pPr>
              <w:pStyle w:val="760"/>
              <w:jc w:val="center"/>
              <w:rPr>
                <w:rFonts w:hint="default" w:ascii="Arial" w:hAnsi="Arial" w:eastAsia="宋体" w:cs="Arial"/>
                <w:color w:val="000000"/>
                <w:sz w:val="21"/>
                <w:szCs w:val="21"/>
                <w:lang w:val="en-US" w:eastAsia="zh-CN"/>
              </w:rPr>
            </w:pPr>
            <w:r>
              <w:rPr>
                <w:rFonts w:hint="eastAsia" w:ascii="Arial" w:hAnsi="Arial" w:cs="Arial"/>
                <w:color w:val="000000"/>
                <w:sz w:val="21"/>
                <w:szCs w:val="21"/>
                <w:lang w:val="en-US" w:eastAsia="zh-CN"/>
              </w:rPr>
              <w:t>20</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E44960">
            <w:pPr>
              <w:pStyle w:val="760"/>
              <w:jc w:val="center"/>
              <w:rPr>
                <w:rFonts w:hint="default" w:ascii="Arial" w:hAnsi="Arial" w:eastAsia="宋体" w:cs="Arial"/>
                <w:kern w:val="0"/>
                <w:sz w:val="21"/>
                <w:szCs w:val="21"/>
                <w:lang w:val="en-US" w:eastAsia="zh-CN" w:bidi="ar-SA"/>
              </w:rPr>
            </w:pPr>
            <w:r>
              <w:rPr>
                <w:rFonts w:hint="eastAsia" w:ascii="Arial" w:hAnsi="Arial" w:cs="Arial"/>
                <w:kern w:val="0"/>
                <w:sz w:val="21"/>
                <w:szCs w:val="21"/>
                <w:lang w:val="en-US" w:eastAsia="zh-CN" w:bidi="ar-SA"/>
              </w:rPr>
              <w:t>+5</w:t>
            </w:r>
          </w:p>
        </w:tc>
      </w:tr>
      <w:tr w14:paraId="64D9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055A99CE">
            <w:pPr>
              <w:widowControl/>
              <w:contextualSpacing/>
              <w:jc w:val="center"/>
              <w:rPr>
                <w:rFonts w:hint="default" w:ascii="Arial" w:hAnsi="Arial" w:eastAsia="宋体" w:cs="Arial"/>
                <w:kern w:val="0"/>
                <w:szCs w:val="21"/>
              </w:rPr>
            </w:pPr>
            <w:r>
              <w:rPr>
                <w:rFonts w:hint="default" w:ascii="Arial" w:hAnsi="Arial" w:eastAsia="宋体" w:cs="Arial"/>
                <w:kern w:val="0"/>
                <w:szCs w:val="21"/>
              </w:rPr>
              <w:t>6</w:t>
            </w:r>
          </w:p>
        </w:tc>
        <w:tc>
          <w:tcPr>
            <w:tcW w:w="1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14B921">
            <w:pPr>
              <w:pStyle w:val="760"/>
              <w:jc w:val="center"/>
              <w:rPr>
                <w:rFonts w:hint="eastAsia" w:ascii="Arial" w:hAnsi="Arial" w:eastAsia="宋体" w:cs="Arial"/>
                <w:kern w:val="0"/>
                <w:sz w:val="21"/>
                <w:szCs w:val="21"/>
                <w:lang w:val="en-US" w:eastAsia="zh-CN" w:bidi="ar-SA"/>
              </w:rPr>
            </w:pPr>
            <w:r>
              <w:rPr>
                <w:rFonts w:hint="default" w:ascii="Arial" w:hAnsi="Arial" w:eastAsia="宋体" w:cs="Arial"/>
                <w:color w:val="000000"/>
                <w:sz w:val="21"/>
                <w:szCs w:val="21"/>
              </w:rPr>
              <w:t>焊机</w:t>
            </w:r>
            <w:r>
              <w:rPr>
                <w:rFonts w:hint="eastAsia" w:ascii="Arial" w:hAnsi="Arial" w:cs="Arial"/>
                <w:color w:val="000000"/>
                <w:sz w:val="21"/>
                <w:szCs w:val="21"/>
                <w:vertAlign w:val="superscript"/>
                <w:lang w:val="en-US" w:eastAsia="zh-CN"/>
              </w:rPr>
              <w:t>③</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7D4E2D">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5</w:t>
            </w:r>
          </w:p>
        </w:tc>
        <w:tc>
          <w:tcPr>
            <w:tcW w:w="10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9BD48A1">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5</w:t>
            </w:r>
          </w:p>
        </w:tc>
        <w:tc>
          <w:tcPr>
            <w:tcW w:w="10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977BA92">
            <w:pPr>
              <w:pStyle w:val="760"/>
              <w:jc w:val="center"/>
              <w:rPr>
                <w:rFonts w:hint="eastAsia" w:ascii="Arial" w:hAnsi="Arial" w:eastAsia="宋体" w:cs="Arial"/>
                <w:color w:val="000000"/>
                <w:sz w:val="21"/>
                <w:szCs w:val="21"/>
                <w:lang w:val="en-US" w:eastAsia="zh-CN"/>
              </w:rPr>
            </w:pPr>
            <w:r>
              <w:rPr>
                <w:rFonts w:hint="eastAsia" w:ascii="Arial" w:hAnsi="Arial" w:cs="Arial"/>
                <w:color w:val="000000"/>
                <w:sz w:val="21"/>
                <w:szCs w:val="21"/>
                <w:lang w:val="en-US" w:eastAsia="zh-CN"/>
              </w:rPr>
              <w:t>0</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C2D6B6">
            <w:pPr>
              <w:pStyle w:val="760"/>
              <w:jc w:val="center"/>
              <w:rPr>
                <w:rFonts w:hint="default" w:ascii="Arial" w:hAnsi="Arial" w:eastAsia="宋体" w:cs="Arial"/>
                <w:kern w:val="0"/>
                <w:sz w:val="21"/>
                <w:szCs w:val="21"/>
                <w:lang w:val="en-US" w:eastAsia="zh-CN" w:bidi="ar-SA"/>
              </w:rPr>
            </w:pPr>
            <w:r>
              <w:rPr>
                <w:rFonts w:hint="eastAsia" w:ascii="Arial" w:hAnsi="Arial" w:cs="Arial"/>
                <w:kern w:val="0"/>
                <w:sz w:val="21"/>
                <w:szCs w:val="21"/>
                <w:lang w:val="en-US" w:eastAsia="zh-CN" w:bidi="ar-SA"/>
              </w:rPr>
              <w:t>-5</w:t>
            </w:r>
          </w:p>
        </w:tc>
      </w:tr>
      <w:tr w14:paraId="673D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209E9E23">
            <w:pPr>
              <w:widowControl/>
              <w:contextualSpacing/>
              <w:jc w:val="center"/>
              <w:rPr>
                <w:rFonts w:hint="default" w:ascii="Arial" w:hAnsi="Arial" w:eastAsia="宋体" w:cs="Arial"/>
                <w:kern w:val="0"/>
                <w:szCs w:val="21"/>
              </w:rPr>
            </w:pPr>
            <w:r>
              <w:rPr>
                <w:rFonts w:hint="default" w:ascii="Arial" w:hAnsi="Arial" w:eastAsia="宋体" w:cs="Arial"/>
                <w:kern w:val="0"/>
                <w:szCs w:val="21"/>
              </w:rPr>
              <w:t>7</w:t>
            </w:r>
          </w:p>
        </w:tc>
        <w:tc>
          <w:tcPr>
            <w:tcW w:w="1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4CD08A3">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超声波清洗线</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34DED43">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5</w:t>
            </w:r>
          </w:p>
        </w:tc>
        <w:tc>
          <w:tcPr>
            <w:tcW w:w="10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295024E">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rPr>
              <w:t>3</w:t>
            </w:r>
          </w:p>
        </w:tc>
        <w:tc>
          <w:tcPr>
            <w:tcW w:w="10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8E5A1A6">
            <w:pPr>
              <w:pStyle w:val="760"/>
              <w:jc w:val="center"/>
              <w:rPr>
                <w:rFonts w:hint="eastAsia" w:ascii="Arial" w:hAnsi="Arial" w:eastAsia="宋体" w:cs="Arial"/>
                <w:color w:val="000000"/>
                <w:sz w:val="21"/>
                <w:szCs w:val="21"/>
                <w:lang w:val="en-US" w:eastAsia="zh-CN"/>
              </w:rPr>
            </w:pPr>
            <w:r>
              <w:rPr>
                <w:rFonts w:hint="eastAsia" w:ascii="Arial" w:hAnsi="Arial" w:cs="Arial"/>
                <w:color w:val="000000"/>
                <w:sz w:val="21"/>
                <w:szCs w:val="21"/>
                <w:lang w:val="en-US" w:eastAsia="zh-CN"/>
              </w:rPr>
              <w:t>3</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566A13">
            <w:pPr>
              <w:pStyle w:val="760"/>
              <w:jc w:val="center"/>
              <w:rPr>
                <w:rFonts w:hint="default" w:ascii="Arial" w:hAnsi="Arial" w:eastAsia="宋体" w:cs="Arial"/>
                <w:kern w:val="0"/>
                <w:sz w:val="21"/>
                <w:szCs w:val="21"/>
                <w:lang w:val="en-US" w:eastAsia="zh-CN" w:bidi="ar-SA"/>
              </w:rPr>
            </w:pPr>
            <w:r>
              <w:rPr>
                <w:rFonts w:hint="default" w:ascii="Arial" w:hAnsi="Arial" w:eastAsia="宋体" w:cs="Arial"/>
                <w:sz w:val="21"/>
                <w:szCs w:val="21"/>
                <w:lang w:eastAsia="zh-CN"/>
              </w:rPr>
              <w:t>-2</w:t>
            </w:r>
          </w:p>
        </w:tc>
      </w:tr>
      <w:tr w14:paraId="4C16B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04DD1FD6">
            <w:pPr>
              <w:widowControl/>
              <w:contextualSpacing/>
              <w:jc w:val="center"/>
              <w:rPr>
                <w:rFonts w:hint="default" w:ascii="Arial" w:hAnsi="Arial" w:eastAsia="宋体" w:cs="Arial"/>
                <w:kern w:val="0"/>
                <w:szCs w:val="21"/>
              </w:rPr>
            </w:pPr>
            <w:r>
              <w:rPr>
                <w:rFonts w:hint="default" w:ascii="Arial" w:hAnsi="Arial" w:eastAsia="宋体" w:cs="Arial"/>
                <w:kern w:val="0"/>
                <w:szCs w:val="21"/>
              </w:rPr>
              <w:t>8</w:t>
            </w:r>
          </w:p>
        </w:tc>
        <w:tc>
          <w:tcPr>
            <w:tcW w:w="1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C25821E">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lang w:eastAsia="zh-CN"/>
              </w:rPr>
              <w:t>易普森可熔气氛多用炉</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357AC39">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lang w:eastAsia="zh-CN"/>
              </w:rPr>
              <w:t>1</w:t>
            </w:r>
          </w:p>
        </w:tc>
        <w:tc>
          <w:tcPr>
            <w:tcW w:w="10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8D8645">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lang w:eastAsia="zh-CN"/>
              </w:rPr>
              <w:t>1</w:t>
            </w:r>
          </w:p>
        </w:tc>
        <w:tc>
          <w:tcPr>
            <w:tcW w:w="10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0F3B16">
            <w:pPr>
              <w:pStyle w:val="760"/>
              <w:jc w:val="center"/>
              <w:rPr>
                <w:rFonts w:hint="default" w:ascii="Arial" w:hAnsi="Arial" w:eastAsia="宋体" w:cs="Arial"/>
                <w:color w:val="000000"/>
                <w:sz w:val="21"/>
                <w:szCs w:val="21"/>
                <w:lang w:val="en-US" w:eastAsia="zh-CN"/>
              </w:rPr>
            </w:pPr>
            <w:r>
              <w:rPr>
                <w:rFonts w:hint="eastAsia" w:ascii="Arial" w:hAnsi="Arial" w:cs="Arial"/>
                <w:color w:val="000000"/>
                <w:sz w:val="21"/>
                <w:szCs w:val="21"/>
                <w:lang w:val="en-US" w:eastAsia="zh-CN"/>
              </w:rPr>
              <w:t>1</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8CE67E4">
            <w:pPr>
              <w:pStyle w:val="760"/>
              <w:jc w:val="center"/>
              <w:rPr>
                <w:rFonts w:hint="default" w:ascii="Arial" w:hAnsi="Arial" w:eastAsia="宋体" w:cs="Arial"/>
                <w:kern w:val="0"/>
                <w:sz w:val="21"/>
                <w:szCs w:val="21"/>
                <w:lang w:val="en-US" w:eastAsia="zh-CN" w:bidi="ar-SA"/>
              </w:rPr>
            </w:pPr>
            <w:r>
              <w:rPr>
                <w:rFonts w:hint="default" w:ascii="Arial" w:hAnsi="Arial" w:eastAsia="宋体" w:cs="Arial"/>
                <w:sz w:val="21"/>
                <w:szCs w:val="21"/>
                <w:lang w:eastAsia="zh-CN"/>
              </w:rPr>
              <w:t>/</w:t>
            </w:r>
          </w:p>
        </w:tc>
      </w:tr>
      <w:tr w14:paraId="61F5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833" w:type="dxa"/>
            <w:tcBorders>
              <w:top w:val="single" w:color="auto" w:sz="4" w:space="0"/>
              <w:left w:val="single" w:color="auto" w:sz="4" w:space="0"/>
              <w:bottom w:val="single" w:color="auto" w:sz="4" w:space="0"/>
              <w:right w:val="single" w:color="auto" w:sz="4" w:space="0"/>
            </w:tcBorders>
            <w:noWrap w:val="0"/>
            <w:vAlign w:val="center"/>
          </w:tcPr>
          <w:p w14:paraId="68FDB9D4">
            <w:pPr>
              <w:widowControl/>
              <w:contextualSpacing/>
              <w:jc w:val="center"/>
              <w:rPr>
                <w:rFonts w:hint="default" w:ascii="Arial" w:hAnsi="Arial" w:eastAsia="宋体" w:cs="Arial"/>
                <w:kern w:val="0"/>
                <w:szCs w:val="21"/>
              </w:rPr>
            </w:pPr>
            <w:r>
              <w:rPr>
                <w:rFonts w:hint="default" w:ascii="Arial" w:hAnsi="Arial" w:eastAsia="宋体" w:cs="Arial"/>
                <w:kern w:val="0"/>
                <w:szCs w:val="21"/>
              </w:rPr>
              <w:t>9</w:t>
            </w:r>
          </w:p>
        </w:tc>
        <w:tc>
          <w:tcPr>
            <w:tcW w:w="176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54CCDDB">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lang w:eastAsia="zh-CN"/>
              </w:rPr>
              <w:t>高温回火炉</w:t>
            </w:r>
          </w:p>
        </w:tc>
        <w:tc>
          <w:tcPr>
            <w:tcW w:w="162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B46233">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lang w:eastAsia="zh-CN"/>
              </w:rPr>
              <w:t>1</w:t>
            </w:r>
          </w:p>
        </w:tc>
        <w:tc>
          <w:tcPr>
            <w:tcW w:w="107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A24D5D8">
            <w:pPr>
              <w:pStyle w:val="760"/>
              <w:jc w:val="center"/>
              <w:rPr>
                <w:rFonts w:hint="default" w:ascii="Arial" w:hAnsi="Arial" w:eastAsia="宋体" w:cs="Arial"/>
                <w:kern w:val="0"/>
                <w:sz w:val="21"/>
                <w:szCs w:val="21"/>
                <w:lang w:val="en-US" w:eastAsia="zh-CN" w:bidi="ar-SA"/>
              </w:rPr>
            </w:pPr>
            <w:r>
              <w:rPr>
                <w:rFonts w:hint="default" w:ascii="Arial" w:hAnsi="Arial" w:eastAsia="宋体" w:cs="Arial"/>
                <w:color w:val="000000"/>
                <w:sz w:val="21"/>
                <w:szCs w:val="21"/>
                <w:lang w:eastAsia="zh-CN"/>
              </w:rPr>
              <w:t>1</w:t>
            </w:r>
          </w:p>
        </w:tc>
        <w:tc>
          <w:tcPr>
            <w:tcW w:w="107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3CD194C">
            <w:pPr>
              <w:pStyle w:val="760"/>
              <w:jc w:val="center"/>
              <w:rPr>
                <w:rFonts w:hint="default" w:ascii="Arial" w:hAnsi="Arial" w:eastAsia="宋体" w:cs="Arial"/>
                <w:color w:val="000000"/>
                <w:sz w:val="21"/>
                <w:szCs w:val="21"/>
                <w:lang w:val="en-US" w:eastAsia="zh-CN"/>
              </w:rPr>
            </w:pPr>
            <w:r>
              <w:rPr>
                <w:rFonts w:hint="eastAsia" w:ascii="Arial" w:hAnsi="Arial" w:cs="Arial"/>
                <w:color w:val="000000"/>
                <w:sz w:val="21"/>
                <w:szCs w:val="21"/>
                <w:lang w:val="en-US" w:eastAsia="zh-CN"/>
              </w:rPr>
              <w:t>1</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5E507F">
            <w:pPr>
              <w:pStyle w:val="760"/>
              <w:jc w:val="center"/>
              <w:rPr>
                <w:rFonts w:hint="default" w:ascii="Arial" w:hAnsi="Arial" w:eastAsia="宋体" w:cs="Arial"/>
                <w:kern w:val="0"/>
                <w:sz w:val="21"/>
                <w:szCs w:val="21"/>
                <w:lang w:val="en-US" w:eastAsia="zh-CN" w:bidi="ar-SA"/>
              </w:rPr>
            </w:pPr>
            <w:r>
              <w:rPr>
                <w:rFonts w:hint="default" w:ascii="Arial" w:hAnsi="Arial" w:eastAsia="宋体" w:cs="Arial"/>
                <w:sz w:val="21"/>
                <w:szCs w:val="21"/>
                <w:lang w:eastAsia="zh-CN"/>
              </w:rPr>
              <w:t>/</w:t>
            </w:r>
          </w:p>
        </w:tc>
      </w:tr>
      <w:tr w14:paraId="7B994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84" w:hRule="atLeast"/>
          <w:jc w:val="center"/>
        </w:trPr>
        <w:tc>
          <w:tcPr>
            <w:tcW w:w="7938" w:type="dxa"/>
            <w:gridSpan w:val="6"/>
            <w:tcBorders>
              <w:top w:val="single" w:color="auto" w:sz="4" w:space="0"/>
              <w:left w:val="single" w:color="auto" w:sz="4" w:space="0"/>
              <w:bottom w:val="single" w:color="auto" w:sz="4" w:space="0"/>
              <w:right w:val="single" w:color="auto" w:sz="4" w:space="0"/>
            </w:tcBorders>
            <w:noWrap w:val="0"/>
            <w:vAlign w:val="center"/>
          </w:tcPr>
          <w:p w14:paraId="53D9ABE8">
            <w:pPr>
              <w:pStyle w:val="760"/>
              <w:rPr>
                <w:rFonts w:hint="default" w:ascii="Arial" w:hAnsi="Arial" w:eastAsia="宋体" w:cs="Arial"/>
                <w:bCs/>
                <w:spacing w:val="-5"/>
                <w:sz w:val="21"/>
                <w:szCs w:val="21"/>
                <w:lang w:eastAsia="zh-CN"/>
              </w:rPr>
            </w:pPr>
            <w:r>
              <w:rPr>
                <w:rFonts w:hint="default" w:ascii="Arial" w:hAnsi="Arial" w:eastAsia="宋体" w:cs="Arial"/>
                <w:bCs/>
                <w:spacing w:val="-5"/>
                <w:sz w:val="21"/>
                <w:szCs w:val="21"/>
                <w:lang w:eastAsia="zh-CN"/>
              </w:rPr>
              <w:t>说明：①目前项目未上线旋锻工艺，未安装旋锻机。</w:t>
            </w:r>
          </w:p>
          <w:p w14:paraId="07DB01C2">
            <w:pPr>
              <w:pStyle w:val="760"/>
              <w:jc w:val="both"/>
              <w:rPr>
                <w:rFonts w:hint="default" w:ascii="Arial" w:hAnsi="Arial" w:eastAsia="宋体" w:cs="Arial"/>
                <w:bCs/>
                <w:spacing w:val="-6"/>
                <w:sz w:val="21"/>
                <w:szCs w:val="21"/>
                <w:lang w:eastAsia="zh-CN"/>
              </w:rPr>
            </w:pPr>
            <w:r>
              <w:rPr>
                <w:rFonts w:hint="default" w:ascii="Arial" w:hAnsi="Arial" w:eastAsia="宋体" w:cs="Arial"/>
                <w:bCs/>
                <w:spacing w:val="-5"/>
                <w:sz w:val="21"/>
                <w:szCs w:val="21"/>
                <w:lang w:eastAsia="zh-CN"/>
              </w:rPr>
              <w:t>②</w:t>
            </w:r>
            <w:r>
              <w:rPr>
                <w:rFonts w:hint="default" w:ascii="Arial" w:hAnsi="Arial" w:eastAsia="宋体" w:cs="Arial"/>
                <w:bCs/>
                <w:spacing w:val="-6"/>
                <w:sz w:val="21"/>
                <w:szCs w:val="21"/>
                <w:lang w:eastAsia="zh-CN"/>
              </w:rPr>
              <w:t>由于</w:t>
            </w:r>
            <w:r>
              <w:rPr>
                <w:rFonts w:hint="eastAsia" w:ascii="Arial" w:hAnsi="Arial" w:cs="Arial"/>
                <w:bCs/>
                <w:spacing w:val="-6"/>
                <w:sz w:val="21"/>
                <w:szCs w:val="21"/>
                <w:lang w:val="en-US" w:eastAsia="zh-CN"/>
              </w:rPr>
              <w:t>目前市场对工件加工精度有更高的技术要求</w:t>
            </w:r>
            <w:r>
              <w:rPr>
                <w:rFonts w:hint="default" w:ascii="Arial" w:hAnsi="Arial" w:eastAsia="宋体" w:cs="Arial"/>
                <w:bCs/>
                <w:spacing w:val="-6"/>
                <w:sz w:val="21"/>
                <w:szCs w:val="21"/>
                <w:lang w:eastAsia="zh-CN"/>
              </w:rPr>
              <w:t>，</w:t>
            </w:r>
            <w:r>
              <w:rPr>
                <w:rFonts w:hint="eastAsia" w:ascii="Arial" w:hAnsi="Arial" w:cs="Arial"/>
                <w:bCs/>
                <w:spacing w:val="-6"/>
                <w:sz w:val="21"/>
                <w:szCs w:val="21"/>
                <w:lang w:val="en-US" w:eastAsia="zh-CN"/>
              </w:rPr>
              <w:t>机加工工序整体工作</w:t>
            </w:r>
            <w:r>
              <w:rPr>
                <w:rFonts w:hint="default" w:ascii="Arial" w:hAnsi="Arial" w:eastAsia="宋体" w:cs="Arial"/>
                <w:bCs/>
                <w:spacing w:val="-6"/>
                <w:sz w:val="21"/>
                <w:szCs w:val="21"/>
                <w:lang w:eastAsia="zh-CN"/>
              </w:rPr>
              <w:t>节拍</w:t>
            </w:r>
            <w:r>
              <w:rPr>
                <w:rFonts w:hint="eastAsia" w:ascii="Arial" w:hAnsi="Arial" w:cs="Arial"/>
                <w:bCs/>
                <w:spacing w:val="-6"/>
                <w:sz w:val="21"/>
                <w:szCs w:val="21"/>
                <w:lang w:val="en-US" w:eastAsia="zh-CN"/>
              </w:rPr>
              <w:t>由120增加至160s</w:t>
            </w:r>
            <w:r>
              <w:rPr>
                <w:rFonts w:hint="default" w:ascii="Arial" w:hAnsi="Arial" w:eastAsia="宋体" w:cs="Arial"/>
                <w:bCs/>
                <w:spacing w:val="-6"/>
                <w:sz w:val="21"/>
                <w:szCs w:val="21"/>
                <w:lang w:eastAsia="zh-CN"/>
              </w:rPr>
              <w:t>，故</w:t>
            </w:r>
            <w:r>
              <w:rPr>
                <w:rFonts w:hint="eastAsia" w:ascii="Arial" w:hAnsi="Arial" w:cs="Arial"/>
                <w:bCs/>
                <w:spacing w:val="-6"/>
                <w:sz w:val="21"/>
                <w:szCs w:val="21"/>
                <w:lang w:val="en-US" w:eastAsia="zh-CN"/>
              </w:rPr>
              <w:t>加工中心、数控机床、高精度磨床、车铣复合中心现场实际设备数量相较验收增加，产能与验收产能相符</w:t>
            </w:r>
            <w:r>
              <w:rPr>
                <w:rFonts w:hint="default" w:ascii="Arial" w:hAnsi="Arial" w:eastAsia="宋体" w:cs="Arial"/>
                <w:bCs/>
                <w:spacing w:val="-6"/>
                <w:sz w:val="21"/>
                <w:szCs w:val="21"/>
                <w:lang w:eastAsia="zh-CN"/>
              </w:rPr>
              <w:t>。</w:t>
            </w:r>
          </w:p>
          <w:p w14:paraId="71A1967F">
            <w:pPr>
              <w:pStyle w:val="760"/>
              <w:jc w:val="both"/>
              <w:rPr>
                <w:rFonts w:hint="default" w:ascii="Arial" w:hAnsi="Arial" w:eastAsia="宋体" w:cs="Arial"/>
                <w:bCs/>
                <w:spacing w:val="-6"/>
                <w:sz w:val="21"/>
                <w:szCs w:val="21"/>
                <w:lang w:val="en-US" w:eastAsia="zh-CN"/>
              </w:rPr>
            </w:pPr>
            <w:r>
              <w:rPr>
                <w:rFonts w:hint="eastAsia" w:ascii="Arial" w:hAnsi="Arial" w:cs="Arial"/>
                <w:bCs/>
                <w:spacing w:val="-6"/>
                <w:sz w:val="21"/>
                <w:szCs w:val="21"/>
                <w:lang w:val="en-US" w:eastAsia="zh-CN"/>
              </w:rPr>
              <w:t>③目前生产工艺不涉及焊接，对焊机数量进行核减。</w:t>
            </w:r>
          </w:p>
        </w:tc>
      </w:tr>
    </w:tbl>
    <w:p w14:paraId="58BC9ABC">
      <w:pPr>
        <w:pStyle w:val="76"/>
        <w:numPr>
          <w:ilvl w:val="2"/>
          <w:numId w:val="4"/>
        </w:numPr>
        <w:spacing w:line="360" w:lineRule="auto"/>
        <w:ind w:left="568" w:hanging="284" w:firstLineChars="0"/>
        <w:outlineLvl w:val="2"/>
        <w:rPr>
          <w:rFonts w:hint="default" w:ascii="Arial" w:hAnsi="Arial" w:eastAsia="宋体" w:cs="Arial"/>
          <w:b/>
          <w:bCs/>
          <w:sz w:val="24"/>
          <w:szCs w:val="24"/>
        </w:rPr>
      </w:pPr>
      <w:r>
        <w:rPr>
          <w:rFonts w:hint="default" w:ascii="Arial" w:hAnsi="Arial" w:eastAsia="宋体" w:cs="Arial"/>
          <w:b/>
          <w:bCs/>
          <w:sz w:val="24"/>
          <w:szCs w:val="24"/>
        </w:rPr>
        <w:t>现有工程已建项目主要原辅材料</w:t>
      </w:r>
    </w:p>
    <w:p w14:paraId="4532C5C8">
      <w:pPr>
        <w:pStyle w:val="76"/>
        <w:spacing w:line="360" w:lineRule="auto"/>
        <w:ind w:left="105" w:leftChars="50" w:right="105" w:rightChars="50" w:firstLine="480"/>
        <w:rPr>
          <w:rFonts w:hint="default" w:ascii="Arial" w:hAnsi="Arial" w:eastAsia="宋体" w:cs="Arial"/>
          <w:sz w:val="24"/>
          <w:szCs w:val="24"/>
        </w:rPr>
      </w:pPr>
      <w:r>
        <w:rPr>
          <w:rFonts w:hint="default" w:ascii="Arial" w:hAnsi="Arial" w:eastAsia="宋体" w:cs="Arial"/>
          <w:sz w:val="24"/>
          <w:szCs w:val="24"/>
        </w:rPr>
        <w:t>企业现有工程已建</w:t>
      </w:r>
      <w:r>
        <w:rPr>
          <w:rFonts w:hint="default" w:ascii="Arial" w:hAnsi="Arial" w:eastAsia="宋体" w:cs="Arial"/>
          <w:sz w:val="24"/>
          <w:szCs w:val="24"/>
          <w:lang w:val="en-US" w:eastAsia="zh-CN"/>
        </w:rPr>
        <w:t>项目</w:t>
      </w:r>
      <w:r>
        <w:rPr>
          <w:rFonts w:hint="default" w:ascii="Arial" w:hAnsi="Arial" w:eastAsia="宋体" w:cs="Arial"/>
          <w:sz w:val="24"/>
          <w:szCs w:val="24"/>
        </w:rPr>
        <w:t>主要原辅材料消耗情况（202</w:t>
      </w:r>
      <w:r>
        <w:rPr>
          <w:rFonts w:hint="default" w:ascii="Arial" w:hAnsi="Arial" w:eastAsia="宋体" w:cs="Arial"/>
          <w:sz w:val="24"/>
          <w:szCs w:val="24"/>
          <w:lang w:val="en-US" w:eastAsia="zh-CN"/>
        </w:rPr>
        <w:t>4</w:t>
      </w:r>
      <w:r>
        <w:rPr>
          <w:rFonts w:hint="default" w:ascii="Arial" w:hAnsi="Arial" w:eastAsia="宋体" w:cs="Arial"/>
          <w:sz w:val="24"/>
          <w:szCs w:val="24"/>
        </w:rPr>
        <w:t>年度）见表2-1</w:t>
      </w:r>
      <w:r>
        <w:rPr>
          <w:rFonts w:hint="eastAsia" w:ascii="Arial" w:hAnsi="Arial" w:eastAsia="宋体" w:cs="Arial"/>
          <w:sz w:val="24"/>
          <w:szCs w:val="24"/>
          <w:lang w:val="en-US" w:eastAsia="zh-CN"/>
        </w:rPr>
        <w:t>3</w:t>
      </w:r>
      <w:r>
        <w:rPr>
          <w:rFonts w:hint="default" w:ascii="Arial" w:hAnsi="Arial" w:eastAsia="宋体" w:cs="Arial"/>
          <w:sz w:val="24"/>
          <w:szCs w:val="24"/>
        </w:rPr>
        <w:t>。</w:t>
      </w:r>
    </w:p>
    <w:p w14:paraId="61701956">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企业现有工程已建项目主要原辅材料消耗情况（202</w:t>
      </w:r>
      <w:r>
        <w:rPr>
          <w:rFonts w:hint="default" w:ascii="Arial" w:hAnsi="Arial" w:eastAsia="宋体" w:cs="Arial"/>
          <w:b/>
          <w:bCs/>
          <w:sz w:val="24"/>
          <w:szCs w:val="24"/>
          <w:lang w:val="en-US" w:eastAsia="zh-CN"/>
        </w:rPr>
        <w:t>4</w:t>
      </w:r>
      <w:r>
        <w:rPr>
          <w:rFonts w:hint="default" w:ascii="Arial" w:hAnsi="Arial" w:eastAsia="宋体" w:cs="Arial"/>
          <w:b/>
          <w:bCs/>
          <w:sz w:val="24"/>
          <w:szCs w:val="24"/>
        </w:rPr>
        <w:t>年度）</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14"/>
        <w:gridCol w:w="1852"/>
        <w:gridCol w:w="1799"/>
        <w:gridCol w:w="1624"/>
        <w:gridCol w:w="2048"/>
      </w:tblGrid>
      <w:tr w14:paraId="11D1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4" w:hRule="atLeast"/>
          <w:tblHeader/>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56B4BEAF">
            <w:pPr>
              <w:widowControl/>
              <w:contextualSpacing/>
              <w:jc w:val="center"/>
              <w:rPr>
                <w:rFonts w:hint="default" w:ascii="Arial" w:hAnsi="Arial" w:eastAsia="宋体" w:cs="Arial"/>
                <w:kern w:val="0"/>
                <w:szCs w:val="21"/>
              </w:rPr>
            </w:pPr>
            <w:bookmarkStart w:id="5" w:name="_Hlk119494798"/>
            <w:r>
              <w:rPr>
                <w:rFonts w:hint="default" w:ascii="Arial" w:hAnsi="Arial" w:eastAsia="宋体" w:cs="Arial"/>
                <w:kern w:val="0"/>
                <w:szCs w:val="21"/>
              </w:rPr>
              <w:t>序号</w:t>
            </w:r>
            <w:bookmarkEnd w:id="5"/>
          </w:p>
        </w:tc>
        <w:tc>
          <w:tcPr>
            <w:tcW w:w="1167" w:type="pct"/>
            <w:tcBorders>
              <w:top w:val="single" w:color="auto" w:sz="4" w:space="0"/>
              <w:left w:val="single" w:color="auto" w:sz="4" w:space="0"/>
              <w:bottom w:val="single" w:color="auto" w:sz="4" w:space="0"/>
              <w:right w:val="single" w:color="auto" w:sz="4" w:space="0"/>
            </w:tcBorders>
            <w:noWrap w:val="0"/>
            <w:vAlign w:val="center"/>
          </w:tcPr>
          <w:p w14:paraId="1507DE10">
            <w:pPr>
              <w:widowControl/>
              <w:contextualSpacing/>
              <w:jc w:val="center"/>
              <w:rPr>
                <w:rFonts w:hint="default" w:ascii="Arial" w:hAnsi="Arial" w:eastAsia="宋体" w:cs="Arial"/>
                <w:kern w:val="0"/>
                <w:szCs w:val="21"/>
              </w:rPr>
            </w:pPr>
            <w:r>
              <w:rPr>
                <w:rFonts w:hint="default" w:ascii="Arial" w:hAnsi="Arial" w:eastAsia="宋体" w:cs="Arial"/>
                <w:kern w:val="0"/>
                <w:szCs w:val="21"/>
              </w:rPr>
              <w:t>名称</w:t>
            </w:r>
          </w:p>
        </w:tc>
        <w:tc>
          <w:tcPr>
            <w:tcW w:w="1133" w:type="pct"/>
            <w:tcBorders>
              <w:top w:val="single" w:color="auto" w:sz="4" w:space="0"/>
              <w:left w:val="single" w:color="auto" w:sz="4" w:space="0"/>
              <w:bottom w:val="single" w:color="auto" w:sz="4" w:space="0"/>
              <w:right w:val="single" w:color="auto" w:sz="4" w:space="0"/>
            </w:tcBorders>
            <w:noWrap w:val="0"/>
            <w:vAlign w:val="center"/>
          </w:tcPr>
          <w:p w14:paraId="32681642">
            <w:pPr>
              <w:widowControl/>
              <w:contextualSpacing/>
              <w:jc w:val="center"/>
              <w:rPr>
                <w:rFonts w:hint="default" w:ascii="Arial" w:hAnsi="Arial" w:eastAsia="宋体" w:cs="Arial"/>
                <w:kern w:val="0"/>
                <w:szCs w:val="21"/>
                <w:lang w:eastAsia="zh-CN"/>
              </w:rPr>
            </w:pPr>
            <w:r>
              <w:rPr>
                <w:rFonts w:hint="default" w:ascii="Arial" w:hAnsi="Arial" w:eastAsia="宋体" w:cs="Arial"/>
                <w:kern w:val="0"/>
                <w:szCs w:val="21"/>
              </w:rPr>
              <w:t>环评核定数量</w:t>
            </w:r>
            <w:r>
              <w:rPr>
                <w:rFonts w:hint="default" w:ascii="Arial" w:hAnsi="Arial" w:eastAsia="宋体" w:cs="Arial"/>
                <w:kern w:val="0"/>
                <w:szCs w:val="21"/>
                <w:lang w:eastAsia="zh-CN"/>
              </w:rPr>
              <w:t>（</w:t>
            </w:r>
            <w:r>
              <w:rPr>
                <w:rFonts w:hint="default" w:ascii="Arial" w:hAnsi="Arial" w:eastAsia="宋体" w:cs="Arial"/>
                <w:kern w:val="0"/>
                <w:szCs w:val="21"/>
                <w:lang w:val="en-US" w:eastAsia="zh-CN"/>
              </w:rPr>
              <w:t>吨</w:t>
            </w:r>
            <w:r>
              <w:rPr>
                <w:rFonts w:hint="default" w:ascii="Arial" w:hAnsi="Arial" w:eastAsia="宋体" w:cs="Arial"/>
                <w:kern w:val="0"/>
                <w:szCs w:val="21"/>
                <w:lang w:eastAsia="zh-CN"/>
              </w:rPr>
              <w:t>）</w:t>
            </w:r>
          </w:p>
        </w:tc>
        <w:tc>
          <w:tcPr>
            <w:tcW w:w="1023" w:type="pct"/>
            <w:tcBorders>
              <w:top w:val="single" w:color="auto" w:sz="4" w:space="0"/>
              <w:left w:val="single" w:color="auto" w:sz="4" w:space="0"/>
              <w:bottom w:val="single" w:color="auto" w:sz="4" w:space="0"/>
              <w:right w:val="single" w:color="auto" w:sz="4" w:space="0"/>
            </w:tcBorders>
            <w:noWrap w:val="0"/>
            <w:vAlign w:val="center"/>
          </w:tcPr>
          <w:p w14:paraId="196179C7">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已验收数量（吨）</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78412346">
            <w:pPr>
              <w:widowControl/>
              <w:contextualSpacing/>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lang w:val="en-US" w:eastAsia="zh-CN"/>
                <w14:textFill>
                  <w14:solidFill>
                    <w14:schemeClr w14:val="tx1"/>
                  </w14:solidFill>
                </w14:textFill>
              </w:rPr>
              <w:t>2024年</w:t>
            </w:r>
            <w:r>
              <w:rPr>
                <w:rFonts w:hint="default" w:ascii="Arial" w:hAnsi="Arial" w:eastAsia="宋体" w:cs="Arial"/>
                <w:color w:val="000000" w:themeColor="text1"/>
                <w:kern w:val="0"/>
                <w:szCs w:val="21"/>
                <w14:textFill>
                  <w14:solidFill>
                    <w14:schemeClr w14:val="tx1"/>
                  </w14:solidFill>
                </w14:textFill>
              </w:rPr>
              <w:t>实际用量</w:t>
            </w:r>
            <w:r>
              <w:rPr>
                <w:rFonts w:hint="default" w:ascii="Arial" w:hAnsi="Arial" w:eastAsia="宋体" w:cs="Arial"/>
                <w:color w:val="000000" w:themeColor="text1"/>
                <w:kern w:val="0"/>
                <w:szCs w:val="21"/>
                <w:lang w:eastAsia="zh-CN"/>
                <w14:textFill>
                  <w14:solidFill>
                    <w14:schemeClr w14:val="tx1"/>
                  </w14:solidFill>
                </w14:textFill>
              </w:rPr>
              <w:t>（</w:t>
            </w:r>
            <w:r>
              <w:rPr>
                <w:rFonts w:hint="default" w:ascii="Arial" w:hAnsi="Arial" w:eastAsia="宋体" w:cs="Arial"/>
                <w:color w:val="000000" w:themeColor="text1"/>
                <w:kern w:val="0"/>
                <w:szCs w:val="21"/>
                <w:lang w:val="en-US" w:eastAsia="zh-CN"/>
                <w14:textFill>
                  <w14:solidFill>
                    <w14:schemeClr w14:val="tx1"/>
                  </w14:solidFill>
                </w14:textFill>
              </w:rPr>
              <w:t>吨</w:t>
            </w:r>
            <w:r>
              <w:rPr>
                <w:rFonts w:hint="default" w:ascii="Arial" w:hAnsi="Arial" w:eastAsia="宋体" w:cs="Arial"/>
                <w:color w:val="000000" w:themeColor="text1"/>
                <w:kern w:val="0"/>
                <w:szCs w:val="21"/>
                <w:lang w:eastAsia="zh-CN"/>
                <w14:textFill>
                  <w14:solidFill>
                    <w14:schemeClr w14:val="tx1"/>
                  </w14:solidFill>
                </w14:textFill>
              </w:rPr>
              <w:t>）</w:t>
            </w:r>
          </w:p>
        </w:tc>
      </w:tr>
      <w:tr w14:paraId="2EB1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075932E0">
            <w:pPr>
              <w:widowControl/>
              <w:contextualSpacing/>
              <w:jc w:val="center"/>
              <w:rPr>
                <w:rFonts w:hint="default" w:ascii="Arial" w:hAnsi="Arial" w:eastAsia="宋体" w:cs="Arial"/>
                <w:kern w:val="0"/>
                <w:szCs w:val="21"/>
              </w:rPr>
            </w:pPr>
            <w:r>
              <w:rPr>
                <w:rFonts w:hint="default" w:ascii="Arial" w:hAnsi="Arial" w:eastAsia="宋体" w:cs="Arial"/>
                <w:kern w:val="0"/>
                <w:szCs w:val="21"/>
              </w:rPr>
              <w:t>1</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D8D6B2">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 w:val="21"/>
                <w:szCs w:val="21"/>
                <w:lang w:eastAsia="zh-CN"/>
              </w:rPr>
              <w:t>45＃碳钢</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9F8EEA9">
            <w:pPr>
              <w:widowControl/>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 w:val="21"/>
                <w:szCs w:val="21"/>
                <w:lang w:eastAsia="zh-CN"/>
              </w:rPr>
              <w:t>21000</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9C70044">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 w:val="21"/>
                <w:szCs w:val="21"/>
                <w:lang w:eastAsia="zh-CN"/>
              </w:rPr>
              <w:t>20000</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4FE8F008">
            <w:pPr>
              <w:widowControl/>
              <w:contextualSpacing/>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w:t>
            </w:r>
          </w:p>
        </w:tc>
      </w:tr>
      <w:tr w14:paraId="1439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5A4B6B92">
            <w:pPr>
              <w:widowControl/>
              <w:contextualSpacing/>
              <w:jc w:val="center"/>
              <w:rPr>
                <w:rFonts w:hint="default" w:ascii="Arial" w:hAnsi="Arial" w:eastAsia="宋体" w:cs="Arial"/>
                <w:kern w:val="0"/>
                <w:szCs w:val="21"/>
              </w:rPr>
            </w:pPr>
            <w:r>
              <w:rPr>
                <w:rFonts w:hint="default" w:ascii="Arial" w:hAnsi="Arial" w:eastAsia="宋体" w:cs="Arial"/>
                <w:kern w:val="0"/>
                <w:szCs w:val="21"/>
              </w:rPr>
              <w:t>2</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BFA6F27">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 w:val="21"/>
                <w:szCs w:val="21"/>
                <w:lang w:eastAsia="zh-CN"/>
              </w:rPr>
              <w:t>40＃铬钢</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A57EC1E">
            <w:pPr>
              <w:widowControl/>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 w:val="21"/>
                <w:szCs w:val="21"/>
                <w:lang w:eastAsia="zh-CN"/>
              </w:rPr>
              <w:t>3000</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65C767A">
            <w:pPr>
              <w:snapToGrid w:val="0"/>
              <w:jc w:val="center"/>
              <w:rPr>
                <w:rFonts w:hint="default" w:ascii="Arial" w:hAnsi="Arial" w:eastAsia="宋体" w:cs="Arial"/>
                <w:color w:val="000000"/>
                <w:kern w:val="2"/>
                <w:sz w:val="21"/>
                <w:szCs w:val="21"/>
                <w:lang w:val="en-US" w:eastAsia="zh-CN" w:bidi="ar-SA"/>
              </w:rPr>
            </w:pPr>
            <w:r>
              <w:rPr>
                <w:rFonts w:hint="default" w:ascii="Arial" w:hAnsi="Arial" w:eastAsia="宋体" w:cs="Arial"/>
                <w:color w:val="000000"/>
                <w:sz w:val="21"/>
                <w:szCs w:val="21"/>
                <w:lang w:eastAsia="zh-CN"/>
              </w:rPr>
              <w:t>0</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550CAFB1">
            <w:pPr>
              <w:widowControl/>
              <w:contextualSpacing/>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w:t>
            </w:r>
          </w:p>
        </w:tc>
      </w:tr>
      <w:tr w14:paraId="6B9B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23B160A6">
            <w:pPr>
              <w:widowControl/>
              <w:contextualSpacing/>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3</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C3B433">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合金钢材料</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76F6F5E">
            <w:pPr>
              <w:widowControl/>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5000</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2A1920">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0</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01CE77F2">
            <w:pPr>
              <w:widowControl/>
              <w:contextualSpacing/>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800</w:t>
            </w:r>
          </w:p>
        </w:tc>
      </w:tr>
      <w:tr w14:paraId="1181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40FAE67C">
            <w:pPr>
              <w:widowControl/>
              <w:contextualSpacing/>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4</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4AD12F">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标准件及配套件</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5201AFC">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1500</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BBF5597">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1400</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73E4E344">
            <w:pPr>
              <w:widowControl/>
              <w:contextualSpacing/>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w:t>
            </w:r>
          </w:p>
        </w:tc>
      </w:tr>
      <w:tr w14:paraId="6076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572DDAF8">
            <w:pPr>
              <w:widowControl/>
              <w:contextualSpacing/>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5</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E84E4F7">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清洗剂</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D306FB5">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10</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D633642">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6</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6B732776">
            <w:pPr>
              <w:widowControl/>
              <w:contextualSpacing/>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5.8</w:t>
            </w:r>
          </w:p>
        </w:tc>
      </w:tr>
      <w:tr w14:paraId="7549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24118DEA">
            <w:pPr>
              <w:widowControl/>
              <w:contextualSpacing/>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6</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E21300">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防锈剂</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E8B86DF">
            <w:pPr>
              <w:snapToGrid w:val="0"/>
              <w:jc w:val="center"/>
              <w:outlineLvl w:val="0"/>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10</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5686E51">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6</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1BE11414">
            <w:pPr>
              <w:widowControl/>
              <w:contextualSpacing/>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5.5</w:t>
            </w:r>
          </w:p>
        </w:tc>
      </w:tr>
      <w:tr w14:paraId="693C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798F53F4">
            <w:pPr>
              <w:widowControl/>
              <w:contextualSpacing/>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7</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832D151">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防锈油</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78B3520">
            <w:pPr>
              <w:snapToGrid w:val="0"/>
              <w:jc w:val="center"/>
              <w:outlineLvl w:val="0"/>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10</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1F0E6C">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6</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2F92BCD1">
            <w:pPr>
              <w:widowControl/>
              <w:contextualSpacing/>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5.5</w:t>
            </w:r>
          </w:p>
        </w:tc>
      </w:tr>
      <w:tr w14:paraId="5751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21EEA5B5">
            <w:pPr>
              <w:widowControl/>
              <w:contextualSpacing/>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8</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B79AA4D">
            <w:pPr>
              <w:snapToGrid w:val="0"/>
              <w:jc w:val="center"/>
              <w:outlineLvl w:val="0"/>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淬火</w:t>
            </w:r>
            <w:r>
              <w:rPr>
                <w:rFonts w:hint="eastAsia" w:ascii="Arial" w:hAnsi="Arial" w:eastAsia="宋体" w:cs="Arial"/>
                <w:color w:val="000000" w:themeColor="text1"/>
                <w:sz w:val="21"/>
                <w:szCs w:val="21"/>
                <w:lang w:val="en-US" w:eastAsia="zh-CN"/>
                <w14:textFill>
                  <w14:solidFill>
                    <w14:schemeClr w14:val="tx1"/>
                  </w14:solidFill>
                </w14:textFill>
              </w:rPr>
              <w:t>油</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C632287">
            <w:pPr>
              <w:snapToGrid w:val="0"/>
              <w:jc w:val="center"/>
              <w:outlineLvl w:val="0"/>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8000L</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804BF4">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2000L</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7432579B">
            <w:pPr>
              <w:widowControl/>
              <w:contextualSpacing/>
              <w:jc w:val="center"/>
              <w:rPr>
                <w:rFonts w:hint="default" w:ascii="Arial" w:hAnsi="Arial" w:eastAsia="宋体" w:cs="Arial"/>
                <w:color w:val="000000" w:themeColor="text1"/>
                <w:szCs w:val="21"/>
                <w:lang w:val="en-US"/>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1100L</w:t>
            </w:r>
          </w:p>
        </w:tc>
      </w:tr>
      <w:tr w14:paraId="43DF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42F36CCA">
            <w:pPr>
              <w:widowControl/>
              <w:contextualSpacing/>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9</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BEBFEF5">
            <w:pPr>
              <w:snapToGrid w:val="0"/>
              <w:jc w:val="center"/>
              <w:outlineLvl w:val="0"/>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丙烷</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E6BD374">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8</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4B8B3AD">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0</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7B73C976">
            <w:pPr>
              <w:widowControl/>
              <w:contextualSpacing/>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w:t>
            </w:r>
          </w:p>
        </w:tc>
      </w:tr>
      <w:tr w14:paraId="12220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4" w:hRule="atLeast"/>
          <w:jc w:val="center"/>
        </w:trPr>
        <w:tc>
          <w:tcPr>
            <w:tcW w:w="387" w:type="pct"/>
            <w:tcBorders>
              <w:top w:val="single" w:color="auto" w:sz="4" w:space="0"/>
              <w:left w:val="single" w:color="auto" w:sz="4" w:space="0"/>
              <w:bottom w:val="single" w:color="auto" w:sz="4" w:space="0"/>
              <w:right w:val="single" w:color="auto" w:sz="4" w:space="0"/>
            </w:tcBorders>
            <w:noWrap w:val="0"/>
            <w:vAlign w:val="center"/>
          </w:tcPr>
          <w:p w14:paraId="4066069A">
            <w:pPr>
              <w:widowControl/>
              <w:contextualSpacing/>
              <w:jc w:val="center"/>
              <w:rPr>
                <w:rFonts w:hint="default" w:ascii="Arial" w:hAnsi="Arial" w:eastAsia="宋体" w:cs="Arial"/>
                <w:color w:val="000000" w:themeColor="text1"/>
                <w:kern w:val="0"/>
                <w:szCs w:val="21"/>
                <w14:textFill>
                  <w14:solidFill>
                    <w14:schemeClr w14:val="tx1"/>
                  </w14:solidFill>
                </w14:textFill>
              </w:rPr>
            </w:pPr>
            <w:r>
              <w:rPr>
                <w:rFonts w:hint="default" w:ascii="Arial" w:hAnsi="Arial" w:eastAsia="宋体" w:cs="Arial"/>
                <w:color w:val="000000" w:themeColor="text1"/>
                <w:kern w:val="0"/>
                <w:szCs w:val="21"/>
                <w14:textFill>
                  <w14:solidFill>
                    <w14:schemeClr w14:val="tx1"/>
                  </w14:solidFill>
                </w14:textFill>
              </w:rPr>
              <w:t>10</w:t>
            </w:r>
          </w:p>
        </w:tc>
        <w:tc>
          <w:tcPr>
            <w:tcW w:w="1167"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DB65B7D">
            <w:pPr>
              <w:snapToGrid w:val="0"/>
              <w:jc w:val="center"/>
              <w:outlineLvl w:val="0"/>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甲醇</w:t>
            </w:r>
          </w:p>
        </w:tc>
        <w:tc>
          <w:tcPr>
            <w:tcW w:w="113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F0F0105">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20</w:t>
            </w:r>
          </w:p>
        </w:tc>
        <w:tc>
          <w:tcPr>
            <w:tcW w:w="1023"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8B1AC6F">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 w:val="21"/>
                <w:szCs w:val="21"/>
                <w:lang w:eastAsia="zh-CN"/>
                <w14:textFill>
                  <w14:solidFill>
                    <w14:schemeClr w14:val="tx1"/>
                  </w14:solidFill>
                </w14:textFill>
              </w:rPr>
              <w:t>0</w:t>
            </w:r>
          </w:p>
        </w:tc>
        <w:tc>
          <w:tcPr>
            <w:tcW w:w="1287" w:type="pct"/>
            <w:tcBorders>
              <w:top w:val="single" w:color="auto" w:sz="4" w:space="0"/>
              <w:left w:val="single" w:color="auto" w:sz="4" w:space="0"/>
              <w:bottom w:val="single" w:color="auto" w:sz="4" w:space="0"/>
              <w:right w:val="single" w:color="auto" w:sz="4" w:space="0"/>
            </w:tcBorders>
            <w:noWrap w:val="0"/>
            <w:vAlign w:val="center"/>
          </w:tcPr>
          <w:p w14:paraId="36616BB7">
            <w:pPr>
              <w:widowControl/>
              <w:contextualSpacing/>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0</w:t>
            </w:r>
          </w:p>
        </w:tc>
      </w:tr>
      <w:tr w14:paraId="3725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284"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center"/>
          </w:tcPr>
          <w:p w14:paraId="7242F815">
            <w:pPr>
              <w:jc w:val="left"/>
              <w:rPr>
                <w:rFonts w:hint="default" w:ascii="Arial" w:hAnsi="Arial" w:eastAsia="宋体" w:cs="Arial"/>
                <w:bCs/>
                <w:color w:val="000000" w:themeColor="text1"/>
                <w:spacing w:val="-5"/>
                <w:sz w:val="21"/>
                <w:szCs w:val="21"/>
                <w:lang w:eastAsia="zh-CN"/>
                <w14:textFill>
                  <w14:solidFill>
                    <w14:schemeClr w14:val="tx1"/>
                  </w14:solidFill>
                </w14:textFill>
              </w:rPr>
            </w:pPr>
            <w:r>
              <w:rPr>
                <w:rFonts w:hint="default" w:ascii="Arial" w:hAnsi="Arial" w:eastAsia="宋体" w:cs="Arial"/>
                <w:bCs/>
                <w:color w:val="000000" w:themeColor="text1"/>
                <w:spacing w:val="-5"/>
                <w:sz w:val="21"/>
                <w:szCs w:val="21"/>
                <w:lang w:eastAsia="zh-CN"/>
                <w14:textFill>
                  <w14:solidFill>
                    <w14:schemeClr w14:val="tx1"/>
                  </w14:solidFill>
                </w14:textFill>
              </w:rPr>
              <w:t>说明：</w:t>
            </w:r>
          </w:p>
          <w:p w14:paraId="1D7FFEE2">
            <w:pPr>
              <w:widowControl/>
              <w:contextualSpacing/>
              <w:jc w:val="left"/>
              <w:rPr>
                <w:rFonts w:hint="default" w:ascii="Arial" w:hAnsi="Arial" w:eastAsia="宋体" w:cs="Arial"/>
                <w:bCs/>
                <w:color w:val="000000" w:themeColor="text1"/>
                <w:spacing w:val="-5"/>
                <w:sz w:val="21"/>
                <w:szCs w:val="21"/>
                <w:lang w:eastAsia="zh-CN"/>
                <w14:textFill>
                  <w14:solidFill>
                    <w14:schemeClr w14:val="tx1"/>
                  </w14:solidFill>
                </w14:textFill>
              </w:rPr>
            </w:pPr>
            <w:r>
              <w:rPr>
                <w:rFonts w:hint="default" w:ascii="Arial" w:hAnsi="Arial" w:eastAsia="宋体" w:cs="Arial"/>
                <w:bCs/>
                <w:color w:val="000000" w:themeColor="text1"/>
                <w:spacing w:val="-5"/>
                <w:sz w:val="21"/>
                <w:szCs w:val="21"/>
                <w:lang w:val="en-US" w:eastAsia="zh-CN"/>
                <w14:textFill>
                  <w14:solidFill>
                    <w14:schemeClr w14:val="tx1"/>
                  </w14:solidFill>
                </w14:textFill>
              </w:rPr>
              <w:t>①</w:t>
            </w:r>
            <w:r>
              <w:rPr>
                <w:rFonts w:hint="default" w:ascii="Arial" w:hAnsi="Arial" w:eastAsia="宋体" w:cs="Arial"/>
                <w:bCs/>
                <w:color w:val="000000" w:themeColor="text1"/>
                <w:spacing w:val="-5"/>
                <w:sz w:val="21"/>
                <w:szCs w:val="21"/>
                <w:lang w:eastAsia="zh-CN"/>
                <w14:textFill>
                  <w14:solidFill>
                    <w14:schemeClr w14:val="tx1"/>
                  </w14:solidFill>
                </w14:textFill>
              </w:rPr>
              <w:t>生产工艺中热处理</w:t>
            </w:r>
            <w:r>
              <w:rPr>
                <w:rFonts w:hint="default" w:ascii="Arial" w:hAnsi="Arial" w:eastAsia="宋体" w:cs="Arial"/>
                <w:bCs/>
                <w:color w:val="000000" w:themeColor="text1"/>
                <w:spacing w:val="-5"/>
                <w:sz w:val="21"/>
                <w:szCs w:val="21"/>
                <w:lang w:val="en-US" w:eastAsia="zh-CN"/>
                <w14:textFill>
                  <w14:solidFill>
                    <w14:schemeClr w14:val="tx1"/>
                  </w14:solidFill>
                </w14:textFill>
              </w:rPr>
              <w:t>不再使用</w:t>
            </w:r>
            <w:r>
              <w:rPr>
                <w:rFonts w:hint="default" w:ascii="Arial" w:hAnsi="Arial" w:eastAsia="宋体" w:cs="Arial"/>
                <w:bCs/>
                <w:color w:val="000000" w:themeColor="text1"/>
                <w:spacing w:val="-5"/>
                <w:sz w:val="21"/>
                <w:szCs w:val="21"/>
                <w:lang w:eastAsia="zh-CN"/>
                <w14:textFill>
                  <w14:solidFill>
                    <w14:schemeClr w14:val="tx1"/>
                  </w14:solidFill>
                </w14:textFill>
              </w:rPr>
              <w:t>渗碳</w:t>
            </w:r>
            <w:r>
              <w:rPr>
                <w:rFonts w:hint="default" w:ascii="Arial" w:hAnsi="Arial" w:eastAsia="宋体" w:cs="Arial"/>
                <w:bCs/>
                <w:color w:val="000000" w:themeColor="text1"/>
                <w:spacing w:val="-5"/>
                <w:sz w:val="21"/>
                <w:szCs w:val="21"/>
                <w:lang w:val="en-US" w:eastAsia="zh-CN"/>
                <w14:textFill>
                  <w14:solidFill>
                    <w14:schemeClr w14:val="tx1"/>
                  </w14:solidFill>
                </w14:textFill>
              </w:rPr>
              <w:t>工艺</w:t>
            </w:r>
            <w:r>
              <w:rPr>
                <w:rFonts w:hint="default" w:ascii="Arial" w:hAnsi="Arial" w:eastAsia="宋体" w:cs="Arial"/>
                <w:bCs/>
                <w:color w:val="000000" w:themeColor="text1"/>
                <w:spacing w:val="-5"/>
                <w:sz w:val="21"/>
                <w:szCs w:val="21"/>
                <w:lang w:eastAsia="zh-CN"/>
                <w14:textFill>
                  <w14:solidFill>
                    <w14:schemeClr w14:val="tx1"/>
                  </w14:solidFill>
                </w14:textFill>
              </w:rPr>
              <w:t>，</w:t>
            </w:r>
            <w:r>
              <w:rPr>
                <w:rFonts w:hint="default" w:ascii="Arial" w:hAnsi="Arial" w:eastAsia="宋体" w:cs="Arial"/>
                <w:bCs/>
                <w:color w:val="000000" w:themeColor="text1"/>
                <w:spacing w:val="-5"/>
                <w:sz w:val="21"/>
                <w:szCs w:val="21"/>
                <w:lang w:val="en-US" w:eastAsia="zh-CN"/>
                <w14:textFill>
                  <w14:solidFill>
                    <w14:schemeClr w14:val="tx1"/>
                  </w14:solidFill>
                </w14:textFill>
              </w:rPr>
              <w:t>原材料</w:t>
            </w:r>
            <w:r>
              <w:rPr>
                <w:rFonts w:hint="default" w:ascii="Arial" w:hAnsi="Arial" w:eastAsia="宋体" w:cs="Arial"/>
                <w:bCs/>
                <w:color w:val="000000" w:themeColor="text1"/>
                <w:spacing w:val="-5"/>
                <w:sz w:val="21"/>
                <w:szCs w:val="21"/>
                <w:lang w:eastAsia="zh-CN"/>
                <w14:textFill>
                  <w14:solidFill>
                    <w14:schemeClr w14:val="tx1"/>
                  </w14:solidFill>
                </w14:textFill>
              </w:rPr>
              <w:t>丙烷和甲醇</w:t>
            </w:r>
            <w:r>
              <w:rPr>
                <w:rFonts w:hint="default" w:ascii="Arial" w:hAnsi="Arial" w:eastAsia="宋体" w:cs="Arial"/>
                <w:bCs/>
                <w:color w:val="000000" w:themeColor="text1"/>
                <w:spacing w:val="-5"/>
                <w:sz w:val="21"/>
                <w:szCs w:val="21"/>
                <w:lang w:val="en-US" w:eastAsia="zh-CN"/>
                <w14:textFill>
                  <w14:solidFill>
                    <w14:schemeClr w14:val="tx1"/>
                  </w14:solidFill>
                </w14:textFill>
              </w:rPr>
              <w:t>不再使用</w:t>
            </w:r>
            <w:r>
              <w:rPr>
                <w:rFonts w:hint="default" w:ascii="Arial" w:hAnsi="Arial" w:eastAsia="宋体" w:cs="Arial"/>
                <w:bCs/>
                <w:color w:val="000000" w:themeColor="text1"/>
                <w:spacing w:val="-5"/>
                <w:sz w:val="21"/>
                <w:szCs w:val="21"/>
                <w:lang w:eastAsia="zh-CN"/>
                <w14:textFill>
                  <w14:solidFill>
                    <w14:schemeClr w14:val="tx1"/>
                  </w14:solidFill>
                </w14:textFill>
              </w:rPr>
              <w:t>。</w:t>
            </w:r>
          </w:p>
          <w:p w14:paraId="75AF9F9B">
            <w:pPr>
              <w:widowControl/>
              <w:contextualSpacing/>
              <w:jc w:val="left"/>
              <w:rPr>
                <w:rFonts w:hint="default" w:ascii="Arial" w:hAnsi="Arial" w:eastAsia="宋体" w:cs="Arial"/>
                <w:bCs/>
                <w:color w:val="000000" w:themeColor="text1"/>
                <w:spacing w:val="-5"/>
                <w:sz w:val="21"/>
                <w:szCs w:val="21"/>
                <w:lang w:val="en-US" w:eastAsia="zh-CN"/>
                <w14:textFill>
                  <w14:solidFill>
                    <w14:schemeClr w14:val="tx1"/>
                  </w14:solidFill>
                </w14:textFill>
              </w:rPr>
            </w:pPr>
            <w:r>
              <w:rPr>
                <w:rFonts w:hint="default" w:ascii="Arial" w:hAnsi="Arial" w:eastAsia="宋体" w:cs="Arial"/>
                <w:bCs/>
                <w:color w:val="000000" w:themeColor="text1"/>
                <w:spacing w:val="-5"/>
                <w:sz w:val="21"/>
                <w:szCs w:val="21"/>
                <w:lang w:val="en-US" w:eastAsia="zh-CN"/>
                <w14:textFill>
                  <w14:solidFill>
                    <w14:schemeClr w14:val="tx1"/>
                  </w14:solidFill>
                </w14:textFill>
              </w:rPr>
              <w:t>②由于生产工艺改进，已建项目不再45#碳钢，改为使用合金钢材料，且外购合金钢材料为半成品零部件，无需锯料。</w:t>
            </w:r>
          </w:p>
          <w:p w14:paraId="5D716B12">
            <w:pPr>
              <w:widowControl/>
              <w:contextualSpacing/>
              <w:jc w:val="left"/>
              <w:rPr>
                <w:rFonts w:hint="default" w:ascii="Arial" w:hAnsi="Arial" w:eastAsia="宋体" w:cs="Arial"/>
                <w:bCs/>
                <w:color w:val="000000" w:themeColor="text1"/>
                <w:spacing w:val="-5"/>
                <w:sz w:val="21"/>
                <w:szCs w:val="21"/>
                <w:lang w:val="en-US" w:eastAsia="zh-CN"/>
                <w14:textFill>
                  <w14:solidFill>
                    <w14:schemeClr w14:val="tx1"/>
                  </w14:solidFill>
                </w14:textFill>
              </w:rPr>
            </w:pPr>
            <w:r>
              <w:rPr>
                <w:rFonts w:hint="default" w:ascii="Arial" w:hAnsi="Arial" w:eastAsia="宋体" w:cs="Arial"/>
                <w:bCs/>
                <w:color w:val="000000" w:themeColor="text1"/>
                <w:spacing w:val="-5"/>
                <w:sz w:val="21"/>
                <w:szCs w:val="21"/>
                <w:lang w:val="en-US" w:eastAsia="zh-CN"/>
                <w14:textFill>
                  <w14:solidFill>
                    <w14:schemeClr w14:val="tx1"/>
                  </w14:solidFill>
                </w14:textFill>
              </w:rPr>
              <w:t>③生产工艺调整不再使用标准件及配套件。</w:t>
            </w:r>
          </w:p>
        </w:tc>
      </w:tr>
    </w:tbl>
    <w:p w14:paraId="2CA92552">
      <w:pPr>
        <w:pStyle w:val="76"/>
        <w:spacing w:line="360" w:lineRule="auto"/>
        <w:ind w:left="105" w:leftChars="50" w:right="105" w:rightChars="50" w:firstLine="480"/>
        <w:rPr>
          <w:rFonts w:hint="default" w:ascii="Arial" w:hAnsi="Arial" w:eastAsia="宋体" w:cs="Arial"/>
          <w:sz w:val="24"/>
          <w:szCs w:val="24"/>
        </w:rPr>
      </w:pPr>
      <w:r>
        <w:rPr>
          <w:rFonts w:hint="default" w:ascii="Arial" w:hAnsi="Arial" w:eastAsia="宋体" w:cs="Arial"/>
          <w:sz w:val="24"/>
          <w:szCs w:val="24"/>
        </w:rPr>
        <w:t>由上表可见，企业现有工程已建项目主要原辅材料消耗量均在原环评核定范围内。</w:t>
      </w:r>
    </w:p>
    <w:p w14:paraId="1F9BD955">
      <w:pPr>
        <w:pStyle w:val="76"/>
        <w:numPr>
          <w:ilvl w:val="2"/>
          <w:numId w:val="4"/>
        </w:numPr>
        <w:spacing w:line="360" w:lineRule="auto"/>
        <w:ind w:left="568" w:hanging="284" w:firstLineChars="0"/>
        <w:outlineLvl w:val="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工程已建项目产品生产工艺流程</w:t>
      </w:r>
    </w:p>
    <w:p w14:paraId="4E32B066">
      <w:pPr>
        <w:pStyle w:val="76"/>
        <w:keepNext w:val="0"/>
        <w:keepLines w:val="0"/>
        <w:pageBreakBefore w:val="0"/>
        <w:widowControl w:val="0"/>
        <w:kinsoku/>
        <w:wordWrap/>
        <w:overflowPunct/>
        <w:topLinePunct w:val="0"/>
        <w:autoSpaceDE/>
        <w:autoSpaceDN/>
        <w:bidi w:val="0"/>
        <w:adjustRightInd/>
        <w:snapToGrid/>
        <w:spacing w:line="360" w:lineRule="auto"/>
        <w:ind w:left="105" w:leftChars="50" w:right="105" w:rightChars="50" w:firstLine="0"/>
        <w:jc w:val="left"/>
        <w:textAlignment w:val="auto"/>
        <w:rPr>
          <w:rFonts w:hint="default" w:ascii="Arial" w:hAnsi="Arial" w:eastAsia="宋体" w:cs="Arial"/>
          <w:b/>
          <w:color w:val="000000"/>
          <w:sz w:val="24"/>
          <w:szCs w:val="24"/>
          <w:lang w:eastAsia="zh-CN"/>
        </w:rPr>
      </w:pPr>
      <w:r>
        <w:rPr>
          <w:rFonts w:hint="default" w:ascii="Arial" w:hAnsi="Arial" w:eastAsia="宋体" w:cs="Arial"/>
          <w:b/>
          <w:color w:val="000000"/>
          <w:sz w:val="24"/>
          <w:szCs w:val="24"/>
          <w:lang w:eastAsia="zh-CN"/>
        </w:rPr>
        <mc:AlternateContent>
          <mc:Choice Requires="wpc">
            <w:drawing>
              <wp:inline distT="0" distB="0" distL="0" distR="0">
                <wp:extent cx="5100955" cy="1872615"/>
                <wp:effectExtent l="0" t="0" r="0" b="0"/>
                <wp:docPr id="53" name="画布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 name="Text Box 6"/>
                        <wps:cNvSpPr txBox="1">
                          <a:spLocks noChangeArrowheads="1"/>
                        </wps:cNvSpPr>
                        <wps:spPr bwMode="auto">
                          <a:xfrm>
                            <a:off x="2447925" y="530860"/>
                            <a:ext cx="1104900" cy="213360"/>
                          </a:xfrm>
                          <a:prstGeom prst="rect">
                            <a:avLst/>
                          </a:prstGeom>
                          <a:solidFill>
                            <a:srgbClr val="FFFFFF"/>
                          </a:solidFill>
                          <a:ln w="9525">
                            <a:solidFill>
                              <a:srgbClr val="000000"/>
                            </a:solidFill>
                            <a:miter lim="800000"/>
                          </a:ln>
                        </wps:spPr>
                        <wps:txbx>
                          <w:txbxContent>
                            <w:p w14:paraId="7FDDDBC2">
                              <w:pPr>
                                <w:jc w:val="center"/>
                              </w:pPr>
                              <w:r>
                                <w:rPr>
                                  <w:rFonts w:hint="eastAsia"/>
                                </w:rPr>
                                <w:t>车、铣、磨加工</w:t>
                              </w:r>
                            </w:p>
                          </w:txbxContent>
                        </wps:txbx>
                        <wps:bodyPr rot="0" vert="horz" wrap="square" lIns="0" tIns="0" rIns="0" bIns="0" anchor="t" anchorCtr="0" upright="1">
                          <a:noAutofit/>
                        </wps:bodyPr>
                      </wps:wsp>
                      <wps:wsp>
                        <wps:cNvPr id="62" name="Text Box 7"/>
                        <wps:cNvSpPr txBox="1">
                          <a:spLocks noChangeArrowheads="1"/>
                        </wps:cNvSpPr>
                        <wps:spPr bwMode="auto">
                          <a:xfrm>
                            <a:off x="590550" y="528955"/>
                            <a:ext cx="882015" cy="205740"/>
                          </a:xfrm>
                          <a:prstGeom prst="rect">
                            <a:avLst/>
                          </a:prstGeom>
                          <a:noFill/>
                          <a:ln>
                            <a:noFill/>
                          </a:ln>
                        </wps:spPr>
                        <wps:txbx>
                          <w:txbxContent>
                            <w:p w14:paraId="69154488">
                              <w:pPr>
                                <w:jc w:val="center"/>
                                <w:rPr>
                                  <w:rFonts w:hint="eastAsia" w:eastAsiaTheme="minorEastAsia"/>
                                  <w:lang w:val="en-US" w:eastAsia="zh-CN"/>
                                </w:rPr>
                              </w:pPr>
                              <w:r>
                                <w:rPr>
                                  <w:rFonts w:hint="eastAsia"/>
                                  <w:lang w:val="en-US" w:eastAsia="zh-CN"/>
                                </w:rPr>
                                <w:t>合金结构钢</w:t>
                              </w:r>
                            </w:p>
                          </w:txbxContent>
                        </wps:txbx>
                        <wps:bodyPr rot="0" vert="horz" wrap="square" lIns="0" tIns="0" rIns="0" bIns="0" anchor="t" anchorCtr="0" upright="1">
                          <a:noAutofit/>
                        </wps:bodyPr>
                      </wps:wsp>
                      <wps:wsp>
                        <wps:cNvPr id="63" name="Line 8"/>
                        <wps:cNvCnPr>
                          <a:cxnSpLocks noChangeShapeType="1"/>
                          <a:stCxn id="15" idx="3"/>
                          <a:endCxn id="16" idx="1"/>
                        </wps:cNvCnPr>
                        <wps:spPr bwMode="auto">
                          <a:xfrm>
                            <a:off x="1485900" y="632460"/>
                            <a:ext cx="962025" cy="5080"/>
                          </a:xfrm>
                          <a:prstGeom prst="line">
                            <a:avLst/>
                          </a:prstGeom>
                          <a:noFill/>
                          <a:ln w="9525">
                            <a:solidFill>
                              <a:srgbClr val="000000"/>
                            </a:solidFill>
                            <a:round/>
                            <a:tailEnd type="triangle" w="med" len="med"/>
                          </a:ln>
                        </wps:spPr>
                        <wps:bodyPr/>
                      </wps:wsp>
                      <wps:wsp>
                        <wps:cNvPr id="69" name="Text Box 15"/>
                        <wps:cNvSpPr txBox="1">
                          <a:spLocks noChangeArrowheads="1"/>
                        </wps:cNvSpPr>
                        <wps:spPr bwMode="auto">
                          <a:xfrm>
                            <a:off x="2295525" y="959485"/>
                            <a:ext cx="1466850" cy="175260"/>
                          </a:xfrm>
                          <a:prstGeom prst="rect">
                            <a:avLst/>
                          </a:prstGeom>
                          <a:noFill/>
                          <a:ln>
                            <a:noFill/>
                          </a:ln>
                        </wps:spPr>
                        <wps:txbx>
                          <w:txbxContent>
                            <w:p w14:paraId="764C2E25">
                              <w:pPr>
                                <w:rPr>
                                  <w:shd w:val="pct15" w:color="auto" w:fill="FFFFFF"/>
                                </w:rPr>
                              </w:pPr>
                              <w:r>
                                <w:rPr>
                                  <w:rFonts w:hint="eastAsia"/>
                                  <w:shd w:val="pct15" w:color="auto" w:fill="FFFFFF"/>
                                </w:rPr>
                                <w:t>金属边角料、废切削油</w:t>
                              </w:r>
                            </w:p>
                          </w:txbxContent>
                        </wps:txbx>
                        <wps:bodyPr rot="0" vert="horz" wrap="square" lIns="0" tIns="0" rIns="0" bIns="0" anchor="t" anchorCtr="0" upright="1">
                          <a:noAutofit/>
                        </wps:bodyPr>
                      </wps:wsp>
                      <wps:wsp>
                        <wps:cNvPr id="70" name="Line 16"/>
                        <wps:cNvCnPr>
                          <a:cxnSpLocks noChangeShapeType="1"/>
                        </wps:cNvCnPr>
                        <wps:spPr bwMode="auto">
                          <a:xfrm>
                            <a:off x="3028950" y="744220"/>
                            <a:ext cx="635" cy="198120"/>
                          </a:xfrm>
                          <a:prstGeom prst="line">
                            <a:avLst/>
                          </a:prstGeom>
                          <a:noFill/>
                          <a:ln w="9525">
                            <a:solidFill>
                              <a:srgbClr val="000000"/>
                            </a:solidFill>
                            <a:round/>
                            <a:tailEnd type="triangle" w="med" len="med"/>
                          </a:ln>
                        </wps:spPr>
                        <wps:bodyPr/>
                      </wps:wsp>
                      <wps:wsp>
                        <wps:cNvPr id="72" name="Line 18"/>
                        <wps:cNvCnPr>
                          <a:cxnSpLocks noChangeShapeType="1"/>
                        </wps:cNvCnPr>
                        <wps:spPr bwMode="auto">
                          <a:xfrm>
                            <a:off x="3562350" y="639445"/>
                            <a:ext cx="226695" cy="635"/>
                          </a:xfrm>
                          <a:prstGeom prst="line">
                            <a:avLst/>
                          </a:prstGeom>
                          <a:noFill/>
                          <a:ln w="9525">
                            <a:solidFill>
                              <a:srgbClr val="000000"/>
                            </a:solidFill>
                            <a:round/>
                            <a:tailEnd type="triangle" w="med" len="med"/>
                          </a:ln>
                        </wps:spPr>
                        <wps:bodyPr/>
                      </wps:wsp>
                      <wps:wsp>
                        <wps:cNvPr id="73" name="Text Box 19"/>
                        <wps:cNvSpPr txBox="1">
                          <a:spLocks noChangeArrowheads="1"/>
                        </wps:cNvSpPr>
                        <wps:spPr bwMode="auto">
                          <a:xfrm>
                            <a:off x="2905125" y="134620"/>
                            <a:ext cx="342900" cy="198120"/>
                          </a:xfrm>
                          <a:prstGeom prst="rect">
                            <a:avLst/>
                          </a:prstGeom>
                          <a:noFill/>
                          <a:ln>
                            <a:noFill/>
                          </a:ln>
                        </wps:spPr>
                        <wps:txbx>
                          <w:txbxContent>
                            <w:p w14:paraId="251D1F9E">
                              <w:pPr>
                                <w:rPr>
                                  <w:shd w:val="pct15" w:color="auto" w:fill="FFFFFF"/>
                                </w:rPr>
                              </w:pPr>
                              <w:r>
                                <w:rPr>
                                  <w:rFonts w:hint="eastAsia"/>
                                  <w:shd w:val="pct15" w:color="auto" w:fill="FFFFFF"/>
                                </w:rPr>
                                <w:t>噪声</w:t>
                              </w:r>
                            </w:p>
                          </w:txbxContent>
                        </wps:txbx>
                        <wps:bodyPr rot="0" vert="horz" wrap="square" lIns="0" tIns="0" rIns="0" bIns="0" anchor="t" anchorCtr="0" upright="1">
                          <a:noAutofit/>
                        </wps:bodyPr>
                      </wps:wsp>
                      <wps:wsp>
                        <wps:cNvPr id="74" name="Line 20"/>
                        <wps:cNvCnPr>
                          <a:cxnSpLocks noChangeShapeType="1"/>
                        </wps:cNvCnPr>
                        <wps:spPr bwMode="auto">
                          <a:xfrm flipV="1">
                            <a:off x="3019425" y="332740"/>
                            <a:ext cx="635" cy="198120"/>
                          </a:xfrm>
                          <a:prstGeom prst="line">
                            <a:avLst/>
                          </a:prstGeom>
                          <a:noFill/>
                          <a:ln w="9525">
                            <a:solidFill>
                              <a:srgbClr val="000000"/>
                            </a:solidFill>
                            <a:round/>
                            <a:tailEnd type="triangle" w="med" len="med"/>
                          </a:ln>
                        </wps:spPr>
                        <wps:bodyPr/>
                      </wps:wsp>
                      <wps:wsp>
                        <wps:cNvPr id="78" name="Text Box 26"/>
                        <wps:cNvSpPr txBox="1">
                          <a:spLocks noChangeArrowheads="1"/>
                        </wps:cNvSpPr>
                        <wps:spPr bwMode="auto">
                          <a:xfrm>
                            <a:off x="1196340" y="1308100"/>
                            <a:ext cx="419735" cy="214630"/>
                          </a:xfrm>
                          <a:prstGeom prst="rect">
                            <a:avLst/>
                          </a:prstGeom>
                          <a:noFill/>
                          <a:ln>
                            <a:noFill/>
                          </a:ln>
                        </wps:spPr>
                        <wps:txbx>
                          <w:txbxContent>
                            <w:p w14:paraId="6680E504">
                              <w:pPr>
                                <w:jc w:val="center"/>
                              </w:pPr>
                              <w:r>
                                <w:rPr>
                                  <w:rFonts w:hint="eastAsia"/>
                                </w:rPr>
                                <w:t>入库</w:t>
                              </w:r>
                            </w:p>
                          </w:txbxContent>
                        </wps:txbx>
                        <wps:bodyPr rot="0" vert="horz" wrap="square" lIns="0" tIns="0" rIns="0" bIns="0" anchor="t" anchorCtr="0" upright="1">
                          <a:noAutofit/>
                        </wps:bodyPr>
                      </wps:wsp>
                      <wps:wsp>
                        <wps:cNvPr id="79" name="Text Box 27"/>
                        <wps:cNvSpPr txBox="1">
                          <a:spLocks noChangeArrowheads="1"/>
                        </wps:cNvSpPr>
                        <wps:spPr bwMode="auto">
                          <a:xfrm>
                            <a:off x="1884045" y="1303655"/>
                            <a:ext cx="742950" cy="205105"/>
                          </a:xfrm>
                          <a:prstGeom prst="rect">
                            <a:avLst/>
                          </a:prstGeom>
                          <a:solidFill>
                            <a:srgbClr val="FFFFFF"/>
                          </a:solidFill>
                          <a:ln w="9525">
                            <a:solidFill>
                              <a:srgbClr val="000000"/>
                            </a:solidFill>
                            <a:miter lim="800000"/>
                          </a:ln>
                        </wps:spPr>
                        <wps:txbx>
                          <w:txbxContent>
                            <w:p w14:paraId="4F268960">
                              <w:pPr>
                                <w:jc w:val="center"/>
                              </w:pPr>
                              <w:r>
                                <w:rPr>
                                  <w:rFonts w:hint="eastAsia"/>
                                </w:rPr>
                                <w:t>包装</w:t>
                              </w:r>
                            </w:p>
                          </w:txbxContent>
                        </wps:txbx>
                        <wps:bodyPr rot="0" vert="horz" wrap="square" lIns="0" tIns="0" rIns="0" bIns="0" anchor="t" anchorCtr="0" upright="1">
                          <a:noAutofit/>
                        </wps:bodyPr>
                      </wps:wsp>
                      <wps:wsp>
                        <wps:cNvPr id="80" name="Line 28"/>
                        <wps:cNvCnPr>
                          <a:cxnSpLocks noChangeShapeType="1"/>
                          <a:stCxn id="88" idx="1"/>
                          <a:endCxn id="90" idx="3"/>
                        </wps:cNvCnPr>
                        <wps:spPr bwMode="auto">
                          <a:xfrm flipH="1" flipV="1">
                            <a:off x="3585210" y="1424940"/>
                            <a:ext cx="213995" cy="2540"/>
                          </a:xfrm>
                          <a:prstGeom prst="line">
                            <a:avLst/>
                          </a:prstGeom>
                          <a:noFill/>
                          <a:ln w="9525">
                            <a:solidFill>
                              <a:srgbClr val="000000"/>
                            </a:solidFill>
                            <a:round/>
                            <a:tailEnd type="triangle" w="med" len="med"/>
                          </a:ln>
                        </wps:spPr>
                        <wps:bodyPr/>
                      </wps:wsp>
                      <wps:wsp>
                        <wps:cNvPr id="84" name="Text Box 32"/>
                        <wps:cNvSpPr txBox="1">
                          <a:spLocks noChangeArrowheads="1"/>
                        </wps:cNvSpPr>
                        <wps:spPr bwMode="auto">
                          <a:xfrm>
                            <a:off x="3803650" y="548005"/>
                            <a:ext cx="742950" cy="205105"/>
                          </a:xfrm>
                          <a:prstGeom prst="rect">
                            <a:avLst/>
                          </a:prstGeom>
                          <a:solidFill>
                            <a:srgbClr val="FFFFFF"/>
                          </a:solidFill>
                          <a:ln w="9525">
                            <a:solidFill>
                              <a:srgbClr val="000000"/>
                            </a:solidFill>
                            <a:miter lim="800000"/>
                          </a:ln>
                        </wps:spPr>
                        <wps:txbx>
                          <w:txbxContent>
                            <w:p w14:paraId="6D9F6BFD">
                              <w:pPr>
                                <w:jc w:val="center"/>
                              </w:pPr>
                              <w:r>
                                <w:rPr>
                                  <w:rFonts w:hint="eastAsia"/>
                                </w:rPr>
                                <w:t>热处理</w:t>
                              </w:r>
                            </w:p>
                          </w:txbxContent>
                        </wps:txbx>
                        <wps:bodyPr rot="0" vert="horz" wrap="square" lIns="0" tIns="0" rIns="0" bIns="0" anchor="t" anchorCtr="0" upright="1">
                          <a:noAutofit/>
                        </wps:bodyPr>
                      </wps:wsp>
                      <wps:wsp>
                        <wps:cNvPr id="85" name="Line 33"/>
                        <wps:cNvCnPr>
                          <a:cxnSpLocks noChangeShapeType="1"/>
                          <a:stCxn id="84" idx="2"/>
                          <a:endCxn id="88" idx="0"/>
                        </wps:cNvCnPr>
                        <wps:spPr bwMode="auto">
                          <a:xfrm flipH="1">
                            <a:off x="4170680" y="753110"/>
                            <a:ext cx="4445" cy="571500"/>
                          </a:xfrm>
                          <a:prstGeom prst="line">
                            <a:avLst/>
                          </a:prstGeom>
                          <a:noFill/>
                          <a:ln w="9525">
                            <a:solidFill>
                              <a:srgbClr val="000000"/>
                            </a:solidFill>
                            <a:round/>
                            <a:tailEnd type="triangle" w="med" len="med"/>
                          </a:ln>
                        </wps:spPr>
                        <wps:bodyPr/>
                      </wps:wsp>
                      <wps:wsp>
                        <wps:cNvPr id="86" name="Text Box 34"/>
                        <wps:cNvSpPr txBox="1">
                          <a:spLocks noChangeArrowheads="1"/>
                        </wps:cNvSpPr>
                        <wps:spPr bwMode="auto">
                          <a:xfrm>
                            <a:off x="3843655" y="170815"/>
                            <a:ext cx="628650" cy="165735"/>
                          </a:xfrm>
                          <a:prstGeom prst="rect">
                            <a:avLst/>
                          </a:prstGeom>
                          <a:noFill/>
                          <a:ln>
                            <a:noFill/>
                          </a:ln>
                        </wps:spPr>
                        <wps:txbx>
                          <w:txbxContent>
                            <w:p w14:paraId="4A50489D">
                              <w:pPr>
                                <w:rPr>
                                  <w:shd w:val="pct15" w:color="auto" w:fill="FFFFFF"/>
                                </w:rPr>
                              </w:pPr>
                              <w:r>
                                <w:rPr>
                                  <w:rFonts w:hint="eastAsia"/>
                                  <w:shd w:val="pct15" w:color="auto" w:fill="FFFFFF"/>
                                </w:rPr>
                                <w:t>油烟废气</w:t>
                              </w:r>
                            </w:p>
                          </w:txbxContent>
                        </wps:txbx>
                        <wps:bodyPr rot="0" vert="horz" wrap="square" lIns="0" tIns="0" rIns="0" bIns="0" anchor="t" anchorCtr="0" upright="1">
                          <a:noAutofit/>
                        </wps:bodyPr>
                      </wps:wsp>
                      <wps:wsp>
                        <wps:cNvPr id="87" name="Line 35"/>
                        <wps:cNvCnPr>
                          <a:cxnSpLocks noChangeShapeType="1"/>
                        </wps:cNvCnPr>
                        <wps:spPr bwMode="auto">
                          <a:xfrm flipV="1">
                            <a:off x="4166870" y="336550"/>
                            <a:ext cx="635" cy="198120"/>
                          </a:xfrm>
                          <a:prstGeom prst="line">
                            <a:avLst/>
                          </a:prstGeom>
                          <a:noFill/>
                          <a:ln w="9525">
                            <a:solidFill>
                              <a:srgbClr val="000000"/>
                            </a:solidFill>
                            <a:round/>
                            <a:tailEnd type="triangle" w="med" len="med"/>
                          </a:ln>
                        </wps:spPr>
                        <wps:bodyPr/>
                      </wps:wsp>
                      <wps:wsp>
                        <wps:cNvPr id="88" name="Text Box 36"/>
                        <wps:cNvSpPr txBox="1">
                          <a:spLocks noChangeArrowheads="1"/>
                        </wps:cNvSpPr>
                        <wps:spPr bwMode="auto">
                          <a:xfrm>
                            <a:off x="3799205" y="1324610"/>
                            <a:ext cx="742950" cy="205105"/>
                          </a:xfrm>
                          <a:prstGeom prst="rect">
                            <a:avLst/>
                          </a:prstGeom>
                          <a:solidFill>
                            <a:srgbClr val="FFFFFF"/>
                          </a:solidFill>
                          <a:ln w="9525">
                            <a:solidFill>
                              <a:srgbClr val="000000"/>
                            </a:solidFill>
                            <a:miter lim="800000"/>
                          </a:ln>
                        </wps:spPr>
                        <wps:txbx>
                          <w:txbxContent>
                            <w:p w14:paraId="2F8BD30F">
                              <w:pPr>
                                <w:jc w:val="center"/>
                              </w:pPr>
                              <w:r>
                                <w:rPr>
                                  <w:rFonts w:hint="eastAsia"/>
                                </w:rPr>
                                <w:t>清洗</w:t>
                              </w:r>
                            </w:p>
                          </w:txbxContent>
                        </wps:txbx>
                        <wps:bodyPr rot="0" vert="horz" wrap="square" lIns="0" tIns="0" rIns="0" bIns="0" anchor="t" anchorCtr="0" upright="1">
                          <a:noAutofit/>
                        </wps:bodyPr>
                      </wps:wsp>
                      <wps:wsp>
                        <wps:cNvPr id="90" name="Text Box 38"/>
                        <wps:cNvSpPr txBox="1">
                          <a:spLocks noChangeArrowheads="1"/>
                        </wps:cNvSpPr>
                        <wps:spPr bwMode="auto">
                          <a:xfrm>
                            <a:off x="2842260" y="1322070"/>
                            <a:ext cx="742950" cy="205105"/>
                          </a:xfrm>
                          <a:prstGeom prst="rect">
                            <a:avLst/>
                          </a:prstGeom>
                          <a:solidFill>
                            <a:srgbClr val="FFFFFF"/>
                          </a:solidFill>
                          <a:ln w="9525">
                            <a:solidFill>
                              <a:srgbClr val="000000"/>
                            </a:solidFill>
                            <a:miter lim="800000"/>
                          </a:ln>
                        </wps:spPr>
                        <wps:txbx>
                          <w:txbxContent>
                            <w:p w14:paraId="5C93FCDA">
                              <w:pPr>
                                <w:jc w:val="center"/>
                              </w:pPr>
                              <w:r>
                                <w:rPr>
                                  <w:rFonts w:hint="eastAsia"/>
                                </w:rPr>
                                <w:t>检验</w:t>
                              </w:r>
                            </w:p>
                          </w:txbxContent>
                        </wps:txbx>
                        <wps:bodyPr rot="0" vert="horz" wrap="square" lIns="0" tIns="0" rIns="0" bIns="0" anchor="t" anchorCtr="0" upright="1">
                          <a:noAutofit/>
                        </wps:bodyPr>
                      </wps:wsp>
                      <wps:wsp>
                        <wps:cNvPr id="91" name="Line 39"/>
                        <wps:cNvCnPr>
                          <a:cxnSpLocks noChangeShapeType="1"/>
                        </wps:cNvCnPr>
                        <wps:spPr bwMode="auto">
                          <a:xfrm flipH="1">
                            <a:off x="2626995" y="1417955"/>
                            <a:ext cx="215265" cy="2540"/>
                          </a:xfrm>
                          <a:prstGeom prst="line">
                            <a:avLst/>
                          </a:prstGeom>
                          <a:noFill/>
                          <a:ln w="9525">
                            <a:solidFill>
                              <a:srgbClr val="000000"/>
                            </a:solidFill>
                            <a:round/>
                            <a:tailEnd type="triangle" w="med" len="med"/>
                          </a:ln>
                        </wps:spPr>
                        <wps:bodyPr/>
                      </wps:wsp>
                      <wps:wsp>
                        <wps:cNvPr id="92" name="Text Box 40"/>
                        <wps:cNvSpPr txBox="1">
                          <a:spLocks noChangeArrowheads="1"/>
                        </wps:cNvSpPr>
                        <wps:spPr bwMode="auto">
                          <a:xfrm>
                            <a:off x="3917315" y="1714500"/>
                            <a:ext cx="619125" cy="175260"/>
                          </a:xfrm>
                          <a:prstGeom prst="rect">
                            <a:avLst/>
                          </a:prstGeom>
                          <a:noFill/>
                          <a:ln>
                            <a:noFill/>
                          </a:ln>
                        </wps:spPr>
                        <wps:txbx>
                          <w:txbxContent>
                            <w:p w14:paraId="5884F385">
                              <w:pPr>
                                <w:rPr>
                                  <w:rFonts w:hint="eastAsia" w:eastAsiaTheme="minorEastAsia"/>
                                  <w:shd w:val="pct15" w:color="auto" w:fill="FFFFFF"/>
                                  <w:lang w:val="en-US" w:eastAsia="zh-CN"/>
                                </w:rPr>
                              </w:pPr>
                              <w:r>
                                <w:rPr>
                                  <w:rFonts w:hint="eastAsia"/>
                                  <w:shd w:val="pct15" w:color="auto" w:fill="FFFFFF"/>
                                </w:rPr>
                                <w:t>清洗废</w:t>
                              </w:r>
                              <w:r>
                                <w:rPr>
                                  <w:rFonts w:hint="eastAsia"/>
                                  <w:shd w:val="pct15" w:color="auto" w:fill="FFFFFF"/>
                                  <w:lang w:val="en-US" w:eastAsia="zh-CN"/>
                                </w:rPr>
                                <w:t>液</w:t>
                              </w:r>
                            </w:p>
                          </w:txbxContent>
                        </wps:txbx>
                        <wps:bodyPr rot="0" vert="horz" wrap="square" lIns="0" tIns="0" rIns="0" bIns="0" anchor="t" anchorCtr="0" upright="1">
                          <a:noAutofit/>
                        </wps:bodyPr>
                      </wps:wsp>
                      <wps:wsp>
                        <wps:cNvPr id="93" name="Line 41"/>
                        <wps:cNvCnPr>
                          <a:cxnSpLocks noChangeShapeType="1"/>
                        </wps:cNvCnPr>
                        <wps:spPr bwMode="auto">
                          <a:xfrm>
                            <a:off x="4184015" y="1545590"/>
                            <a:ext cx="635" cy="198120"/>
                          </a:xfrm>
                          <a:prstGeom prst="line">
                            <a:avLst/>
                          </a:prstGeom>
                          <a:noFill/>
                          <a:ln w="9525">
                            <a:solidFill>
                              <a:srgbClr val="000000"/>
                            </a:solidFill>
                            <a:round/>
                            <a:tailEnd type="triangle" w="med" len="med"/>
                          </a:ln>
                        </wps:spPr>
                        <wps:bodyPr/>
                      </wps:wsp>
                      <wps:wsp>
                        <wps:cNvPr id="24" name="Line 39"/>
                        <wps:cNvCnPr>
                          <a:cxnSpLocks noChangeShapeType="1"/>
                        </wps:cNvCnPr>
                        <wps:spPr bwMode="auto">
                          <a:xfrm flipH="1">
                            <a:off x="1651000" y="1406525"/>
                            <a:ext cx="215265" cy="2540"/>
                          </a:xfrm>
                          <a:prstGeom prst="line">
                            <a:avLst/>
                          </a:prstGeom>
                          <a:noFill/>
                          <a:ln w="9525">
                            <a:solidFill>
                              <a:srgbClr val="000000"/>
                            </a:solidFill>
                            <a:round/>
                            <a:tailEnd type="triangle" w="med" len="med"/>
                          </a:ln>
                        </wps:spPr>
                        <wps:bodyPr/>
                      </wps:wsp>
                    </wpc:wpc>
                  </a:graphicData>
                </a:graphic>
              </wp:inline>
            </w:drawing>
          </mc:Choice>
          <mc:Fallback>
            <w:pict>
              <v:group id="_x0000_s1026" o:spid="_x0000_s1026" o:spt="203" style="height:147.45pt;width:401.65pt;" coordsize="5100955,1872615" editas="canvas" o:gfxdata="UEsDBAoAAAAAAIdO4kAAAAAAAAAAAAAAAAAEAAAAZHJzL1BLAwQUAAAACACHTuJAssXszdgAAAAF&#10;AQAADwAAAGRycy9kb3ducmV2LnhtbE2PQUvDQBCF7wX/wzIFL8XuthVpYzY9FMQiQjHVnqfZMQnN&#10;zqbZbVL/vasXvQw83uO9b9L11Taip87XjjXMpgoEceFMzaWG9/3T3RKED8gGG8ek4Ys8rLObUYqJ&#10;cQO/UZ+HUsQS9glqqEJoEyl9UZFFP3UtcfQ+XWcxRNmV0nQ4xHLbyLlSD9JizXGhwpY2FRWn/GI1&#10;DMWuP+xfn+Vuctg6Pm/Pm/zjRevb8Uw9ggh0DX9h+MGP6JBFpqO7sPGi0RAfCb83eku1WIA4apiv&#10;7lcgs1T+p8++AVBLAwQUAAAACACHTuJAEPXVmqUGAABEMgAADgAAAGRycy9lMm9Eb2MueG1s7Vvb&#10;buM2EH0v0H8Q9N61SFE3I85im720wLZdYNO+M5JsC5VElVJip6/9hX5MgX5P0d/oDEnJsuKs4wSO&#10;UUT7kJUlmSJnRmfOnKHPXq+L3LpJZZ2JcmaTV45tpWUskqxczOyfL99/E9pW3fAy4bko05l9m9b2&#10;6/OvvzpbVdOUiqXIk1RaMEhZT1fVzF42TTWdTOp4mRa8fiWqtISLcyEL3sBHuZgkkq9g9CKfUMfx&#10;Jyshk0qKOK1rOPtWX7TNiPIhA4r5PIvTtyK+LtKy0aPKNOcNLKleZlVtn6vZzudp3Pw0n9dpY+Uz&#10;G1baqL/wEDi+wr+T8zM+XUheLbPYTIE/ZAqDNRU8K+Gh3VBvecOta5ndGarIYilqMW9exaKY6IUo&#10;i8AqiDOwzQcpriu1lsV0tag6o4OjBlZ/9LDxjzefpJUlM9tzbavkBXj83z///uevPyw4AdZZVYsp&#10;3PRBVp+rT9KcWOhPuOD1XBb4PyzFWiu73nZ2TdeNFcNJjzhO5Hm2FcM1EgbUJ562fLwE99z5Xrx8&#10;t+ebk/bBE5xfN51VBTFZbwxVP81Qn5e8SpX9a7SBMZRPWkNd4gK/FWvL15ZSd6GZrGYNp2GtKibq&#10;6qOIf62tUlwseblI30gpVsuUJzA9gt+ERXRfRYvX0xoHuVr9IBLwB79uhBpoYGvKWBBRMCtY1XOd&#10;0Dfh3JqdEIdFDkQ6mp0S19U3dLbj00rWzYdUFBYezGwJr4t6EL/5WDc4sc0t6ONa5FnyPstz9UEu&#10;ri5yad1weLXeq39qLYPb8tJazezIg3l+eQhH/ds1RJE1gDh5VszssH9TXhrTobW03Zr11VrFaD29&#10;EsktGFEK/c4D4sHBUsjfbWsF7/vMrn+75jK1rfz7EhyB4NAeyPbgqj3gZQxfndmNbenDi0aDyHUl&#10;s8USRtauLsUbcNY8U8ZDR+pZmHlCaOppHj9G6Z0YDU4So17keB7YFkOUhggC4B4+bUM0DAH2DDBQ&#10;xwuYCuHHR2gpMDzVIzA6+LQ7AWOO8QL59h5M68D/Y1amVtiLlYsSXy4+jdfl5wGQqbEubyvAKIVj&#10;8Oo3F+tSpRP0apYABqosAh4vk+6Sby5tgZ9+zoPBj7AQYktHlu9SNgS/yKcOYiNin+eEe+Iqh1V/&#10;Cfm6MMIoejKgQVovExWkDc/yd2ViNcqIjcwgP+SASQCZRZoANqXA0fAI7t4dwRpg8DKa7hkRJrqD&#10;MDqp4zQgWT5jGqQAKyYNRl4EcbGNMYT5fogYpNhH4NGnpsGtYBhBZgdx3Q0yAfhAM0wFMqTPmg5A&#10;mZYtHQgYroP5RwNGwBilA7bkuwYtSBQSffH+PDTiRXpv1XKP8ztGop3/yBTzWOd7PnWN8303YmyA&#10;EZT6fmT8j4Gg4bbl2wOaPDr/YOd39KIrmUjU4xjPmCyAjxKTLIjLgCRsJwuX0a5keggQ7CuZxlyx&#10;T+S4By7YVq7QbjLU4ki5wprnWfVLW8kZPcN1SMRMvLguNQXKpoAZs0arBB5FawlAjNSUoQMO2qcN&#10;zwcchES+C+UpVrIExBaQtLaRg5EoaCkEBc7p7ik5RuSojhMydwsTehrtg4Qhc4BpmJBx/aH6EUCy&#10;aQsTUD+Is4d47AuZUZ/7v+hzoEf0SyH6SDbcF1xCgEoluBgppie4RPC0jRZzCIVWOfE7zIm7s6MX&#10;epQYUGSURVq/26RHUJ2jlldTb5+6NxLrQ4l12NGkLj+69CTE2g0dADgdCh4DnX5QYY1Y91J7EaDH&#10;9bHONW1FpRIeQOW3sA7CXgGaivUtcbmDQU2/tkoG/IC9ot2dtQ3WoaZn+D8jgeMjWgPtCzwXWmoD&#10;1odSghaZA+JpTjjKRmYvwEFd6d11YAi9gkEB4LITARxTDE6xuQAKgAHA+TRU+KdUZt/DWuCLKtI+&#10;MjcqB49TDsKgjRglNGo3bMHAg3pZB7OkoXLACLQdUPIG5IDWO3ZBIR421GhUDo6qHGAeGALHaZQD&#10;N4giqO5MGQidymEOGanRS6VGWJgNg7RfCj6fvEVD6IhBY1RrFdAcA+TagqsxSF9skHb73XRC7Tdu&#10;DuDvBydUJTv0qDj1qa/EBFRggZff2UxECfT2DRsfxYan7BDdzcWjroXbiQ1a0THs6vnQyo1I4OIO&#10;IwyFgDBTePXIFYlUl2/c8mE2Bp1oH2LUNX4VdjClTR6XjPcQgxEQ4Nsw8ZgHG8a2k9rIwY/KwWmn&#10;Tp42cxAfd6AbcsMcH3eLbZGbF5w5IC2rHxeo/YXmhxD464X+Z4Uhmx9/nP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gkAAFtDb250ZW50X1R5&#10;cGVzXS54bWxQSwECFAAKAAAAAACHTuJAAAAAAAAAAAAAAAAABgAAAAAAAAAAABAAAAD4BwAAX3Jl&#10;bHMvUEsBAhQAFAAAAAgAh07iQIoUZjzRAAAAlAEAAAsAAAAAAAAAAQAgAAAAHAgAAF9yZWxzLy5y&#10;ZWxzUEsBAhQACgAAAAAAh07iQAAAAAAAAAAAAAAAAAQAAAAAAAAAAAAQAAAAAAAAAGRycy9QSwEC&#10;FAAUAAAACACHTuJAssXszdgAAAAFAQAADwAAAAAAAAABACAAAAAiAAAAZHJzL2Rvd25yZXYueG1s&#10;UEsBAhQAFAAAAAgAh07iQBD11ZqlBgAARDIAAA4AAAAAAAAAAQAgAAAAJwEAAGRycy9lMm9Eb2Mu&#10;eG1sUEsFBgAAAAAGAAYAWQEAAD4KAAAAAA==&#10;">
                <o:lock v:ext="edit" aspectratio="f"/>
                <v:shape id="_x0000_s1026" o:spid="_x0000_s1026" style="position:absolute;left:0;top:0;height:1872615;width:5100955;" filled="f" stroked="f" coordsize="21600,21600" o:gfxdata="UEsDBAoAAAAAAIdO4kAAAAAAAAAAAAAAAAAEAAAAZHJzL1BLAwQUAAAACACHTuJAssXszdgAAAAF&#10;AQAADwAAAGRycy9kb3ducmV2LnhtbE2PQUvDQBCF7wX/wzIFL8XuthVpYzY9FMQiQjHVnqfZMQnN&#10;zqbZbVL/vasXvQw83uO9b9L11Taip87XjjXMpgoEceFMzaWG9/3T3RKED8gGG8ek4Ys8rLObUYqJ&#10;cQO/UZ+HUsQS9glqqEJoEyl9UZFFP3UtcfQ+XWcxRNmV0nQ4xHLbyLlSD9JizXGhwpY2FRWn/GI1&#10;DMWuP+xfn+Vuctg6Pm/Pm/zjRevb8Uw9ggh0DX9h+MGP6JBFpqO7sPGi0RAfCb83eku1WIA4apiv&#10;7lcgs1T+p8++AVBLAwQUAAAACACHTuJA0mUZImcGAAC/MQAADgAAAGRycy9lMm9Eb2MueG1s7Vtd&#10;c6M2FH3vTP8Dw3vXSIgvT5ydbbbbdmb7MZNt32WQbaYgUUFiZ399rz7AhjhxnKzj6YQ8JBiwELpH&#10;5557pFy835SFc8tknQs+c9E7z3UYT0WW8+XM/evLpx9i16kbyjNaCM5m7h2r3feX3393sa6mDIuV&#10;KDImHWiE19N1NXNXTVNNJ5M6XbGS1u9ExThcXAhZ0gY+yuUkk3QNrZfFBHteOFkLmVVSpKyu4exH&#10;c9G1LcqnNCgWizxlH0V6UzLemFYlK2gDr1Sv8qp2L3VvFwuWNn8sFjVrnGLmwps2+jc8BI7n6vfk&#10;8oJOl5JWqzy1XaBP6cLgnUqac3ho19RH2lDnRub3mirzVIpaLJp3qSgn5kX0iMBbIG8wNleU31Lz&#10;MimMddtBOPqG7c6Xqt9cfMqLAkZjAq1P1Tn1dw3RZupywfs3mTP6XnvPugI41FUHjPplXbxe0Yrp&#10;MNbT9PfbP6WTZzM3RK7DaQmo/MI2jfOj2DihCqF6ONx1XcF9zQZOA7B1OOrqs0j/qR0urlaUL9kH&#10;KcV6xWgG3UPqm/AK3VdNO7VqZL7+TWTwGHrTCN3QZiFLNQQQMQdax4RECQ5c527mBr4XhxZJqlep&#10;ejrySOIByFK4ASPfNzdM6LRtqJJ18zMTpaMOZq4EpOoH0dvPdaM6RqftLeq5tSjyTIVIf5DL+VUh&#10;nVsKqP6kf/S7DG4ruLOeuUkA/Xy8CU//7GuizBuY7EVeztx49yaFBz10arTMuDWb+caGYi6yOxhE&#10;Kcx0A7KBg5WQX11nDVNt5tb/3lDJXKf4lUMg1LxsD2R7MG8PKE/hqzO3cR1zeNWY+XtTyXy5gpZN&#10;qLn4AMFa5HrwVFRNL2w/AZqmm6fHKL6H0egsGA0SLwhgbBVEcZwEgeoFnbYQjWNgHECwRqgXRERD&#10;+PkI7RjkEbaopyNeOrZqOc1v8fI558yJd7ByxdXkotN0w68HRKb58ctdBRyleQymfnO14ZolVVTz&#10;DFjItxHnWXcptJd65Geeo+bMk8gPkRiwZZAV+pgMyS8Jsae4USEr8OIDuCrgrR9jvh6uXkxoUtzw&#10;TM+DhubFTzxzGj2IjcwhPxTASUCZJcuAmxjII3VkyHgP4xmCUZfV0L0iwyQtYrosCCGHfuzksldK&#10;gxhoxabBJEgAFxZxbRokYRgrDlJQQFGAX5oGe2BQU6M7AcS1J0RjUjLCKYIYGOGkSQbtqqYjWKZV&#10;S0cShu+p/GMIIyIE44FaCn3LFiiJkbn4cB4a+YI9WDDsV81Rp0hM8J+ZYp4b/CDEvg1+6CeEDDgC&#10;4zBMbPwVEAzdPiCTx+AfHfxOXmyTRXKeZAF6FNlkgXwCIqGfLHyCu5LpKURwqGTqUsMoSMFx2ecv&#10;PEAXpJcrTJistDhRrnAWRV793VZytsb2PZQQixffx7ZA2RYwY9ZoTbiTeC0R+IADrwXvyobrVzNb&#10;EEpCH8pTVckiMFsQ1B6QJbZIICiJWgmBEQn9AyXHyBzVaSBzvzDB5/E+UBwTD5SGhYwfDt2PCJJN&#10;W5hgyEveAeFxCDKjP/d/8efAj9gthfAz1fCu4RIDVWrDxVoxbGu4JPC0rRdzjITWOfEXlRP3Z8cg&#10;DjCypEgwSYx/tyVFcJ2TVlfj4JC7NwrrY4V13MmkTlj7+CzC2o89IDgDhYCATz+osEaue6trEeDH&#10;7XKdrw3h46V8j+sA9prQNNaBbrZc19GgkV+956gPD5vLW65Tss7qf4IiL1RsDbIvCnxYUhuoPmUl&#10;GJM5QoHRhKNtZJfhj1pn3l8HxrBWMCgAfHImgiNawWk1F0EBMCC4EMea/7TLHAaqFnjURTok5kbn&#10;4NDOhAcQE7WI0UajCUOPBp60lnW0Sho6BwTBsoOyvIE5YOldrYL26sXROTipc6DywJA4zuMc+FGS&#10;QHVny0BYqRzmkFEavVVppAqzIUh3S8HXs7dwDCtisDBqvApYHAPm6tHVCNI3C9Juv5tJqLsLN6e0&#10;4rXtsCPFcYhDbSYoBxZ0+b3NRBjB2r5V46PZMNgS+w20eNIt4XZmg3F0rLp6PbbyExT5aoeRgkKE&#10;iC28tr5TiBK9yjdu+bAbg860DzHpFn41dxDtTZ5WjO8wBkFgwLcwCUgAG8b6SW3U4CfV4LhzJ8+b&#10;OVAIayt2ryAiXqh2i/XEzRvOHFDn6m39wBO9fxzY/aw5ZPt/F5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gIAABbQ29udGVudF9UeXBlc10u&#10;eG1sUEsBAhQACgAAAAAAh07iQAAAAAAAAAAAAAAAAAYAAAAAAAAAAAAQAAAAugcAAF9yZWxzL1BL&#10;AQIUABQAAAAIAIdO4kCKFGY80QAAAJQBAAALAAAAAAAAAAEAIAAAAN4HAABfcmVscy8ucmVsc1BL&#10;AQIUAAoAAAAAAIdO4kAAAAAAAAAAAAAAAAAEAAAAAAAAAAAAEAAAAAAAAABkcnMvUEsBAhQAFAAA&#10;AAgAh07iQLLF7M3YAAAABQEAAA8AAAAAAAAAAQAgAAAAIgAAAGRycy9kb3ducmV2LnhtbFBLAQIU&#10;ABQAAAAIAIdO4kDSZRkiZwYAAL8xAAAOAAAAAAAAAAEAIAAAACcBAABkcnMvZTJvRG9jLnhtbFBL&#10;BQYAAAAABgAGAFkBAAAACgAAAAA=&#10;">
                  <v:fill on="f" focussize="0,0"/>
                  <v:stroke on="f"/>
                  <v:imagedata o:title=""/>
                  <o:lock v:ext="edit" aspectratio="t"/>
                </v:shape>
                <v:shape id="Text Box 6" o:spid="_x0000_s1026" o:spt="202" type="#_x0000_t202" style="position:absolute;left:2447925;top:530860;height:213360;width:1104900;" fillcolor="#FFFFFF" filled="t" stroked="t" coordsize="21600,21600" o:gfxdata="UEsDBAoAAAAAAIdO4kAAAAAAAAAAAAAAAAAEAAAAZHJzL1BLAwQUAAAACACHTuJAkZmJMtYAAAAF&#10;AQAADwAAAGRycy9kb3ducmV2LnhtbE2PzU7DMBCE70i8g7VI3KjdFKEmxKkoEhKIC20RZzfe/EC8&#10;jmw3LW/PwqVcVhrNaObbcnVyg5gwxN6ThvlMgUCqve2p1fC+e7pZgojJkDWDJ9TwjRFW1eVFaQrr&#10;j7TBaZtawSUUC6OhS2kspIx1h87EmR+R2Gt8cCaxDK20wRy53A0yU+pOOtMTL3RmxMcO66/twWnY&#10;Tev4vPlMuX1p1jJ7bd6yj/Cg9fXVXN2DSHhK5zD84jM6VMy09weyUQwa+JH0d9lbqsUCxF5Dlt/m&#10;IKtS/qevfgBQSwMEFAAAAAgAh07iQG992RMxAgAAggQAAA4AAABkcnMvZTJvRG9jLnhtbK1UwW7b&#10;MAy9D9g/CLqvdtI2a4w4Rdeiw4CuG9DuAxRZjoVJokYpsbuvHyU7XZENQw/TQaBk6vHxkfTqcrCG&#10;7RUGDa7ms5OSM+UkNNpta/7t8fbdBWchCtcIA07V/EkFfrl++2bV+0rNoQPTKGQE4kLV+5p3Mfqq&#10;KILslBXhBLxy9LEFtCLSEbdFg6IndGuKeVkuih6w8QhShUC3N+NHPiHiawChbbVUNyB3Vrk4oqIy&#10;IlJKodM+8HVm27ZKxi9tG1RkpuaUacw7BSF7k/ZivRLVFoXvtJwoiNdQOMrJCu0o6DPUjYiC7VD/&#10;AWW1RAjQxhMJthgTyYpQFrPySJuHTniVcyGpg38WPfw/WHm//4pMNzVfzDhzwlLFH9UQ2QcY2CLJ&#10;0/tQkdeDJ7840DU1TU41+DuQ3wNzcN0Jt1VXiNB3SjREb5ZeFi+ejjghgWz6z9BQGLGLkIGGFm3S&#10;jtRghD4/O3u/nJ9z9lTz89PyYjFVKbGSKfqsPFuWVEBJDvPZ6enoUIjqAOQxxI8KLEtGzZG6IAcS&#10;+7sQEzFRHVxS3ABGN7famHzA7ebaINsL6pjbvHIuR27Gsb7my3Pi+W+IMq+/QVgdaZCMtjW/eOlk&#10;3CRdUmvULQ6bYSrFBponEhFhbGUaZDI6wJ+c9dTGNQ8/dgIVZ+aTo0Kknj8YeDA2B0M4SU9rHjkb&#10;zes4zsbOo952hDyW2sEVFavVWbxU1ZHFxJNaM2s6jVHq/Zfn7PX717H+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GZiTLWAAAABQEAAA8AAAAAAAAAAQAgAAAAIgAAAGRycy9kb3ducmV2LnhtbFBL&#10;AQIUABQAAAAIAIdO4kBvfdkTMQIAAIIEAAAOAAAAAAAAAAEAIAAAACUBAABkcnMvZTJvRG9jLnht&#10;bFBLBQYAAAAABgAGAFkBAADIBQAAAAA=&#10;">
                  <v:fill on="t" focussize="0,0"/>
                  <v:stroke color="#000000" miterlimit="8" joinstyle="miter"/>
                  <v:imagedata o:title=""/>
                  <o:lock v:ext="edit" aspectratio="f"/>
                  <v:textbox inset="0mm,0mm,0mm,0mm">
                    <w:txbxContent>
                      <w:p w14:paraId="7FDDDBC2">
                        <w:pPr>
                          <w:jc w:val="center"/>
                        </w:pPr>
                        <w:r>
                          <w:rPr>
                            <w:rFonts w:hint="eastAsia"/>
                          </w:rPr>
                          <w:t>车、铣、磨加工</w:t>
                        </w:r>
                      </w:p>
                    </w:txbxContent>
                  </v:textbox>
                </v:shape>
                <v:shape id="Text Box 7" o:spid="_x0000_s1026" o:spt="202" type="#_x0000_t202" style="position:absolute;left:590550;top:528955;height:205740;width:882015;" filled="f" stroked="f" coordsize="21600,21600" o:gfxdata="UEsDBAoAAAAAAIdO4kAAAAAAAAAAAAAAAAAEAAAAZHJzL1BLAwQUAAAACACHTuJAM6fVidYAAAAF&#10;AQAADwAAAGRycy9kb3ducmV2LnhtbE2PzU7DMBCE70i8g7VI3KjdFlVNiFMhBCckRBoOHDfxNrEa&#10;r0Ps/vD2GC7lstJoRjPfFpuzG8SRpmA9a5jPFAji1hvLnYaP+uVuDSJEZIODZ9LwTQE25fVVgbnx&#10;J67ouI2dSCUcctTQxzjmUoa2J4dh5kfi5O385DAmOXXSTHhK5W6QC6VW0qHltNDjSE89tfvtwWl4&#10;/OTq2X69Ne/VrrJ1nSl+Xe21vr2ZqwcQkc7xEoZf/IQOZWJq/IFNEIOG9Ej8u8lbq+USRKNhkd1n&#10;IMtC/qcvfwBQSwMEFAAAAAgAh07iQJCxZyMHAgAADgQAAA4AAABkcnMvZTJvRG9jLnhtbK1Ty27b&#10;MBC8F+g/ELzXko0qcQTLQRojRYH0AST9AJqiLKIil13Sltyv75K00zS95NCLsCKXszPD4ep6MgM7&#10;KPQabMPns5IzZSW02u4a/v3x7t2SMx+EbcUAVjX8qDy/Xr99sxpdrRbQw9AqZARifT26hvchuLoo&#10;vOyVEX4GTlna7ACNCPSLu6JFMRK6GYpFWV4UI2DrEKTynlY3eZOfEPE1gNB1WqoNyL1RNmRUVIMI&#10;JMn32nm+Tmy7Tsnwteu8CmxoOCkN6UtDqN7Gb7FeiXqHwvVaniiI11B4ockIbWnoE9RGBMH2qP+B&#10;MloieOjCTIIpspDkCKmYly+8eeiFU0kLWe3dk+n+/8HKL4dvyHTb8IsFZ1YYuvFHNQX2ASZ2Ge0Z&#10;na+p68FRX5homUKTpHp3D/KHZxZue2F36gYRxl6JlujN48ni2dGM4yPIdvwMLY0R+wAJaOrQRO/I&#10;DUbo1VVZVXQ/RyoXy6uqypcUSUnaXi7JqYozSfuLsrp8ny6xEPUZxqEPHxUYFouGI2UgjRGHex8i&#10;LVGfW+JUC3d6GFIOBvvXAjXGlSQjMs8awrSdTrZsoT2SIIQcK3pUVPSAvzgbKVIN9z/3AhVnwydL&#10;psT8nQs8F9tzIaykow0PnOXyNuSc7h3qXU/I2XYLN2Rcp5OU6HBmceJJMUkKT5GOOXz+n7r+POP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On1YnWAAAABQEAAA8AAAAAAAAAAQAgAAAAIgAAAGRy&#10;cy9kb3ducmV2LnhtbFBLAQIUABQAAAAIAIdO4kCQsWcjBwIAAA4EAAAOAAAAAAAAAAEAIAAAACUB&#10;AABkcnMvZTJvRG9jLnhtbFBLBQYAAAAABgAGAFkBAACeBQAAAAA=&#10;">
                  <v:fill on="f" focussize="0,0"/>
                  <v:stroke on="f"/>
                  <v:imagedata o:title=""/>
                  <o:lock v:ext="edit" aspectratio="f"/>
                  <v:textbox inset="0mm,0mm,0mm,0mm">
                    <w:txbxContent>
                      <w:p w14:paraId="69154488">
                        <w:pPr>
                          <w:jc w:val="center"/>
                          <w:rPr>
                            <w:rFonts w:hint="eastAsia" w:eastAsiaTheme="minorEastAsia"/>
                            <w:lang w:val="en-US" w:eastAsia="zh-CN"/>
                          </w:rPr>
                        </w:pPr>
                        <w:r>
                          <w:rPr>
                            <w:rFonts w:hint="eastAsia"/>
                            <w:lang w:val="en-US" w:eastAsia="zh-CN"/>
                          </w:rPr>
                          <w:t>合金结构钢</w:t>
                        </w:r>
                      </w:p>
                    </w:txbxContent>
                  </v:textbox>
                </v:shape>
                <v:line id="Line 8" o:spid="_x0000_s1026" o:spt="20" style="position:absolute;left:1485900;top:632460;height:5080;width:962025;" filled="f" stroked="t" coordsize="21600,21600" o:gfxdata="UEsDBAoAAAAAAIdO4kAAAAAAAAAAAAAAAAAEAAAAZHJzL1BLAwQUAAAACACHTuJAP7Vx0tgAAAAF&#10;AQAADwAAAGRycy9kb3ducmV2LnhtbE2PwW7CMBBE75X6D9ZW6q3YgaoKIQ6HSvQCpQKqCm4mXpKo&#10;8TqyHUj/HpdLe1lpNKOZt/l8MC07o/ONJQnJSABDKq1uqJLwuVs8pcB8UKRVawkl/KCHeXF/l6tM&#10;2wtt8LwNFYsl5DMloQ6hyzj3ZY1G+ZHtkKJ3ss6oEKWruHbqEstNy8dCvHCjGooLterwtcbye9sb&#10;CZvVYpl+LfuhdIe3ZL37WL3vfSrl40MiZsACDuEvDL/4ER2KyHS0PWnPWgnxkXC70UvFZALsKGE8&#10;fZ4CL3L+n764AlBLAwQUAAAACACHTuJAjW5bgwUCAAAQBAAADgAAAGRycy9lMm9Eb2MueG1srVPB&#10;ctsgEL13pv/AcK8lObHH0VjOwW56cVvPJP0ADMhiCiwD2JL/vguynSa95FAdEPCWt/sey/JxMJqc&#10;pA8KbEOrSUmJtByEsoeG/np5+rKgJERmBdNgZUPPMtDH1edPy97VcgodaCE9QRIb6t41tIvR1UUR&#10;eCcNCxNw0iLYgjcs4tIfCuFZj+xGF9OynBc9eOE8cBkC7m5GkF4Y/UcIoW0VlxvgRyNtHFm91Cyi&#10;pNApF+gqV9u2ksefbRtkJLqhqDTmEZPgfJ/GYrVk9cEz1yl+KYF9pIR3mgxTFpPeqDYsMnL06h8q&#10;o7iHAG2ccDDFKCQ7giqq8p03zx1zMmtBq4O7mR7+Hy3/cdp5okRD53eUWGbwxrfKSrJI1vQu1Bix&#10;tjufxPHBPrst8N+BWFh3zB5kLvHl7PBYNZoZ4nqwmbGaUfwPDb0bEWnFDZpfoHyoeJMnLYLDqvb9&#10;dxBIzI4RsrlD602qA20jSFvdL2YPJd7kOVU/vZ9frlMOkXDEH+bTcoo1cMRn5SKjBauvLM6H+E2C&#10;IWnSUI2qcxZ22oaI4jH0GpKSWnhSWud+0Zb0SD9D8oQE0EokMC/8Yb/WnpxY6rj8JfVI9ibMw9GK&#10;TBaZ0l+tIDGbGL1CW7WkKYORghIt8Zmm2ciiLZJdLRpvaA/ivPMJTvvYKDndpalTJ/69zlGvD3n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1cdLYAAAABQEAAA8AAAAAAAAAAQAgAAAAIgAAAGRy&#10;cy9kb3ducmV2LnhtbFBLAQIUABQAAAAIAIdO4kCNbluDBQIAABAEAAAOAAAAAAAAAAEAIAAAACcB&#10;AABkcnMvZTJvRG9jLnhtbFBLBQYAAAAABgAGAFkBAACeBQAAAAA=&#10;">
                  <v:fill on="f" focussize="0,0"/>
                  <v:stroke color="#000000" joinstyle="round" endarrow="block"/>
                  <v:imagedata o:title=""/>
                  <o:lock v:ext="edit" aspectratio="f"/>
                </v:line>
                <v:shape id="Text Box 15" o:spid="_x0000_s1026" o:spt="202" type="#_x0000_t202" style="position:absolute;left:2295525;top:959485;height:175260;width:1466850;" filled="f" stroked="f" coordsize="21600,21600" o:gfxdata="UEsDBAoAAAAAAIdO4kAAAAAAAAAAAAAAAAAEAAAAZHJzL1BLAwQUAAAACACHTuJAM6fVidYAAAAF&#10;AQAADwAAAGRycy9kb3ducmV2LnhtbE2PzU7DMBCE70i8g7VI3KjdFlVNiFMhBCckRBoOHDfxNrEa&#10;r0Ps/vD2GC7lstJoRjPfFpuzG8SRpmA9a5jPFAji1hvLnYaP+uVuDSJEZIODZ9LwTQE25fVVgbnx&#10;J67ouI2dSCUcctTQxzjmUoa2J4dh5kfi5O385DAmOXXSTHhK5W6QC6VW0qHltNDjSE89tfvtwWl4&#10;/OTq2X69Ne/VrrJ1nSl+Xe21vr2ZqwcQkc7xEoZf/IQOZWJq/IFNEIOG9Ej8u8lbq+USRKNhkd1n&#10;IMtC/qcvfwBQSwMEFAAAAAgAh07iQM3YEZYLAgAAEQQAAA4AAABkcnMvZTJvRG9jLnhtbK1Ty27b&#10;MBC8F+g/ELzXso3ItQXLQRojRYH0AST9gDVFWUQlLrukLblf3yVlp2l6yaEXYUUuZ2eGw/X10LXi&#10;qMkbtKWcTaZSaKuwMnZfyu+Pd++WUvgAtoIWrS7lSXt5vXn7Zt27Qs+xwbbSJBjE+qJ3pWxCcEWW&#10;edXoDvwEnba8WSN1EPiX9llF0DN612bz6XSR9UiVI1Tae17djpvyjEivAcS6NkpvUR06bcOISrqF&#10;wJJ8Y5yXm8S2rrUKX+va6yDaUrLSkL48hOtd/GabNRR7AtcYdaYAr6HwQlMHxvLQJ6gtBBAHMv9A&#10;dUYReqzDRGGXjUKSI6xiNn3hzUMDTictbLV3T6b7/wervhy/kTBVKRcrKSx0fOOPegjiAw5ilkd/&#10;eucLbntw3BgGXufUJK3e3aP64YXF2wbsXt8QYd9oqJjfLJ7Mnh0dcXwE2fWfseI5cAiYgIaaumge&#10;2yEYfT5f5fk8l+JUylW+ulomGlBEWipOv1osljnfoOKG2ft8vkj3mEFxAXLkw0eNnYhFKYljkAbB&#10;8d6HSAyKS0uca/HOtG2KQmv/WuDGuJKERO6jijDshrMxO6xOLIlwTBa/Ky4apF9S9JyqUvqfByAt&#10;RfvJsi0xgpeCLsXuUoBVfLSUQYqxvA1jVA+OzL5h5NF4izdsXW2SlOjxyOLMk5OSFJ5THaP4/D91&#10;/XnJ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p9WJ1gAAAAUBAAAPAAAAAAAAAAEAIAAAACIA&#10;AABkcnMvZG93bnJldi54bWxQSwECFAAUAAAACACHTuJAzdgRlgsCAAARBAAADgAAAAAAAAABACAA&#10;AAAlAQAAZHJzL2Uyb0RvYy54bWxQSwUGAAAAAAYABgBZAQAAogUAAAAA&#10;">
                  <v:fill on="f" focussize="0,0"/>
                  <v:stroke on="f"/>
                  <v:imagedata o:title=""/>
                  <o:lock v:ext="edit" aspectratio="f"/>
                  <v:textbox inset="0mm,0mm,0mm,0mm">
                    <w:txbxContent>
                      <w:p w14:paraId="764C2E25">
                        <w:pPr>
                          <w:rPr>
                            <w:shd w:val="pct15" w:color="auto" w:fill="FFFFFF"/>
                          </w:rPr>
                        </w:pPr>
                        <w:r>
                          <w:rPr>
                            <w:rFonts w:hint="eastAsia"/>
                            <w:shd w:val="pct15" w:color="auto" w:fill="FFFFFF"/>
                          </w:rPr>
                          <w:t>金属边角料、废切削油</w:t>
                        </w:r>
                      </w:p>
                    </w:txbxContent>
                  </v:textbox>
                </v:shape>
                <v:line id="Line 16" o:spid="_x0000_s1026" o:spt="20" style="position:absolute;left:3028950;top:744220;height:198120;width:635;" filled="f" stroked="t" coordsize="21600,21600" o:gfxdata="UEsDBAoAAAAAAIdO4kAAAAAAAAAAAAAAAAAEAAAAZHJzL1BLAwQUAAAACACHTuJAP7Vx0tgAAAAF&#10;AQAADwAAAGRycy9kb3ducmV2LnhtbE2PwW7CMBBE75X6D9ZW6q3YgaoKIQ6HSvQCpQKqCm4mXpKo&#10;8TqyHUj/HpdLe1lpNKOZt/l8MC07o/ONJQnJSABDKq1uqJLwuVs8pcB8UKRVawkl/KCHeXF/l6tM&#10;2wtt8LwNFYsl5DMloQ6hyzj3ZY1G+ZHtkKJ3ss6oEKWruHbqEstNy8dCvHCjGooLterwtcbye9sb&#10;CZvVYpl+LfuhdIe3ZL37WL3vfSrl40MiZsACDuEvDL/4ER2KyHS0PWnPWgnxkXC70UvFZALsKGE8&#10;fZ4CL3L+n764AlBLAwQUAAAACACHTuJASe/8XfMBAADbAwAADgAAAGRycy9lMm9Eb2MueG1srVPB&#10;ctsgEL13Jv/AcI9lKbFrayznYDe9uK1nkn4ABmQxBZYBbMl/3wU5aZpecqgODGh33773FlYPg9Hk&#10;LH1QYBtaTqaUSMtBKHts6M/nx9sFJSEyK5gGKxt6kYE+rG8+rXpXywo60EJ6giA21L1raBejq4si&#10;8E4aFibgpMVgC96wiEd/LIRnPaIbXVTT6bzowQvngcsQ8O92DNIrov8IILSt4nIL/GSkjSOql5pF&#10;lBQ65QJdZ7ZtK3n80bZBRqIbikpjXrEJ7g9pLdYrVh89c53iVwrsIxTeaTJMWWz6CrVlkZGTV/9A&#10;GcU9BGjjhIMpRiHZEVRRTt9589QxJ7MWtDq4V9PD/4Pl3897T5Ro6Ge0xDKDE98pK0k5T970LtSY&#10;srF7n9TxwT65HfBfgVjYdMweZeb4fHFYV6aK4q+SdAgOOxz6byAwh50iZKOG1psEiRaQoaF302qx&#10;nCGFCzK5v6+q62jkEAnH+PxuRgnHYLlclGOwYPULiPMhfpVgSNo0VKOA3ISddyEmUqx+SUk9LTwq&#10;rfPotSV9Q5ezapYLAmglUjClBX88bLQnZ5YuT/6yQoy8TfNwsiKDRab0FytIzHZEr9AgLWnqYKSg&#10;REt8cWk3UtL2aldyaPT6AOKy9ymcnMOZZ+7X+5ku1dtzzvrzJt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1cdLYAAAABQEAAA8AAAAAAAAAAQAgAAAAIgAAAGRycy9kb3ducmV2LnhtbFBLAQIU&#10;ABQAAAAIAIdO4kBJ7/xd8wEAANsDAAAOAAAAAAAAAAEAIAAAACcBAABkcnMvZTJvRG9jLnhtbFBL&#10;BQYAAAAABgAGAFkBAACMBQAAAAA=&#10;">
                  <v:fill on="f" focussize="0,0"/>
                  <v:stroke color="#000000" joinstyle="round" endarrow="block"/>
                  <v:imagedata o:title=""/>
                  <o:lock v:ext="edit" aspectratio="f"/>
                </v:line>
                <v:line id="Line 18" o:spid="_x0000_s1026" o:spt="20" style="position:absolute;left:3562350;top:639445;height:635;width:226695;" filled="f" stroked="t" coordsize="21600,21600" o:gfxdata="UEsDBAoAAAAAAIdO4kAAAAAAAAAAAAAAAAAEAAAAZHJzL1BLAwQUAAAACACHTuJAP7Vx0tgAAAAF&#10;AQAADwAAAGRycy9kb3ducmV2LnhtbE2PwW7CMBBE75X6D9ZW6q3YgaoKIQ6HSvQCpQKqCm4mXpKo&#10;8TqyHUj/HpdLe1lpNKOZt/l8MC07o/ONJQnJSABDKq1uqJLwuVs8pcB8UKRVawkl/KCHeXF/l6tM&#10;2wtt8LwNFYsl5DMloQ6hyzj3ZY1G+ZHtkKJ3ss6oEKWruHbqEstNy8dCvHCjGooLterwtcbye9sb&#10;CZvVYpl+LfuhdIe3ZL37WL3vfSrl40MiZsACDuEvDL/4ER2KyHS0PWnPWgnxkXC70UvFZALsKGE8&#10;fZ4CL3L+n764AlBLAwQUAAAACACHTuJA2B/37fMBAADbAwAADgAAAGRycy9lMm9Eb2MueG1srVPB&#10;ctsgEL13pv/AcK9ly5EbayznYDe9uK1nkn4ABiQxAZYBbNl/3wU5aZpecogODOjtvt33FlZ3Z6PJ&#10;SfqgwDZ0NplSIi0HoWzX0N+P919uKQmRWcE0WNnQiwz0bv3502pwtSyhBy2kJ0hiQz24hvYxuroo&#10;Au+lYWECTloEW/CGRTz6rhCeDchudFFOp4tiAC+cBy5DwL/bEaRXRv8eQmhbxeUW+NFIG0dWLzWL&#10;KCn0ygW6zt22reTxV9sGGYluKCqNecUiuD+ktVivWN155nrFry2w97TwRpNhymLRF6oti4wcvfqP&#10;yijuIUAbJxxMMQrJjqCK2fSNNw89czJrQauDezE9fBwt/3nae6JEQ7+WlFhmcOI7ZSWZ3SZvBhdq&#10;DNnYvU/q+Nk+uB3wp0AsbHpmO5l7fLw4zJuljOKflHQIDischh8gMIYdI2Sjzq03iRItIOeGzqtF&#10;Oa9wKpeGLubLm5tqHI08R8IRL8vFYllRwjOewYLVzyTOh/hdgiFp01CNAnIRdtqFmJpi9XNIqmnh&#10;XmmdR68tGRq6rMoqJwTQSiQwhQXfHTbakxNLlyd/WSEir8M8HK3IZJEp/c0KErMd0Ss0SEuaKhgp&#10;KNESX1zajS1pe7UrOTR6fQBx2fsEJ+dw5rn36/1Ml+r1OUf9fZP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1cdLYAAAABQEAAA8AAAAAAAAAAQAgAAAAIgAAAGRycy9kb3ducmV2LnhtbFBLAQIU&#10;ABQAAAAIAIdO4kDYH/ft8wEAANsDAAAOAAAAAAAAAAEAIAAAACcBAABkcnMvZTJvRG9jLnhtbFBL&#10;BQYAAAAABgAGAFkBAACMBQAAAAA=&#10;">
                  <v:fill on="f" focussize="0,0"/>
                  <v:stroke color="#000000" joinstyle="round" endarrow="block"/>
                  <v:imagedata o:title=""/>
                  <o:lock v:ext="edit" aspectratio="f"/>
                </v:line>
                <v:shape id="Text Box 19" o:spid="_x0000_s1026" o:spt="202" type="#_x0000_t202" style="position:absolute;left:2905125;top:134620;height:198120;width:342900;" filled="f" stroked="f" coordsize="21600,21600" o:gfxdata="UEsDBAoAAAAAAIdO4kAAAAAAAAAAAAAAAAAEAAAAZHJzL1BLAwQUAAAACACHTuJAM6fVidYAAAAF&#10;AQAADwAAAGRycy9kb3ducmV2LnhtbE2PzU7DMBCE70i8g7VI3KjdFlVNiFMhBCckRBoOHDfxNrEa&#10;r0Ps/vD2GC7lstJoRjPfFpuzG8SRpmA9a5jPFAji1hvLnYaP+uVuDSJEZIODZ9LwTQE25fVVgbnx&#10;J67ouI2dSCUcctTQxzjmUoa2J4dh5kfi5O385DAmOXXSTHhK5W6QC6VW0qHltNDjSE89tfvtwWl4&#10;/OTq2X69Ne/VrrJ1nSl+Xe21vr2ZqwcQkc7xEoZf/IQOZWJq/IFNEIOG9Ej8u8lbq+USRKNhkd1n&#10;IMtC/qcvfwBQSwMEFAAAAAgAh07iQKMu+gwHAgAAEAQAAA4AAABkcnMvZTJvRG9jLnhtbK1TTW8b&#10;IRC9V+p/QNzr9dpJGq+8jtJYqSqlH1LSH4BZ1ou6MHTA3k1/fQdYp2l6yaEXNDDDm3mPx/pqND07&#10;KvQabM3L2ZwzZSU02u5r/v3h9t0lZz4I24gerKr5o/L8avP2zXpwlVpAB32jkBGI9dXgat6F4Kqi&#10;8LJTRvgZOGUp2QIaEWiL+6JBMRC66YvFfH5RDICNQ5DKezrd5iSfEPE1gNC2WqotyINRNmRUVL0I&#10;RMl32nm+SdO2rZLha9t6FVhfc2Ia0kpNKN7FtdisRbVH4TotpxHEa0Z4wckIbanpE9RWBMEOqP+B&#10;MloieGjDTIIpMpGkCLEo5y+0ue+EU4kLSe3dk+j+/8HKL8dvyHRT8/dLzqww9OIPagzsA4ysXEV9&#10;BucrKrt3VBhGOifXJK7e3YH84ZmFm07YvbpGhKFToqH5ynizeHY14/gIshs+Q0N9xCFAAhpbNFE8&#10;koMR+mI1Py8X55w9Es7y7GIxPVMcS1J+eUYV9IAy5leXZc4XojrhOPThowLDYlBzJBekPuJ450Oc&#10;S1SnktjWwq3u++SE3v51QIXxJPGIo2cSYdyNky47aB6JEUI2Fn0rCjrAX5wNZKqa+58HgYqz/pMl&#10;VaIDTwGegt0pEFbS1ZoHznJ4E7JTDw71viPkrLuFa1Ku1YlKlDhPMc1JRkkMJ1NHJz7fp6o/H3n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On1YnWAAAABQEAAA8AAAAAAAAAAQAgAAAAIgAAAGRy&#10;cy9kb3ducmV2LnhtbFBLAQIUABQAAAAIAIdO4kCjLvoMBwIAABAEAAAOAAAAAAAAAAEAIAAAACUB&#10;AABkcnMvZTJvRG9jLnhtbFBLBQYAAAAABgAGAFkBAACeBQAAAAA=&#10;">
                  <v:fill on="f" focussize="0,0"/>
                  <v:stroke on="f"/>
                  <v:imagedata o:title=""/>
                  <o:lock v:ext="edit" aspectratio="f"/>
                  <v:textbox inset="0mm,0mm,0mm,0mm">
                    <w:txbxContent>
                      <w:p w14:paraId="251D1F9E">
                        <w:pPr>
                          <w:rPr>
                            <w:shd w:val="pct15" w:color="auto" w:fill="FFFFFF"/>
                          </w:rPr>
                        </w:pPr>
                        <w:r>
                          <w:rPr>
                            <w:rFonts w:hint="eastAsia"/>
                            <w:shd w:val="pct15" w:color="auto" w:fill="FFFFFF"/>
                          </w:rPr>
                          <w:t>噪声</w:t>
                        </w:r>
                      </w:p>
                    </w:txbxContent>
                  </v:textbox>
                </v:shape>
                <v:line id="Line 20" o:spid="_x0000_s1026" o:spt="20" style="position:absolute;left:3019425;top:332740;flip:y;height:198120;width:635;" filled="f" stroked="t" coordsize="21600,21600" o:gfxdata="UEsDBAoAAAAAAIdO4kAAAAAAAAAAAAAAAAAEAAAAZHJzL1BLAwQUAAAACACHTuJA993kgdcAAAAF&#10;AQAADwAAAGRycy9kb3ducmV2LnhtbE2PwU7DMBBE70j8g7VI3KidtqAmxOkBgcQJQVtV4ubGSxIa&#10;r4O9bQpfj+ECl5VGM5p5Wy5PrhdHDLHzpCGbKBBItbcdNRo264erBYjIhqzpPaGGT4ywrM7PSlNY&#10;P9ILHlfciFRCsTAaWuahkDLWLToTJ35ASt6bD85wkqGRNpgxlbteTpW6kc50lBZaM+Bdi/V+dXAa&#10;8vV47Z/DfjvPuo/Xr/t3Hh6fWOvLi0zdgmA88V8YfvATOlSJaecPZKPoNaRH+Pcmb6FmMxA7DdN8&#10;noOsSvmfvvoGUEsDBBQAAAAIAIdO4kCE6Rnh9gEAAOUDAAAOAAAAZHJzL2Uyb0RvYy54bWytU02T&#10;GiEQvacq/4HiHsdR98Mpxz1oNpdNYtVuckfocagATQE6+u/ToLWbmMseMgeKnm5ev/doFg9Ha9gB&#10;QtToWl6PxpyBk6i027X8x8vjp3vOYhJOCYMOWn6CyB+WHz8sBt/ABHs0CgIjEBebwbe8T8k3VRVl&#10;D1bEEXpwlOwwWJEoDLtKBTEQujXVZDy+rQYMygeUECP9XZ+T/IIY3gOIXaclrFHuLbh0Rg1gRCJJ&#10;sdc+8mVh23Ug0/eui5CYaTkpTWWlJrTf5rVaLkSzC8L3Wl4oiPdQuNJkhXbU9BVqLZJg+6D/gbJa&#10;BozYpZFEW52FFEdIRT2+8ua5Fx6KFrI6+lfT4/+Dld8Om8C0avndjDMnLN34k3bAJsWbwceGSlZu&#10;E7I6eXTP/gnlr8gcrnrhdlA4vpw8nauzm9VfR3IQPXXYDl9RUY3YJyxGHbtgWWe0/5kPZnAygx1b&#10;Ph3X89nkhrMT7aeTu9nlkuCYmKT87ZRykpL1/L4+s6xEk+EyiA8xfQG0LG9abkhKAReHp5gyvbeS&#10;XO7wURtThsA4NrR8fkOtcyai0SonSxB225UJ7CDyGJWvaL0qC7h3qoAloc1np1gqxqSgySoDPHew&#10;oDgzQG8v786UjLsYl73KsxubLarTJuR0juj2C/fLpObx+jMuVW+vc/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93kgdcAAAAFAQAADwAAAAAAAAABACAAAAAiAAAAZHJzL2Rvd25yZXYueG1sUEsB&#10;AhQAFAAAAAgAh07iQITpGeH2AQAA5QMAAA4AAAAAAAAAAQAgAAAAJgEAAGRycy9lMm9Eb2MueG1s&#10;UEsFBgAAAAAGAAYAWQEAAI4FAAAAAA==&#10;">
                  <v:fill on="f" focussize="0,0"/>
                  <v:stroke color="#000000" joinstyle="round" endarrow="block"/>
                  <v:imagedata o:title=""/>
                  <o:lock v:ext="edit" aspectratio="f"/>
                </v:line>
                <v:shape id="Text Box 26" o:spid="_x0000_s1026" o:spt="202" type="#_x0000_t202" style="position:absolute;left:1196340;top:1308100;height:214630;width:419735;" filled="f" stroked="f" coordsize="21600,21600" o:gfxdata="UEsDBAoAAAAAAIdO4kAAAAAAAAAAAAAAAAAEAAAAZHJzL1BLAwQUAAAACACHTuJAM6fVidYAAAAF&#10;AQAADwAAAGRycy9kb3ducmV2LnhtbE2PzU7DMBCE70i8g7VI3KjdFlVNiFMhBCckRBoOHDfxNrEa&#10;r0Ps/vD2GC7lstJoRjPfFpuzG8SRpmA9a5jPFAji1hvLnYaP+uVuDSJEZIODZ9LwTQE25fVVgbnx&#10;J67ouI2dSCUcctTQxzjmUoa2J4dh5kfi5O385DAmOXXSTHhK5W6QC6VW0qHltNDjSE89tfvtwWl4&#10;/OTq2X69Ne/VrrJ1nSl+Xe21vr2ZqwcQkc7xEoZf/IQOZWJq/IFNEIOG9Ej8u8lbq+USRKNhkd1n&#10;IMtC/qcvfwBQSwMEFAAAAAgAh07iQIrLMO4JAgAAEQQAAA4AAABkcnMvZTJvRG9jLnhtbK1Ty27b&#10;MBC8F+g/ELzXkmzXSQTLQRojRYH0AST9AJqiLKIil13Sltyv75KS0zS95NCLsCKXszPD4fp6MB07&#10;KvQabMWLWc6ZshJqbfcV//549+6SMx+ErUUHVlX8pDy/3rx9s+5dqebQQlcrZARifdm7irchuDLL&#10;vGyVEX4GTlnabACNCPSL+6xG0RO66bJ5nq+yHrB2CFJ5T6vbcZNPiPgaQGgaLdUW5MEoG0ZUVJ0I&#10;JMm32nm+SWybRsnwtWm8CqyrOCkN6UtDqN7Fb7ZZi3KPwrVaThTEayi80GSEtjT0CWorgmAH1P9A&#10;GS0RPDRhJsFko5DkCKko8hfePLTCqaSFrPbuyXT//2Dll+M3ZLqu+AXduxWGbvxRDYF9gIHNV9Gf&#10;3vmS2h4cNYaB1ik1Sat39yB/eGbhthV2r24QoW+VqIlfEU9mz46OOD6C7PrPUNMccQiQgIYGTTSP&#10;7GARvbhaLZZ0QyeqF/llkU/3FHlJalgWVxeL95xJapgXy9Ui7WeiPAM59OGjAsNiUXGkGKRB4njv&#10;QyQmynNLnGvhTnddikJn/1qgxriShETuo4ow7IbJmB3UJ5KEMCaL3hUVLeAvznpKVcX9z4NAxVn3&#10;yZItMYLnAs/F7lwIK+loxQNnY3kbxqgeHOp9S8ij8RZuyLpGJynR45HFxJOSkhROqY5RfP6fuv68&#10;5M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6fVidYAAAAFAQAADwAAAAAAAAABACAAAAAiAAAA&#10;ZHJzL2Rvd25yZXYueG1sUEsBAhQAFAAAAAgAh07iQIrLMO4JAgAAEQQAAA4AAAAAAAAAAQAgAAAA&#10;JQEAAGRycy9lMm9Eb2MueG1sUEsFBgAAAAAGAAYAWQEAAKAFAAAAAA==&#10;">
                  <v:fill on="f" focussize="0,0"/>
                  <v:stroke on="f"/>
                  <v:imagedata o:title=""/>
                  <o:lock v:ext="edit" aspectratio="f"/>
                  <v:textbox inset="0mm,0mm,0mm,0mm">
                    <w:txbxContent>
                      <w:p w14:paraId="6680E504">
                        <w:pPr>
                          <w:jc w:val="center"/>
                        </w:pPr>
                        <w:r>
                          <w:rPr>
                            <w:rFonts w:hint="eastAsia"/>
                          </w:rPr>
                          <w:t>入库</w:t>
                        </w:r>
                      </w:p>
                    </w:txbxContent>
                  </v:textbox>
                </v:shape>
                <v:shape id="Text Box 27" o:spid="_x0000_s1026" o:spt="202" type="#_x0000_t202" style="position:absolute;left:1884045;top:1303655;height:205105;width:742950;" fillcolor="#FFFFFF" filled="t" stroked="t" coordsize="21600,21600" o:gfxdata="UEsDBAoAAAAAAIdO4kAAAAAAAAAAAAAAAAAEAAAAZHJzL1BLAwQUAAAACACHTuJAkZmJMtYAAAAF&#10;AQAADwAAAGRycy9kb3ducmV2LnhtbE2PzU7DMBCE70i8g7VI3KjdFKEmxKkoEhKIC20RZzfe/EC8&#10;jmw3LW/PwqVcVhrNaObbcnVyg5gwxN6ThvlMgUCqve2p1fC+e7pZgojJkDWDJ9TwjRFW1eVFaQrr&#10;j7TBaZtawSUUC6OhS2kspIx1h87EmR+R2Gt8cCaxDK20wRy53A0yU+pOOtMTL3RmxMcO66/twWnY&#10;Tev4vPlMuX1p1jJ7bd6yj/Cg9fXVXN2DSHhK5zD84jM6VMy09weyUQwa+JH0d9lbqsUCxF5Dlt/m&#10;IKtS/qevfgBQSwMEFAAAAAgAh07iQJrK3ZE0AgAAgwQAAA4AAABkcnMvZTJvRG9jLnhtbK1U227b&#10;MAx9H7B/EPS+2knrNjXiFF2LDgO6C9DuAxRZjoVJokYpsbuvHyUnXdBtQB/mB4GSqEPy8NDLq9Ea&#10;tlMYNLiGz05KzpST0Gq3afi3x7t3C85CFK4VBpxq+JMK/Gr19s1y8LWaQw+mVcgIxIV68A3vY/R1&#10;UQTZKyvCCXjl6LIDtCLSFjdFi2IgdGuKeVmeFwNg6xGkCoFOb6dLvkfE1wBC12mpbkFurXJxQkVl&#10;RKSSQq994KucbdcpGb90XVCRmYZTpTGvFITsdVqL1VLUGxS+13KfgnhNCi9qskI7CvoMdSuiYFvU&#10;f0BZLRECdPFEgi2mQjIjVMWsfMHNQy+8yrUQ1cE/kx7+H6z8vPuKTLcNv7jkzAlLHX9UY2TvYWTz&#10;i8TP4ENNbg+eHONI56SaXGvw9yC/B+bgphduo64RYeiVaCm/WXpZHD2dcEICWQ+foKU4YhshA40d&#10;2kQe0cES+mJxVp5VnD2RfVqenlfV1KeUlySHi7P5ZUUdlOQwL6tZme8LUR+APIb4QYFlyWg4kgxy&#10;ILG7DzElJuqDS4obwOj2ThuTN7hZ3xhkO0GSuctfruWFm3FsaPhlNa8mLv4JUebvbxBWR5oko23D&#10;F8dOxu2pS2xNvMVxPe5bsYb2iUhEmLRMk0xGD/iTs4F03PDwYytQcWY+OmpEEv3BwIOxPhjCSXra&#10;8MjZZN7EaTi2HvWmJ+Sp1Q6uqVmdzuSlrk5Z7PMkbWZO93OUxH+8z16//x2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GZiTLWAAAABQEAAA8AAAAAAAAAAQAgAAAAIgAAAGRycy9kb3ducmV2Lnht&#10;bFBLAQIUABQAAAAIAIdO4kCayt2RNAIAAIMEAAAOAAAAAAAAAAEAIAAAACUBAABkcnMvZTJvRG9j&#10;LnhtbFBLBQYAAAAABgAGAFkBAADLBQAAAAA=&#10;">
                  <v:fill on="t" focussize="0,0"/>
                  <v:stroke color="#000000" miterlimit="8" joinstyle="miter"/>
                  <v:imagedata o:title=""/>
                  <o:lock v:ext="edit" aspectratio="f"/>
                  <v:textbox inset="0mm,0mm,0mm,0mm">
                    <w:txbxContent>
                      <w:p w14:paraId="4F268960">
                        <w:pPr>
                          <w:jc w:val="center"/>
                        </w:pPr>
                        <w:r>
                          <w:rPr>
                            <w:rFonts w:hint="eastAsia"/>
                          </w:rPr>
                          <w:t>包装</w:t>
                        </w:r>
                      </w:p>
                    </w:txbxContent>
                  </v:textbox>
                </v:shape>
                <v:line id="Line 28" o:spid="_x0000_s1026" o:spt="20" style="position:absolute;left:3585210;top:1424940;flip:x y;height:2540;width:213995;" filled="f" stroked="t" coordsize="21600,21600" o:gfxdata="UEsDBAoAAAAAAIdO4kAAAAAAAAAAAAAAAAAEAAAAZHJzL1BLAwQUAAAACACHTuJAGQqdd9cAAAAF&#10;AQAADwAAAGRycy9kb3ducmV2LnhtbE2PwU7DMBBE70j8g7VIXCpqJ0VVm8apEBJQcalo+QA33iYB&#10;ex3FTlv+noULXFYazWjmbbm+eCdOOMQukIZsqkAg1cF21Gh43z/dLUDEZMgaFwg1fGGEdXV9VZrC&#10;hjO94WmXGsElFAujoU2pL6SMdYvexGnokdg7hsGbxHJopB3Mmcu9k7lSc+lNR7zQmh4fW6w/d6PX&#10;8NBvP8Z8kz1btc8nE7eZZ+HlVevbm0ytQCS8pL8w/OAzOlTMdAgj2SicBn4k/V72Fmo2A3HQkC/v&#10;lyCrUv6nr74BUEsDBBQAAAAIAIdO4kAJQ5h6EwIAACYEAAAOAAAAZHJzL2Uyb0RvYy54bWytU8GO&#10;2yAQvVfqPyDujRMnrhIrzh6SbnvYtpF22zsBHKMCg4DEzt93wGl2u73soT6gwW948+YxrO8Go8lZ&#10;+qDANnQ2mVIiLQeh7LGhP57uPywpCZFZwTRY2dCLDPRu8/7dune1LKEDLaQnSGJD3buGdjG6uigC&#10;76RhYQJOWgRb8IZF3PpjITzrkd3oopxOPxY9eOE8cBkC/t2NIL0y+rcQQtsqLnfAT0baOLJ6qVnE&#10;lkKnXKCbrLZtJY/f2zbISHRDsdOYVyyC8SGtxWbN6qNnrlP8KoG9RcKrngxTFoveqHYsMnLy6h8q&#10;o7iHAG2ccDDF2Eh2BLuYTV9589gxJ3MvaHVwN9PD/6Pl3857T5Ro6BItsczgjT8oK0m5TN70LtSY&#10;srV7n7rjg310D8B/BWJh2zF7lFnj08XhudnoZojbwY6UOEpKDDdEWvEHWmG1DM3ToeKvOmkTHMo6&#10;9F9BIDE7RcjuDq03pNXKfUmcOfqZoqQNvSRYal4tq3KG7BcEFuVitbheshwi4ZhQzuarVUUJx4Sy&#10;GtGC1Yk60Tgf4mcJhqSgoRq9yPTs/BBikvqcktIt3Cut8xRpS/qGrqqyygcCaCUSmNKCPx622pMz&#10;S3OYv9w3Ii/TPJysyGSRKf3JChKzs9Er9FpLmioYKSjREh9vikZJ2l5NTL6N13YAcdn7BCc/cXyy&#10;9uuop/l8uc9Zz897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ZCp131wAAAAUBAAAPAAAAAAAA&#10;AAEAIAAAACIAAABkcnMvZG93bnJldi54bWxQSwECFAAUAAAACACHTuJACUOYehMCAAAmBAAADgAA&#10;AAAAAAABACAAAAAmAQAAZHJzL2Uyb0RvYy54bWxQSwUGAAAAAAYABgBZAQAAqwUAAAAA&#10;">
                  <v:fill on="f" focussize="0,0"/>
                  <v:stroke color="#000000" joinstyle="round" endarrow="block"/>
                  <v:imagedata o:title=""/>
                  <o:lock v:ext="edit" aspectratio="f"/>
                </v:line>
                <v:shape id="Text Box 32" o:spid="_x0000_s1026" o:spt="202" type="#_x0000_t202" style="position:absolute;left:3803650;top:548005;height:205105;width:742950;" fillcolor="#FFFFFF" filled="t" stroked="t" coordsize="21600,21600" o:gfxdata="UEsDBAoAAAAAAIdO4kAAAAAAAAAAAAAAAAAEAAAAZHJzL1BLAwQUAAAACACHTuJAkZmJMtYAAAAF&#10;AQAADwAAAGRycy9kb3ducmV2LnhtbE2PzU7DMBCE70i8g7VI3KjdFKEmxKkoEhKIC20RZzfe/EC8&#10;jmw3LW/PwqVcVhrNaObbcnVyg5gwxN6ThvlMgUCqve2p1fC+e7pZgojJkDWDJ9TwjRFW1eVFaQrr&#10;j7TBaZtawSUUC6OhS2kspIx1h87EmR+R2Gt8cCaxDK20wRy53A0yU+pOOtMTL3RmxMcO66/twWnY&#10;Tev4vPlMuX1p1jJ7bd6yj/Cg9fXVXN2DSHhK5zD84jM6VMy09weyUQwa+JH0d9lbqsUCxF5Dlt/m&#10;IKtS/qevfgBQSwMEFAAAAAgAh07iQNoRwFAyAgAAggQAAA4AAABkcnMvZTJvRG9jLnhtbK1UwW7b&#10;MAy9D9g/CLqvdtKmS406Rdeiw4CuG9DuAxRZjoVJokYpsbuvHyUlXdFtQA/zQaBE6pF8fPL5xWQN&#10;2ykMGlzLZ0c1Z8pJ6LTbtPzbw827JWchCtcJA061/FEFfrF6++Z89I2awwCmU8gIxIVm9C0fYvRN&#10;VQU5KCvCEXjlyNkDWhFpi5uqQzESujXVvK5PqxGw8whShUCn18XJ94j4GkDoey3VNcitVS4WVFRG&#10;RGopDNoHvsrV9r2S8UvfBxWZaTl1GvNKSchep7VanYtmg8IPWu5LEK8p4UVPVmhHSZ+grkUUbIv6&#10;DyirJUKAPh5JsFVpJDNCXczqF9zcD8Kr3AtRHfwT6eH/wcq73Vdkumv58oQzJyxN/EFNkX2AiR3P&#10;Ez+jDw2F3XsKjBOdk2pyr8HfgvwemIOrQbiNukSEcVCio/pm6Wb17GrBCQlkPX6GjvKIbYQMNPVo&#10;E3lEByP042V9fLqgCT22fHGyrOtFGVMqS5L//cn8LLkl+ef1Ylb8lWgOOB5D/KjAsmS0HEkFOY/Y&#10;3YaY6hLNISSlDWB0d6ONyRvcrK8Msp0gxdzkL7fyIsw4Nrb8bDFfFCr+CVHn728QVkd6SEZb4v55&#10;kHF75hJZhbY4raf9JNbQPRKHCEXK9JDJGAB/cjaSjFsefmwFKs7MJ0dzSJo/GHgw1gdDOElXWx45&#10;K+ZVLG9j61FvBkIuk3ZwSbPqdSYvDbVUsa+TpJk53T+jpP3n+xz1+9ex+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mYky1gAAAAUBAAAPAAAAAAAAAAEAIAAAACIAAABkcnMvZG93bnJldi54bWxQ&#10;SwECFAAUAAAACACHTuJA2hHAUDICAACCBAAADgAAAAAAAAABACAAAAAlAQAAZHJzL2Uyb0RvYy54&#10;bWxQSwUGAAAAAAYABgBZAQAAyQUAAAAA&#10;">
                  <v:fill on="t" focussize="0,0"/>
                  <v:stroke color="#000000" miterlimit="8" joinstyle="miter"/>
                  <v:imagedata o:title=""/>
                  <o:lock v:ext="edit" aspectratio="f"/>
                  <v:textbox inset="0mm,0mm,0mm,0mm">
                    <w:txbxContent>
                      <w:p w14:paraId="6D9F6BFD">
                        <w:pPr>
                          <w:jc w:val="center"/>
                        </w:pPr>
                        <w:r>
                          <w:rPr>
                            <w:rFonts w:hint="eastAsia"/>
                          </w:rPr>
                          <w:t>热处理</w:t>
                        </w:r>
                      </w:p>
                    </w:txbxContent>
                  </v:textbox>
                </v:shape>
                <v:line id="Line 33" o:spid="_x0000_s1026" o:spt="20" style="position:absolute;left:4170680;top:753110;flip:x;height:571500;width:4445;" filled="f" stroked="t" coordsize="21600,21600" o:gfxdata="UEsDBAoAAAAAAIdO4kAAAAAAAAAAAAAAAAAEAAAAZHJzL1BLAwQUAAAACACHTuJA993kgdcAAAAF&#10;AQAADwAAAGRycy9kb3ducmV2LnhtbE2PwU7DMBBE70j8g7VI3KidtqAmxOkBgcQJQVtV4ubGSxIa&#10;r4O9bQpfj+ECl5VGM5p5Wy5PrhdHDLHzpCGbKBBItbcdNRo264erBYjIhqzpPaGGT4ywrM7PSlNY&#10;P9ILHlfciFRCsTAaWuahkDLWLToTJ35ASt6bD85wkqGRNpgxlbteTpW6kc50lBZaM+Bdi/V+dXAa&#10;8vV47Z/DfjvPuo/Xr/t3Hh6fWOvLi0zdgmA88V8YfvATOlSJaecPZKPoNaRH+Pcmb6FmMxA7DdN8&#10;noOsSvmfvvoGUEsDBBQAAAAIAIdO4kDbt+rEEQIAABsEAAAOAAAAZHJzL2Uyb0RvYy54bWytU8Fy&#10;2yAQvXem/8BwryXZVuxqLOdgN+3BbTyT9AMwIIspYhnAlvz3XZDrNOklh+qAgLd6b/ftanU/dJqc&#10;pfMKTE2LSU6JNByEMsea/nx++LSkxAdmBNNgZE0v0tP79ccPq95WcgotaCEdQRLjq97WtA3BVlnm&#10;eSs75idgpUGwAdexgEd3zIRjPbJ3Opvm+V3WgxPWAZfe4+12BOmV0b2HEJpGcbkFfuqkCSOrk5oF&#10;LMm3ynq6Ttk2jeThsWm8DETXFCsNaUUR3B/imq1XrDo6ZlvFrymw96TwpqaOKYOiN6otC4ycnPqH&#10;qlPcgYcmTDh02VhIcgSrKPI33jy1zMpUC1rt7c10//9o+Y/z3hElarosKTGsw47vlJFkNove9NZX&#10;GLIxexer44N5sjvgvzwxsGmZOcqU4/PF4nfF6KYPm8GMlHOK76Gm0xGRRtwgnLIEpRZkr3TiwVtM&#10;69B/B4HE7BQguTs0riONVvZbVIsZoYMEBebFIr9bYlMvNV2Us6K4dlYOgfCIz+dYHke0XBRlPoqy&#10;KvJFFut8+CqhI3FTU40GJHZ23vmANmQvITHcwIPSOo2ONqSv6edyWqYPPGglIhjDvDseNtqRM4vD&#10;l57oA5K9CnNwMiKRBab0FyNISHYGp9BgLWlU6KSgREv8Y+NuZNEGyf6YNfbqAOKydxGO9zgzSe46&#10;33Eo/z6nqJd/ev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93kgdcAAAAFAQAADwAAAAAAAAAB&#10;ACAAAAAiAAAAZHJzL2Rvd25yZXYueG1sUEsBAhQAFAAAAAgAh07iQNu36sQRAgAAGwQAAA4AAAAA&#10;AAAAAQAgAAAAJgEAAGRycy9lMm9Eb2MueG1sUEsFBgAAAAAGAAYAWQEAAKkFAAAAAA==&#10;">
                  <v:fill on="f" focussize="0,0"/>
                  <v:stroke color="#000000" joinstyle="round" endarrow="block"/>
                  <v:imagedata o:title=""/>
                  <o:lock v:ext="edit" aspectratio="f"/>
                </v:line>
                <v:shape id="Text Box 34" o:spid="_x0000_s1026" o:spt="202" type="#_x0000_t202" style="position:absolute;left:3843655;top:170815;height:165735;width:628650;" filled="f" stroked="f" coordsize="21600,21600" o:gfxdata="UEsDBAoAAAAAAIdO4kAAAAAAAAAAAAAAAAAEAAAAZHJzL1BLAwQUAAAACACHTuJAM6fVidYAAAAF&#10;AQAADwAAAGRycy9kb3ducmV2LnhtbE2PzU7DMBCE70i8g7VI3KjdFlVNiFMhBCckRBoOHDfxNrEa&#10;r0Ps/vD2GC7lstJoRjPfFpuzG8SRpmA9a5jPFAji1hvLnYaP+uVuDSJEZIODZ9LwTQE25fVVgbnx&#10;J67ouI2dSCUcctTQxzjmUoa2J4dh5kfi5O385DAmOXXSTHhK5W6QC6VW0qHltNDjSE89tfvtwWl4&#10;/OTq2X69Ne/VrrJ1nSl+Xe21vr2ZqwcQkc7xEoZf/IQOZWJq/IFNEIOG9Ej8u8lbq+USRKNhkd1n&#10;IMtC/qcvfwBQSwMEFAAAAAgAh07iQOdgnPsJAgAAEAQAAA4AAABkcnMvZTJvRG9jLnhtbK1TTW8b&#10;IRC9V+p/QNzr9Ue8sVZeR2msVJXSplLSH4BZ1ou6MHTA3k1/fQew0zS95NALGpjhzbzHY301mp4d&#10;FXoNtuazyZQzZSU02u5r/v3x9sOKMx+EbUQPVtX8SXl+tXn/bj24Ss2hg75RyAjE+mpwNe9CcFVR&#10;eNkpI/wEnLKUbAGNCLTFfdGgGAjd9MV8Oi2LAbBxCFJ5T6fbnOQnRHwLILStlmoL8mCUDRkVVS8C&#10;UfKddp5v0rRtq2S4b1uvAutrTkxDWqkJxbu4Fpu1qPYoXKflaQTxlhFecTJCW2r6DLUVQbAD6n+g&#10;jJYIHtowkWCKTCQpQixm01faPHTCqcSFpPbuWXT//2Dl1+M3ZLqp+arkzApDL/6oxsA+wsgWF1Gf&#10;wfmKyh4cFYaRzsk1iat3dyB/eGbhphN2r64RYeiUaGi+WbxZvLiacXwE2Q1foKE+4hAgAY0tmige&#10;ycEIfbG6WJTLJWdPhHM5Xc2W+ZniWJLy5XxVLukBZcyXy8tFyheiOuM49OGTAsNiUHMkF6Q+4njn&#10;Q5xLVOeS2NbCre775ITe/nVAhfEk8YijZxJh3I0nXXbQPBEjhGws+lYUdIC/OBvIVDX3Pw8CFWf9&#10;Z0uqRAeeAzwHu3MgrKSrNQ+c5fAmZKceHOp9R8hZdwvXpFyrE5UocZ7iNCcZJTE8mTo68eU+Vf35&#10;yJ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6fVidYAAAAFAQAADwAAAAAAAAABACAAAAAiAAAA&#10;ZHJzL2Rvd25yZXYueG1sUEsBAhQAFAAAAAgAh07iQOdgnPsJAgAAEAQAAA4AAAAAAAAAAQAgAAAA&#10;JQEAAGRycy9lMm9Eb2MueG1sUEsFBgAAAAAGAAYAWQEAAKAFAAAAAA==&#10;">
                  <v:fill on="f" focussize="0,0"/>
                  <v:stroke on="f"/>
                  <v:imagedata o:title=""/>
                  <o:lock v:ext="edit" aspectratio="f"/>
                  <v:textbox inset="0mm,0mm,0mm,0mm">
                    <w:txbxContent>
                      <w:p w14:paraId="4A50489D">
                        <w:pPr>
                          <w:rPr>
                            <w:shd w:val="pct15" w:color="auto" w:fill="FFFFFF"/>
                          </w:rPr>
                        </w:pPr>
                        <w:r>
                          <w:rPr>
                            <w:rFonts w:hint="eastAsia"/>
                            <w:shd w:val="pct15" w:color="auto" w:fill="FFFFFF"/>
                          </w:rPr>
                          <w:t>油烟废气</w:t>
                        </w:r>
                      </w:p>
                    </w:txbxContent>
                  </v:textbox>
                </v:shape>
                <v:line id="Line 35" o:spid="_x0000_s1026" o:spt="20" style="position:absolute;left:4166870;top:336550;flip:y;height:198120;width:635;" filled="f" stroked="t" coordsize="21600,21600" o:gfxdata="UEsDBAoAAAAAAIdO4kAAAAAAAAAAAAAAAAAEAAAAZHJzL1BLAwQUAAAACACHTuJA993kgdcAAAAF&#10;AQAADwAAAGRycy9kb3ducmV2LnhtbE2PwU7DMBBE70j8g7VI3KidtqAmxOkBgcQJQVtV4ubGSxIa&#10;r4O9bQpfj+ECl5VGM5p5Wy5PrhdHDLHzpCGbKBBItbcdNRo264erBYjIhqzpPaGGT4ywrM7PSlNY&#10;P9ILHlfciFRCsTAaWuahkDLWLToTJ35ASt6bD85wkqGRNpgxlbteTpW6kc50lBZaM+Bdi/V+dXAa&#10;8vV47Z/DfjvPuo/Xr/t3Hh6fWOvLi0zdgmA88V8YfvATOlSJaecPZKPoNaRH+Pcmb6FmMxA7DdN8&#10;noOsSvmfvvoGUEsDBBQAAAAIAIdO4kBIkmZb+QEAAOUDAAAOAAAAZHJzL2Uyb0RvYy54bWytU8Fu&#10;GjEQvVfqP1i+l2WhELJiyQGaXtIWKWnvxp5lrdoeyzYs/H3HBiVpesmhe7DsnZk37z2Pl3cna9gR&#10;QtToWl6PxpyBk6i027f859P9pwVnMQmnhEEHLT9D5Herjx+Wg29ggj0aBYERiIvN4Fvep+Sbqoqy&#10;ByviCD04CnYYrEh0DPtKBTEQujXVZDyeVwMG5QNKiJH+bi5BfkUM7wHErtMSNigPFly6oAYwIpGk&#10;2Gsf+aqw7TqQ6UfXRUjMtJyUprJSE9rv8lqtlqLZB+F7La8UxHsovNFkhXbU9BlqI5Jgh6D/gbJa&#10;BozYpZFEW12EFEdIRT1+481jLzwULWR19M+mx/8HK78ft4Fp1fLFDWdOWLrxB+2ATWfZm8HHhlLW&#10;bhuyOnlyj/4B5e/IHK574fZQOD6dPdXVuaL6qyQfoqcOu+EbKsoRh4TFqFMXLOuM9r9yYQYnM9ip&#10;5Z/r+XxxQ/dzbvl0Op/NrpcEp8QkxefEjEkK1reLelKClWgyXAbxIaavgJblTcsNSSng4vgQU6b3&#10;kpLTHd5rY8oQGMeGlt/OJrNSENFolYM5LYb9bm0CO4o8RuUrWinyOi3gwakCloQ2X5xiqRiTgiar&#10;DPDcwYLizAC9vby7UDLualz26uL6DtV5G3I4e0i3X7hfJzWP1+tzyXp5na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93kgdcAAAAFAQAADwAAAAAAAAABACAAAAAiAAAAZHJzL2Rvd25yZXYueG1s&#10;UEsBAhQAFAAAAAgAh07iQEiSZlv5AQAA5QMAAA4AAAAAAAAAAQAgAAAAJgEAAGRycy9lMm9Eb2Mu&#10;eG1sUEsFBgAAAAAGAAYAWQEAAJEFAAAAAA==&#10;">
                  <v:fill on="f" focussize="0,0"/>
                  <v:stroke color="#000000" joinstyle="round" endarrow="block"/>
                  <v:imagedata o:title=""/>
                  <o:lock v:ext="edit" aspectratio="f"/>
                </v:line>
                <v:shape id="Text Box 36" o:spid="_x0000_s1026" o:spt="202" type="#_x0000_t202" style="position:absolute;left:3799205;top:1324610;height:205105;width:742950;" fillcolor="#FFFFFF" filled="t" stroked="t" coordsize="21600,21600" o:gfxdata="UEsDBAoAAAAAAIdO4kAAAAAAAAAAAAAAAAAEAAAAZHJzL1BLAwQUAAAACACHTuJAkZmJMtYAAAAF&#10;AQAADwAAAGRycy9kb3ducmV2LnhtbE2PzU7DMBCE70i8g7VI3KjdFKEmxKkoEhKIC20RZzfe/EC8&#10;jmw3LW/PwqVcVhrNaObbcnVyg5gwxN6ThvlMgUCqve2p1fC+e7pZgojJkDWDJ9TwjRFW1eVFaQrr&#10;j7TBaZtawSUUC6OhS2kspIx1h87EmR+R2Gt8cCaxDK20wRy53A0yU+pOOtMTL3RmxMcO66/twWnY&#10;Tev4vPlMuX1p1jJ7bd6yj/Cg9fXVXN2DSHhK5zD84jM6VMy09weyUQwa+JH0d9lbqsUCxF5Dlt/m&#10;IKtS/qevfgBQSwMEFAAAAAgAh07iQJRbLmQxAgAAgwQAAA4AAABkcnMvZTJvRG9jLnhtbK1UUW/T&#10;MBB+R+I/WH5nabu1W6ul01hVhDQG0sYPcB2nsbB95uw2Kb+es5OOMkDaA3mwzsnn7+6+75zrm84a&#10;tlcYNLiSj89GnCknodJuW/KvT+t3V5yFKFwlDDhV8oMK/Gb59s116xdqAg2YSiEjEhcWrS95E6Nf&#10;FEWQjbIinIFXjj7WgFZE2uK2qFC0xG5NMRmNZkULWHkEqUKgt6v+Ix8Y8TWEUNdaqhXInVUu9qyo&#10;jIjUUmi0D3yZq61rJePnug4qMlNy6jTmlZJQvElrsbwWiy0K32g5lCBeU8KLnqzQjpI+U61EFGyH&#10;+g8qqyVCgDqeSbBF30hWhLoYj15o89gIr3IvJHXwz6KH/0crH/ZfkOmq5FfkuxOWHH9SXWTvoWPn&#10;s6RP68OCYI+egLGj9zQ1udfg70F+C8zBXSPcVt0iQtsoUVF943SyODna84REsmk/QUV5xC5CJupq&#10;tEk8koMR+/nlfD4ZTTk7EM/55GI2HnxKdUkCXF5M5lNyUBKAgGPCpmxicSTyGOIHBZaloORIY5AT&#10;if19iD30CEl5AxhdrbUxeYPbzZ1Bthc0Muv8DOy/wYxjbcnn08m01+KfFKP8/I3C6kg3yWhL4p+C&#10;jBukS2r1usVu0w1WbKA6kIgI/SzTTaagAfzBWUtzXPLwfSdQcWY+OjIiDf0xwGOwOQbCSTpa8shZ&#10;H97F/nLsPOptQ8y91Q5uyaxaZ/GSq30VQ500m1n+4R6l4T/dZ9Svf8f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GZiTLWAAAABQEAAA8AAAAAAAAAAQAgAAAAIgAAAGRycy9kb3ducmV2LnhtbFBL&#10;AQIUABQAAAAIAIdO4kCUWy5kMQIAAIMEAAAOAAAAAAAAAAEAIAAAACUBAABkcnMvZTJvRG9jLnht&#10;bFBLBQYAAAAABgAGAFkBAADIBQAAAAA=&#10;">
                  <v:fill on="t" focussize="0,0"/>
                  <v:stroke color="#000000" miterlimit="8" joinstyle="miter"/>
                  <v:imagedata o:title=""/>
                  <o:lock v:ext="edit" aspectratio="f"/>
                  <v:textbox inset="0mm,0mm,0mm,0mm">
                    <w:txbxContent>
                      <w:p w14:paraId="2F8BD30F">
                        <w:pPr>
                          <w:jc w:val="center"/>
                        </w:pPr>
                        <w:r>
                          <w:rPr>
                            <w:rFonts w:hint="eastAsia"/>
                          </w:rPr>
                          <w:t>清洗</w:t>
                        </w:r>
                      </w:p>
                    </w:txbxContent>
                  </v:textbox>
                </v:shape>
                <v:shape id="Text Box 38" o:spid="_x0000_s1026" o:spt="202" type="#_x0000_t202" style="position:absolute;left:2842260;top:1322070;height:205105;width:742950;" fillcolor="#FFFFFF" filled="t" stroked="t" coordsize="21600,21600" o:gfxdata="UEsDBAoAAAAAAIdO4kAAAAAAAAAAAAAAAAAEAAAAZHJzL1BLAwQUAAAACACHTuJAkZmJMtYAAAAF&#10;AQAADwAAAGRycy9kb3ducmV2LnhtbE2PzU7DMBCE70i8g7VI3KjdFKEmxKkoEhKIC20RZzfe/EC8&#10;jmw3LW/PwqVcVhrNaObbcnVyg5gwxN6ThvlMgUCqve2p1fC+e7pZgojJkDWDJ9TwjRFW1eVFaQrr&#10;j7TBaZtawSUUC6OhS2kspIx1h87EmR+R2Gt8cCaxDK20wRy53A0yU+pOOtMTL3RmxMcO66/twWnY&#10;Tev4vPlMuX1p1jJ7bd6yj/Cg9fXVXN2DSHhK5zD84jM6VMy09weyUQwa+JH0d9lbqsUCxF5Dlt/m&#10;IKtS/qevfgBQSwMEFAAAAAgAh07iQAn3kJ0zAgAAgwQAAA4AAABkcnMvZTJvRG9jLnhtbK2UUW/T&#10;MBDH35H4DpbfWdJs3bpo6TRaDSGNgbTxAVzHaSxsnzm7Tcan5+KkowyQ9kAeonN8/t3d/865uu6t&#10;YXuFQYOr+Owk50w5CbV224p/fbx9t+AsROFqYcCpij+pwK+Xb99cdb5UBbRgaoWMIC6Una94G6Mv&#10;syzIVlkRTsArR5sNoBWRlrjNahQd0a3Jijw/zzrA2iNIFQJ9XY+bfCLia4DQNFqqNcidVS6OVFRG&#10;RCoptNoHvkzZNo2S8XPTBBWZqThVGtObgpC9Gd7Z8kqUWxS+1XJKQbwmhRc1WaEdBX1GrUUUbIf6&#10;D5TVEiFAE08k2GwsJClCVczyF9o8tMKrVAtJHfyz6OH/YeX9/gsyXVf8kiRxwlLHH1Uf2Xvo2eli&#10;0KfzoSS3B0+OsafvNDWp1uDvQH4LzMGqFW6rbhCha5WoKb/ZcDI7OjpywgDZdJ+gpjhiFyGB+gbt&#10;IB7JwYheLM6K4pzSeSLOaVHkF1OfhrwkOVycFZdz2pfkUOTzWT5P0UR5AHkM8YMCywaj4khjkAKJ&#10;/V2IQ2KiPLgMcQMYXd9qY9ICt5uVQbYXNDK36Znov7kZxzoSbV7MRy3+icjT8zeE1ZFuktG24otj&#10;J+Mm6Qa1Rt1iv+mnVmygfiIREcZZpptMRgv4g7OO5rji4ftOoOLMfHTUCJIpHgw8GJuDIZykoxWP&#10;nI3mKo6XY+dRb1sij612cEPNanQSb+jqmMWUJ81m0nS6R8PwH6+T169/x/I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ZmJMtYAAAAFAQAADwAAAAAAAAABACAAAAAiAAAAZHJzL2Rvd25yZXYueG1s&#10;UEsBAhQAFAAAAAgAh07iQAn3kJ0zAgAAgwQAAA4AAAAAAAAAAQAgAAAAJQEAAGRycy9lMm9Eb2Mu&#10;eG1sUEsFBgAAAAAGAAYAWQEAAMoFAAAAAA==&#10;">
                  <v:fill on="t" focussize="0,0"/>
                  <v:stroke color="#000000" miterlimit="8" joinstyle="miter"/>
                  <v:imagedata o:title=""/>
                  <o:lock v:ext="edit" aspectratio="f"/>
                  <v:textbox inset="0mm,0mm,0mm,0mm">
                    <w:txbxContent>
                      <w:p w14:paraId="5C93FCDA">
                        <w:pPr>
                          <w:jc w:val="center"/>
                        </w:pPr>
                        <w:r>
                          <w:rPr>
                            <w:rFonts w:hint="eastAsia"/>
                          </w:rPr>
                          <w:t>检验</w:t>
                        </w:r>
                      </w:p>
                    </w:txbxContent>
                  </v:textbox>
                </v:shape>
                <v:line id="Line 39" o:spid="_x0000_s1026" o:spt="20" style="position:absolute;left:2626995;top:1417955;flip:x;height:2540;width:215265;" filled="f" stroked="t" coordsize="21600,21600" o:gfxdata="UEsDBAoAAAAAAIdO4kAAAAAAAAAAAAAAAAAEAAAAZHJzL1BLAwQUAAAACACHTuJA993kgdcAAAAF&#10;AQAADwAAAGRycy9kb3ducmV2LnhtbE2PwU7DMBBE70j8g7VI3KidtqAmxOkBgcQJQVtV4ubGSxIa&#10;r4O9bQpfj+ECl5VGM5p5Wy5PrhdHDLHzpCGbKBBItbcdNRo264erBYjIhqzpPaGGT4ywrM7PSlNY&#10;P9ILHlfciFRCsTAaWuahkDLWLToTJ35ASt6bD85wkqGRNpgxlbteTpW6kc50lBZaM+Bdi/V+dXAa&#10;8vV47Z/DfjvPuo/Xr/t3Hh6fWOvLi0zdgmA88V8YfvATOlSJaecPZKPoNaRH+Pcmb6FmMxA7DdN8&#10;noOsSvmfvvoGUEsDBBQAAAAIAIdO4kB3e+U4+gEAAOcDAAAOAAAAZHJzL2Uyb0RvYy54bWytU8Fy&#10;2yAQvXem/8Bwr2WpkVtrLOdgN+3BbT2T5AMwIIspsAxgS/77LsiTpOklh+jAgPbt232PZXU7Gk3O&#10;0gcFtqXlbE6JtByEsseWPj7cffpKSYjMCqbBypZeZKC3648fVoNrZAU9aCE9QRIbmsG1tI/RNUUR&#10;eC8NCzNw0mKwA29YxKM/FsKzAdmNLqr5fFEM4IXzwGUI+Hc7BemV0b+FELpOcbkFfjLSxonVS80i&#10;Sgq9coGuc7ddJ3n83XVBRqJbikpjXrEI7g9pLdYr1hw9c73i1xbYW1p4pckwZbHoE9WWRUZOXv1H&#10;ZRT3EKCLMw6mmIRkR1BFOX/lzX3PnMxa0OrgnkwP70fLf533nijR0mVJiWUGb3ynrCSfl8mbwYUG&#10;IRu790kdH+292wH/E4iFTc/sUeYeHy4O88qUUfyTkg7BYYXD8BMEYtgpQjZq7LwhnVbuR0pM5GgG&#10;GVtaLarFcllTcsHATfllWdfTLckxEp4AZV0tMM4RUNU3+Q4L1iTCRON8iN8lGJI2LdUoJtOz8y7E&#10;1OAzJMEt3Cmt8xhoSwb0oa7qnBBAK5GCCRb88bDRnpxZGqT8ZbUYeQnzcLIik0Wm9DcrSMzWRK/Q&#10;LC1pqmCkoERLfH1pN7Wk7dW65Nbk+wHEZe9TOLmI9597v85qGrCX54x6fp/r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fd5IHXAAAABQEAAA8AAAAAAAAAAQAgAAAAIgAAAGRycy9kb3ducmV2Lnht&#10;bFBLAQIUABQAAAAIAIdO4kB3e+U4+gEAAOcDAAAOAAAAAAAAAAEAIAAAACYBAABkcnMvZTJvRG9j&#10;LnhtbFBLBQYAAAAABgAGAFkBAACSBQAAAAA=&#10;">
                  <v:fill on="f" focussize="0,0"/>
                  <v:stroke color="#000000" joinstyle="round" endarrow="block"/>
                  <v:imagedata o:title=""/>
                  <o:lock v:ext="edit" aspectratio="f"/>
                </v:line>
                <v:shape id="Text Box 40" o:spid="_x0000_s1026" o:spt="202" type="#_x0000_t202" style="position:absolute;left:3917315;top:1714500;height:175260;width:619125;" filled="f" stroked="f" coordsize="21600,21600" o:gfxdata="UEsDBAoAAAAAAIdO4kAAAAAAAAAAAAAAAAAEAAAAZHJzL1BLAwQUAAAACACHTuJAM6fVidYAAAAF&#10;AQAADwAAAGRycy9kb3ducmV2LnhtbE2PzU7DMBCE70i8g7VI3KjdFlVNiFMhBCckRBoOHDfxNrEa&#10;r0Ps/vD2GC7lstJoRjPfFpuzG8SRpmA9a5jPFAji1hvLnYaP+uVuDSJEZIODZ9LwTQE25fVVgbnx&#10;J67ouI2dSCUcctTQxzjmUoa2J4dh5kfi5O385DAmOXXSTHhK5W6QC6VW0qHltNDjSE89tfvtwWl4&#10;/OTq2X69Ne/VrrJ1nSl+Xe21vr2ZqwcQkc7xEoZf/IQOZWJq/IFNEIOG9Ej8u8lbq+USRKNhkd1n&#10;IMtC/qcvfwBQSwMEFAAAAAgAh07iQAZg2HEJAgAAEQQAAA4AAABkcnMvZTJvRG9jLnhtbK1TQW7b&#10;MBC8F+gfCN5rWU7s1ILlII2RokCaFkj6AJqiLKISl92lLaWv75KykzS95NALsSJXszPD4epy6Fpx&#10;MEgWXCnzyVQK4zRU1u1K+ePh5sNHKSgoV6kWnCnloyF5uX7/btX7wsyggbYyKBjEUdH7UjYh+CLL&#10;SDemUzQBbxwf1oCdCvyJu6xC1TN612az6XSR9YCVR9CGiHc346E8IuJbAKGurTYb0PvOuDCiomlV&#10;YEnUWE9yndjWtdHhW12TCaItJSsNaeUhXG/jmq1Xqtih8o3VRwrqLRReaeqUdTz0CWqjghJ7tP9A&#10;dVYjENRhoqHLRiHJEVaRT195c98ob5IWtpr8k+n0/2D13eE7CluVcjmTwqmOb/zBDEF8gkGcJ396&#10;TwW33XtuDAPvc2qSVvK3oH+ScHDdKLczV4jQN0ZVzC+PzmYvfo03QgVFkG3/FSqeo/YBEtBQYxfN&#10;YzsEo58t84uzfC7FI+Nc5Ofz6fGeIi/NDYt8mc/4XKeG+WyRzjNVnIA8UvhsoBOxKCVyDNIgdbil&#10;EImp4tQS5zq4sW2botC6vza4Me4kIZH7qCIM24G7o6AtVI8sCWFMFr8rLhrA31L0nKpS0q+9QiNF&#10;+8WxLTGCpwJPxfZUKKf511IGKcbyOoxR3Xu0u4aRR+MdXLF1tU1SnlkceXJSksJjqmMUX36nrueX&#10;vP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6fVidYAAAAFAQAADwAAAAAAAAABACAAAAAiAAAA&#10;ZHJzL2Rvd25yZXYueG1sUEsBAhQAFAAAAAgAh07iQAZg2HEJAgAAEQQAAA4AAAAAAAAAAQAgAAAA&#10;JQEAAGRycy9lMm9Eb2MueG1sUEsFBgAAAAAGAAYAWQEAAKAFAAAAAA==&#10;">
                  <v:fill on="f" focussize="0,0"/>
                  <v:stroke on="f"/>
                  <v:imagedata o:title=""/>
                  <o:lock v:ext="edit" aspectratio="f"/>
                  <v:textbox inset="0mm,0mm,0mm,0mm">
                    <w:txbxContent>
                      <w:p w14:paraId="5884F385">
                        <w:pPr>
                          <w:rPr>
                            <w:rFonts w:hint="eastAsia" w:eastAsiaTheme="minorEastAsia"/>
                            <w:shd w:val="pct15" w:color="auto" w:fill="FFFFFF"/>
                            <w:lang w:val="en-US" w:eastAsia="zh-CN"/>
                          </w:rPr>
                        </w:pPr>
                        <w:r>
                          <w:rPr>
                            <w:rFonts w:hint="eastAsia"/>
                            <w:shd w:val="pct15" w:color="auto" w:fill="FFFFFF"/>
                          </w:rPr>
                          <w:t>清洗废</w:t>
                        </w:r>
                        <w:r>
                          <w:rPr>
                            <w:rFonts w:hint="eastAsia"/>
                            <w:shd w:val="pct15" w:color="auto" w:fill="FFFFFF"/>
                            <w:lang w:val="en-US" w:eastAsia="zh-CN"/>
                          </w:rPr>
                          <w:t>液</w:t>
                        </w:r>
                      </w:p>
                    </w:txbxContent>
                  </v:textbox>
                </v:shape>
                <v:line id="Line 41" o:spid="_x0000_s1026" o:spt="20" style="position:absolute;left:4184015;top:1545590;height:198120;width:635;" filled="f" stroked="t" coordsize="21600,21600" o:gfxdata="UEsDBAoAAAAAAIdO4kAAAAAAAAAAAAAAAAAEAAAAZHJzL1BLAwQUAAAACACHTuJAP7Vx0tgAAAAF&#10;AQAADwAAAGRycy9kb3ducmV2LnhtbE2PwW7CMBBE75X6D9ZW6q3YgaoKIQ6HSvQCpQKqCm4mXpKo&#10;8TqyHUj/HpdLe1lpNKOZt/l8MC07o/ONJQnJSABDKq1uqJLwuVs8pcB8UKRVawkl/KCHeXF/l6tM&#10;2wtt8LwNFYsl5DMloQ6hyzj3ZY1G+ZHtkKJ3ss6oEKWruHbqEstNy8dCvHCjGooLterwtcbye9sb&#10;CZvVYpl+LfuhdIe3ZL37WL3vfSrl40MiZsACDuEvDL/4ER2KyHS0PWnPWgnxkXC70UvFZALsKGE8&#10;fZ4CL3L+n764AlBLAwQUAAAACACHTuJAH1yHC/EBAADcAwAADgAAAGRycy9lMm9Eb2MueG1srVPB&#10;ctsgEL13pv/AcK8lOVbG1ljOwW56cVvPJP0ADMhiCiwD2JL/vgu2kya95FAdNMC+fbvvLSwfRqPJ&#10;SfqgwLa0mpSUSMtBKHto6a/nxy9zSkJkVjANVrb0LAN9WH3+tBxcI6fQgxbSEySxoRlcS/sYXVMU&#10;gffSsDABJy0GO/CGRdz6QyE8G5Dd6GJalvfFAF44D1yGgKebS5BeGf1HCKHrFJcb4EcjbbyweqlZ&#10;REmhVy7QVe626ySPP7suyEh0S1FpzH8sgut9+herJWsOnrle8WsL7CMtvNNkmLJY9IVqwyIjR6/+&#10;oTKKewjQxQkHU1yEZEdQRVW+8+apZ05mLWh1cC+mh/9Hy3+cdp4o0dLFHSWWGZz4VllJZlXyZnCh&#10;Qcja7nxSx0f75LbAfwdiYd0ze5C5x+ezw7ycUbxJSZvgsMJ++A4CMewYIRs1dt4kSrSAjC2dVfNZ&#10;WdWUnJGnntX14jobOUbCEXB/h0Geoot5Nc3BgjU3FudD/CbBkLRoqUYFuQo7bUNEHQi9QVJRC49K&#10;6zx7bcmA4utpnRMCaCVSMMGCP+zX2pMTS7cnf8kUJHsD83C0IpNFpvRXK0jMfkSv0CEtaapgpKBE&#10;S3xyaXVh0RbJbhZdzN6DOO98CqdzHHoud72g6Vb9vc+o10e5+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XHS2AAAAAUBAAAPAAAAAAAAAAEAIAAAACIAAABkcnMvZG93bnJldi54bWxQSwECFAAU&#10;AAAACACHTuJAH1yHC/EBAADcAwAADgAAAAAAAAABACAAAAAnAQAAZHJzL2Uyb0RvYy54bWxQSwUG&#10;AAAAAAYABgBZAQAAigUAAAAA&#10;">
                  <v:fill on="f" focussize="0,0"/>
                  <v:stroke color="#000000" joinstyle="round" endarrow="block"/>
                  <v:imagedata o:title=""/>
                  <o:lock v:ext="edit" aspectratio="f"/>
                </v:line>
                <v:line id="Line 39" o:spid="_x0000_s1026" o:spt="20" style="position:absolute;left:1651000;top:1406525;flip:x;height:2540;width:215265;" filled="f" stroked="t" coordsize="21600,21600" o:gfxdata="UEsDBAoAAAAAAIdO4kAAAAAAAAAAAAAAAAAEAAAAZHJzL1BLAwQUAAAACACHTuJA993kgdcAAAAF&#10;AQAADwAAAGRycy9kb3ducmV2LnhtbE2PwU7DMBBE70j8g7VI3KidtqAmxOkBgcQJQVtV4ubGSxIa&#10;r4O9bQpfj+ECl5VGM5p5Wy5PrhdHDLHzpCGbKBBItbcdNRo264erBYjIhqzpPaGGT4ywrM7PSlNY&#10;P9ILHlfciFRCsTAaWuahkDLWLToTJ35ASt6bD85wkqGRNpgxlbteTpW6kc50lBZaM+Bdi/V+dXAa&#10;8vV47Z/DfjvPuo/Xr/t3Hh6fWOvLi0zdgmA88V8YfvATOlSJaecPZKPoNaRH+Pcmb6FmMxA7DdN8&#10;noOsSvmfvvoGUEsDBBQAAAAIAIdO4kCeOpwh+AEAAOcDAAAOAAAAZHJzL2Uyb0RvYy54bWytU8Fu&#10;2zAMvQ/YPwi6L3a8OFiNOD0k63bItgDtPkCR5FioJAqSEjt/P0oO2i279FAfBNEkH/keqdX9aDQ5&#10;Sx8U2JbOZyUl0nIQyh5b+vvp4dMXSkJkVjANVrb0IgO9X3/8sBpcIyvoQQvpCYLY0AyupX2MrimK&#10;wHtpWJiBkxadHXjDIpr+WAjPBkQ3uqjKclkM4IXzwGUI+Hc7OekV0b8FELpOcbkFfjLSxgnVS80i&#10;Ugq9coGuc7ddJ3n81XVBRqJbikxjPrEI3g/pLNYr1hw9c73i1xbYW1q44WSYslj0BWrLIiMnr/6D&#10;Mop7CNDFGQdTTESyIshiXt5o89gzJzMXlDq4F9HD+8Hyn+e9J0q0tFpQYpnBie+UleTzXdJmcKHB&#10;kI3d+8SOj/bR7YA/B2Jh0zN7lLnHp4vDvHnKKP5JSUZwWOEw/ACBMewUIQs1dt6QTiv3PSUmcBSD&#10;jGgs63lZ4nwueF+Uy7qqpynJMRKOAdW8rpY1JRwDqnqRZ1iwJgEmGOdD/CbBkHRpqUYyGZ6ddyGm&#10;Bl9DUriFB6V1XgNtydDSu1QweQJoJZIzG/542GhPziwtUv4y25swDycrMlhkSn+1gsQsTfQKxdKS&#10;pgpGCkq0xNeXblNL2l6lS2pNuh9AXPY+uZOKOP/c+3VX04L9beeo1/e5/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33eSB1wAAAAUBAAAPAAAAAAAAAAEAIAAAACIAAABkcnMvZG93bnJldi54bWxQ&#10;SwECFAAUAAAACACHTuJAnjqcIfgBAADnAwAADgAAAAAAAAABACAAAAAmAQAAZHJzL2Uyb0RvYy54&#10;bWxQSwUGAAAAAAYABgBZAQAAkAUAAAAA&#10;">
                  <v:fill on="f" focussize="0,0"/>
                  <v:stroke color="#000000" joinstyle="round" endarrow="block"/>
                  <v:imagedata o:title=""/>
                  <o:lock v:ext="edit" aspectratio="f"/>
                </v:line>
                <w10:wrap type="none"/>
                <w10:anchorlock/>
              </v:group>
            </w:pict>
          </mc:Fallback>
        </mc:AlternateContent>
      </w:r>
    </w:p>
    <w:p w14:paraId="6C179AA2">
      <w:pPr>
        <w:pStyle w:val="6"/>
        <w:keepNext w:val="0"/>
        <w:keepLines w:val="0"/>
        <w:pageBreakBefore w:val="0"/>
        <w:widowControl w:val="0"/>
        <w:kinsoku/>
        <w:wordWrap/>
        <w:overflowPunct/>
        <w:topLinePunct w:val="0"/>
        <w:autoSpaceDE/>
        <w:autoSpaceDN/>
        <w:bidi w:val="0"/>
        <w:adjustRightInd/>
        <w:snapToGrid w:val="0"/>
        <w:spacing w:line="360" w:lineRule="auto"/>
        <w:ind w:left="105" w:leftChars="50" w:firstLine="480" w:firstLineChars="200"/>
        <w:textAlignment w:val="auto"/>
        <w:rPr>
          <w:rFonts w:hint="default" w:ascii="Arial" w:hAnsi="Arial" w:eastAsia="宋体" w:cs="Arial"/>
          <w:b w:val="0"/>
          <w:color w:val="000000"/>
          <w:sz w:val="24"/>
          <w:szCs w:val="24"/>
        </w:rPr>
      </w:pPr>
      <w:r>
        <w:rPr>
          <w:rFonts w:hint="default" w:ascii="Arial" w:hAnsi="Arial" w:eastAsia="宋体" w:cs="Arial"/>
          <w:b w:val="0"/>
          <w:color w:val="000000"/>
          <w:sz w:val="24"/>
          <w:szCs w:val="24"/>
        </w:rPr>
        <w:t>车、铣、磨加工：利用加工中心、高精度磨床、车铣复合中心进行车、铣、磨等</w:t>
      </w:r>
      <w:r>
        <w:rPr>
          <w:rFonts w:hint="default" w:ascii="Arial" w:hAnsi="Arial" w:eastAsia="宋体" w:cs="Arial"/>
          <w:b w:val="0"/>
          <w:color w:val="000000"/>
          <w:sz w:val="24"/>
          <w:szCs w:val="24"/>
          <w:lang w:val="en-US" w:eastAsia="zh-CN"/>
        </w:rPr>
        <w:t>对合金结构钢</w:t>
      </w:r>
      <w:r>
        <w:rPr>
          <w:rFonts w:hint="default" w:ascii="Arial" w:hAnsi="Arial" w:eastAsia="宋体" w:cs="Arial"/>
          <w:b w:val="0"/>
          <w:color w:val="000000"/>
          <w:sz w:val="24"/>
          <w:szCs w:val="24"/>
        </w:rPr>
        <w:t>精加工。</w:t>
      </w:r>
    </w:p>
    <w:p w14:paraId="7E1773D5">
      <w:pPr>
        <w:pStyle w:val="6"/>
        <w:keepNext w:val="0"/>
        <w:keepLines w:val="0"/>
        <w:pageBreakBefore w:val="0"/>
        <w:widowControl w:val="0"/>
        <w:kinsoku/>
        <w:wordWrap/>
        <w:overflowPunct/>
        <w:topLinePunct w:val="0"/>
        <w:autoSpaceDE/>
        <w:autoSpaceDN/>
        <w:bidi w:val="0"/>
        <w:adjustRightInd/>
        <w:snapToGrid w:val="0"/>
        <w:spacing w:line="360" w:lineRule="auto"/>
        <w:ind w:left="105" w:leftChars="50" w:firstLine="480" w:firstLineChars="200"/>
        <w:textAlignment w:val="auto"/>
        <w:rPr>
          <w:rFonts w:hint="default" w:ascii="Arial" w:hAnsi="Arial" w:eastAsia="宋体" w:cs="Arial"/>
          <w:b w:val="0"/>
          <w:color w:val="000000" w:themeColor="text1"/>
          <w:sz w:val="24"/>
          <w:szCs w:val="24"/>
          <w14:textFill>
            <w14:solidFill>
              <w14:schemeClr w14:val="tx1"/>
            </w14:solidFill>
          </w14:textFill>
        </w:rPr>
      </w:pPr>
      <w:r>
        <w:rPr>
          <w:rFonts w:hint="default" w:ascii="Arial" w:hAnsi="Arial" w:eastAsia="宋体" w:cs="Arial"/>
          <w:b w:val="0"/>
          <w:color w:val="000000"/>
          <w:sz w:val="24"/>
          <w:szCs w:val="24"/>
        </w:rPr>
        <w:t>热处理：主要为淬火、回火。</w:t>
      </w:r>
      <w:r>
        <w:rPr>
          <w:rFonts w:hint="default" w:ascii="Arial" w:hAnsi="Arial" w:eastAsia="宋体" w:cs="Arial"/>
          <w:sz w:val="24"/>
          <w:szCs w:val="24"/>
        </w:rPr>
        <w:t>在淬火区，</w:t>
      </w:r>
      <w:r>
        <w:rPr>
          <w:rFonts w:hint="default" w:ascii="Arial" w:hAnsi="Arial" w:eastAsia="宋体" w:cs="Arial"/>
          <w:color w:val="000000"/>
          <w:sz w:val="24"/>
          <w:szCs w:val="24"/>
        </w:rPr>
        <w:t>利用电能将工件加热至</w:t>
      </w:r>
      <w:r>
        <w:rPr>
          <w:rFonts w:hint="default" w:ascii="Arial" w:hAnsi="Arial" w:eastAsia="宋体" w:cs="Arial"/>
          <w:sz w:val="24"/>
          <w:szCs w:val="24"/>
        </w:rPr>
        <w:t>600℃～800℃，本项目淬火后的冷却工序是设备自动将淬火后的工件置入设备内的淬火</w:t>
      </w:r>
      <w:r>
        <w:rPr>
          <w:rFonts w:hint="eastAsia" w:ascii="Arial" w:hAnsi="Arial" w:eastAsia="宋体" w:cs="Arial"/>
          <w:sz w:val="24"/>
          <w:szCs w:val="24"/>
          <w:lang w:val="en-US" w:eastAsia="zh-CN"/>
        </w:rPr>
        <w:t>油</w:t>
      </w:r>
      <w:r>
        <w:rPr>
          <w:rFonts w:hint="default" w:ascii="Arial" w:hAnsi="Arial" w:eastAsia="宋体" w:cs="Arial"/>
          <w:sz w:val="24"/>
          <w:szCs w:val="24"/>
        </w:rPr>
        <w:t>槽内，冷却后取出；冷却过程淬火</w:t>
      </w:r>
      <w:r>
        <w:rPr>
          <w:rFonts w:hint="eastAsia" w:ascii="Arial" w:hAnsi="Arial" w:eastAsia="宋体" w:cs="Arial"/>
          <w:sz w:val="24"/>
          <w:szCs w:val="24"/>
          <w:lang w:val="en-US" w:eastAsia="zh-CN"/>
        </w:rPr>
        <w:t>油</w:t>
      </w:r>
      <w:r>
        <w:rPr>
          <w:rFonts w:hint="default" w:ascii="Arial" w:hAnsi="Arial" w:eastAsia="宋体" w:cs="Arial"/>
          <w:sz w:val="24"/>
          <w:szCs w:val="24"/>
        </w:rPr>
        <w:t>部分挥发为油烟废气。</w:t>
      </w:r>
      <w:r>
        <w:rPr>
          <w:rFonts w:hint="default" w:ascii="Arial" w:hAnsi="Arial" w:eastAsia="宋体" w:cs="Arial"/>
          <w:color w:val="000000"/>
          <w:sz w:val="24"/>
          <w:szCs w:val="24"/>
        </w:rPr>
        <w:t>工件进入回火区，加热至200℃，</w:t>
      </w:r>
      <w:r>
        <w:rPr>
          <w:rFonts w:hint="default" w:ascii="Arial" w:hAnsi="Arial" w:eastAsia="宋体" w:cs="Arial"/>
          <w:color w:val="000000" w:themeColor="text1"/>
          <w:sz w:val="24"/>
          <w:szCs w:val="24"/>
          <w14:textFill>
            <w14:solidFill>
              <w14:schemeClr w14:val="tx1"/>
            </w14:solidFill>
          </w14:textFill>
        </w:rPr>
        <w:t>保温3h，然后自然冷却至室温。本项目淬火、</w:t>
      </w:r>
      <w:r>
        <w:rPr>
          <w:rFonts w:hint="default" w:ascii="Arial" w:hAnsi="Arial" w:eastAsia="宋体" w:cs="Arial"/>
          <w:color w:val="000000" w:themeColor="text1"/>
          <w:sz w:val="24"/>
          <w:szCs w:val="24"/>
          <w:lang w:val="en-US" w:eastAsia="zh-CN"/>
          <w14:textFill>
            <w14:solidFill>
              <w14:schemeClr w14:val="tx1"/>
            </w14:solidFill>
          </w14:textFill>
        </w:rPr>
        <w:t>回火</w:t>
      </w:r>
      <w:r>
        <w:rPr>
          <w:rFonts w:hint="default" w:ascii="Arial" w:hAnsi="Arial" w:eastAsia="宋体" w:cs="Arial"/>
          <w:color w:val="000000" w:themeColor="text1"/>
          <w:sz w:val="24"/>
          <w:szCs w:val="24"/>
          <w14:textFill>
            <w14:solidFill>
              <w14:schemeClr w14:val="tx1"/>
            </w14:solidFill>
          </w14:textFill>
        </w:rPr>
        <w:t>过程所需热源均为设备采用电能加热。</w:t>
      </w:r>
    </w:p>
    <w:p w14:paraId="111C0094">
      <w:pPr>
        <w:pStyle w:val="6"/>
        <w:keepNext w:val="0"/>
        <w:keepLines w:val="0"/>
        <w:pageBreakBefore w:val="0"/>
        <w:widowControl w:val="0"/>
        <w:kinsoku/>
        <w:wordWrap/>
        <w:overflowPunct/>
        <w:topLinePunct w:val="0"/>
        <w:autoSpaceDE/>
        <w:autoSpaceDN/>
        <w:bidi w:val="0"/>
        <w:adjustRightInd/>
        <w:snapToGrid w:val="0"/>
        <w:spacing w:line="360" w:lineRule="auto"/>
        <w:ind w:left="105" w:leftChars="50" w:firstLine="480" w:firstLineChars="200"/>
        <w:textAlignment w:val="auto"/>
        <w:rPr>
          <w:rFonts w:hint="default" w:ascii="Arial" w:hAnsi="Arial" w:eastAsia="宋体" w:cs="Arial"/>
          <w:b w:val="0"/>
          <w:color w:val="000000" w:themeColor="text1"/>
          <w:sz w:val="24"/>
          <w:szCs w:val="24"/>
          <w:lang w:val="en-US" w:eastAsia="zh-CN"/>
          <w14:textFill>
            <w14:solidFill>
              <w14:schemeClr w14:val="tx1"/>
            </w14:solidFill>
          </w14:textFill>
        </w:rPr>
      </w:pPr>
      <w:r>
        <w:rPr>
          <w:rFonts w:hint="default" w:ascii="Arial" w:hAnsi="Arial" w:eastAsia="宋体" w:cs="Arial"/>
          <w:b w:val="0"/>
          <w:color w:val="000000" w:themeColor="text1"/>
          <w:sz w:val="24"/>
          <w:szCs w:val="24"/>
          <w:lang w:val="en-US" w:eastAsia="zh-CN"/>
          <w14:textFill>
            <w14:solidFill>
              <w14:schemeClr w14:val="tx1"/>
            </w14:solidFill>
          </w14:textFill>
        </w:rPr>
        <w:t>清洗：</w:t>
      </w:r>
      <w:r>
        <w:rPr>
          <w:rFonts w:hint="default" w:ascii="Arial" w:hAnsi="Arial" w:eastAsia="宋体" w:cs="Arial"/>
          <w:color w:val="000000" w:themeColor="text1"/>
          <w:sz w:val="24"/>
          <w:szCs w:val="24"/>
          <w14:textFill>
            <w14:solidFill>
              <w14:schemeClr w14:val="tx1"/>
            </w14:solidFill>
          </w14:textFill>
        </w:rPr>
        <w:t>经淬火处理后，工件表面含有少量</w:t>
      </w:r>
      <w:r>
        <w:rPr>
          <w:rFonts w:hint="eastAsia" w:ascii="Arial" w:hAnsi="Arial" w:eastAsia="宋体" w:cs="Arial"/>
          <w:color w:val="000000" w:themeColor="text1"/>
          <w:sz w:val="24"/>
          <w:szCs w:val="24"/>
          <w:lang w:eastAsia="zh-CN"/>
          <w14:textFill>
            <w14:solidFill>
              <w14:schemeClr w14:val="tx1"/>
            </w14:solidFill>
          </w14:textFill>
        </w:rPr>
        <w:t>淬火油</w:t>
      </w:r>
      <w:r>
        <w:rPr>
          <w:rFonts w:hint="default" w:ascii="Arial" w:hAnsi="Arial" w:eastAsia="宋体" w:cs="Arial"/>
          <w:color w:val="000000" w:themeColor="text1"/>
          <w:sz w:val="24"/>
          <w:szCs w:val="24"/>
          <w14:textFill>
            <w14:solidFill>
              <w14:schemeClr w14:val="tx1"/>
            </w14:solidFill>
          </w14:textFill>
        </w:rPr>
        <w:t>，故本项目利用水基工业清洗剂，除去工件表面残留的</w:t>
      </w:r>
      <w:r>
        <w:rPr>
          <w:rFonts w:hint="eastAsia" w:ascii="Arial" w:hAnsi="Arial" w:eastAsia="宋体" w:cs="Arial"/>
          <w:color w:val="000000" w:themeColor="text1"/>
          <w:sz w:val="24"/>
          <w:szCs w:val="24"/>
          <w:lang w:eastAsia="zh-CN"/>
          <w14:textFill>
            <w14:solidFill>
              <w14:schemeClr w14:val="tx1"/>
            </w14:solidFill>
          </w14:textFill>
        </w:rPr>
        <w:t>淬火油</w:t>
      </w:r>
      <w:r>
        <w:rPr>
          <w:rFonts w:hint="default" w:ascii="Arial" w:hAnsi="Arial" w:eastAsia="宋体" w:cs="Arial"/>
          <w:color w:val="000000" w:themeColor="text1"/>
          <w:sz w:val="24"/>
          <w:szCs w:val="24"/>
          <w14:textFill>
            <w14:solidFill>
              <w14:schemeClr w14:val="tx1"/>
            </w14:solidFill>
          </w14:textFill>
        </w:rPr>
        <w:t>；该清洗废液流入清洗设备底部水槽内，经配套油水分离设备处理后，</w:t>
      </w:r>
      <w:r>
        <w:rPr>
          <w:rFonts w:hint="eastAsia" w:ascii="Arial" w:hAnsi="Arial" w:eastAsia="宋体" w:cs="Arial"/>
          <w:color w:val="000000" w:themeColor="text1"/>
          <w:sz w:val="24"/>
          <w:szCs w:val="24"/>
          <w:lang w:val="en-US" w:eastAsia="zh-CN"/>
          <w14:textFill>
            <w14:solidFill>
              <w14:schemeClr w14:val="tx1"/>
            </w14:solidFill>
          </w14:textFill>
        </w:rPr>
        <w:t>水</w:t>
      </w:r>
      <w:r>
        <w:rPr>
          <w:rFonts w:hint="default" w:ascii="Arial" w:hAnsi="Arial" w:eastAsia="宋体" w:cs="Arial"/>
          <w:color w:val="000000" w:themeColor="text1"/>
          <w:sz w:val="24"/>
          <w:szCs w:val="24"/>
          <w14:textFill>
            <w14:solidFill>
              <w14:schemeClr w14:val="tx1"/>
            </w14:solidFill>
          </w14:textFill>
        </w:rPr>
        <w:t>循环利用</w:t>
      </w:r>
      <w:r>
        <w:rPr>
          <w:rFonts w:hint="eastAsia" w:ascii="Arial" w:hAnsi="Arial" w:eastAsia="宋体" w:cs="Arial"/>
          <w:color w:val="000000" w:themeColor="text1"/>
          <w:sz w:val="24"/>
          <w:szCs w:val="24"/>
          <w:lang w:eastAsia="zh-CN"/>
          <w14:textFill>
            <w14:solidFill>
              <w14:schemeClr w14:val="tx1"/>
            </w14:solidFill>
          </w14:textFill>
        </w:rPr>
        <w:t>，</w:t>
      </w:r>
      <w:r>
        <w:rPr>
          <w:rFonts w:hint="eastAsia" w:ascii="Arial" w:hAnsi="Arial" w:eastAsia="宋体" w:cs="Arial"/>
          <w:color w:val="000000" w:themeColor="text1"/>
          <w:sz w:val="24"/>
          <w:szCs w:val="24"/>
          <w:lang w:val="en-US" w:eastAsia="zh-CN"/>
          <w14:textFill>
            <w14:solidFill>
              <w14:schemeClr w14:val="tx1"/>
            </w14:solidFill>
          </w14:textFill>
        </w:rPr>
        <w:t>上层</w:t>
      </w:r>
      <w:r>
        <w:rPr>
          <w:rFonts w:hint="default" w:ascii="Arial" w:hAnsi="Arial" w:eastAsia="宋体" w:cs="Arial"/>
          <w:color w:val="000000" w:themeColor="text1"/>
          <w:sz w:val="24"/>
          <w:lang w:eastAsia="zh-CN"/>
          <w14:textFill>
            <w14:solidFill>
              <w14:schemeClr w14:val="tx1"/>
            </w14:solidFill>
          </w14:textFill>
        </w:rPr>
        <w:t>废淬火</w:t>
      </w:r>
      <w:r>
        <w:rPr>
          <w:rFonts w:hint="eastAsia" w:ascii="Arial" w:hAnsi="Arial" w:eastAsia="宋体" w:cs="Arial"/>
          <w:color w:val="000000" w:themeColor="text1"/>
          <w:sz w:val="24"/>
          <w:lang w:val="en-US" w:eastAsia="zh-CN"/>
          <w14:textFill>
            <w14:solidFill>
              <w14:schemeClr w14:val="tx1"/>
            </w14:solidFill>
          </w14:textFill>
        </w:rPr>
        <w:t>油</w:t>
      </w:r>
      <w:r>
        <w:rPr>
          <w:rFonts w:hint="eastAsia" w:ascii="Arial" w:hAnsi="Arial" w:eastAsia="宋体" w:cs="Arial"/>
          <w:color w:val="000000" w:themeColor="text1"/>
          <w:sz w:val="24"/>
          <w:lang w:eastAsia="zh-CN"/>
          <w14:textFill>
            <w14:solidFill>
              <w14:schemeClr w14:val="tx1"/>
            </w14:solidFill>
          </w14:textFill>
        </w:rPr>
        <w:t>（</w:t>
      </w:r>
      <w:r>
        <w:rPr>
          <w:rFonts w:hint="eastAsia" w:ascii="Arial" w:hAnsi="Arial" w:eastAsia="宋体" w:cs="Arial"/>
          <w:color w:val="000000" w:themeColor="text1"/>
          <w:sz w:val="24"/>
          <w:lang w:val="en-US" w:eastAsia="zh-CN"/>
          <w14:textFill>
            <w14:solidFill>
              <w14:schemeClr w14:val="tx1"/>
            </w14:solidFill>
          </w14:textFill>
        </w:rPr>
        <w:t>清洗废液</w:t>
      </w:r>
      <w:r>
        <w:rPr>
          <w:rFonts w:hint="eastAsia" w:ascii="Arial" w:hAnsi="Arial" w:eastAsia="宋体" w:cs="Arial"/>
          <w:color w:val="000000" w:themeColor="text1"/>
          <w:sz w:val="24"/>
          <w:lang w:eastAsia="zh-CN"/>
          <w14:textFill>
            <w14:solidFill>
              <w14:schemeClr w14:val="tx1"/>
            </w14:solidFill>
          </w14:textFill>
        </w:rPr>
        <w:t>）</w:t>
      </w:r>
      <w:r>
        <w:rPr>
          <w:rFonts w:hint="eastAsia" w:ascii="Arial" w:hAnsi="Arial" w:eastAsia="宋体" w:cs="Arial"/>
          <w:color w:val="000000" w:themeColor="text1"/>
          <w:sz w:val="24"/>
          <w:szCs w:val="24"/>
          <w:lang w:val="en-US" w:eastAsia="zh-CN"/>
          <w14:textFill>
            <w14:solidFill>
              <w14:schemeClr w14:val="tx1"/>
            </w14:solidFill>
          </w14:textFill>
        </w:rPr>
        <w:t>为危险废物。委托有资质企业处置</w:t>
      </w:r>
      <w:r>
        <w:rPr>
          <w:rFonts w:hint="default" w:ascii="Arial" w:hAnsi="Arial" w:eastAsia="宋体" w:cs="Arial"/>
          <w:color w:val="000000" w:themeColor="text1"/>
          <w:sz w:val="24"/>
          <w:szCs w:val="24"/>
          <w14:textFill>
            <w14:solidFill>
              <w14:schemeClr w14:val="tx1"/>
            </w14:solidFill>
          </w14:textFill>
        </w:rPr>
        <w:t>。</w:t>
      </w:r>
    </w:p>
    <w:p w14:paraId="0E45B14B">
      <w:pPr>
        <w:keepNext w:val="0"/>
        <w:keepLines w:val="0"/>
        <w:pageBreakBefore w:val="0"/>
        <w:widowControl w:val="0"/>
        <w:kinsoku/>
        <w:wordWrap/>
        <w:overflowPunct/>
        <w:topLinePunct w:val="0"/>
        <w:autoSpaceDE/>
        <w:autoSpaceDN/>
        <w:bidi w:val="0"/>
        <w:adjustRightInd/>
        <w:spacing w:line="360" w:lineRule="auto"/>
        <w:ind w:left="105" w:leftChars="50" w:right="105" w:rightChars="50" w:firstLine="480" w:firstLineChars="200"/>
        <w:jc w:val="both"/>
        <w:textAlignment w:val="auto"/>
        <w:rPr>
          <w:rFonts w:hint="default" w:ascii="Arial" w:hAnsi="Arial" w:eastAsia="宋体" w:cs="Arial"/>
          <w:color w:val="000000" w:themeColor="text1"/>
          <w:sz w:val="24"/>
          <w:lang w:eastAsia="zh-CN"/>
          <w14:textFill>
            <w14:solidFill>
              <w14:schemeClr w14:val="tx1"/>
            </w14:solidFill>
          </w14:textFill>
        </w:rPr>
      </w:pPr>
      <w:r>
        <w:rPr>
          <w:rFonts w:hint="default" w:ascii="Arial" w:hAnsi="Arial" w:eastAsia="宋体" w:cs="Arial"/>
          <w:color w:val="000000" w:themeColor="text1"/>
          <w:sz w:val="24"/>
          <w:lang w:eastAsia="zh-CN"/>
          <w14:textFill>
            <w14:solidFill>
              <w14:schemeClr w14:val="tx1"/>
            </w14:solidFill>
          </w14:textFill>
        </w:rPr>
        <w:t>主要污染因子：</w:t>
      </w:r>
    </w:p>
    <w:p w14:paraId="22AF4AE9">
      <w:pPr>
        <w:spacing w:line="360" w:lineRule="auto"/>
        <w:ind w:left="105" w:leftChars="50" w:right="105" w:rightChars="50" w:firstLine="480" w:firstLineChars="200"/>
        <w:jc w:val="both"/>
        <w:rPr>
          <w:rFonts w:hint="default" w:ascii="Arial" w:hAnsi="Arial" w:eastAsia="宋体" w:cs="Arial"/>
          <w:color w:val="000000" w:themeColor="text1"/>
          <w:sz w:val="24"/>
          <w:lang w:eastAsia="zh-CN"/>
          <w14:textFill>
            <w14:solidFill>
              <w14:schemeClr w14:val="tx1"/>
            </w14:solidFill>
          </w14:textFill>
        </w:rPr>
      </w:pPr>
      <w:r>
        <w:rPr>
          <w:rFonts w:hint="default" w:ascii="Arial" w:hAnsi="Arial" w:eastAsia="宋体" w:cs="Arial"/>
          <w:color w:val="000000" w:themeColor="text1"/>
          <w:sz w:val="24"/>
          <w:lang w:eastAsia="zh-CN"/>
          <w14:textFill>
            <w14:solidFill>
              <w14:schemeClr w14:val="tx1"/>
            </w14:solidFill>
          </w14:textFill>
        </w:rPr>
        <w:t>废气：项目本项目生产过程废气主要为热处理油烟废气。</w:t>
      </w:r>
    </w:p>
    <w:p w14:paraId="39D99D1E">
      <w:pPr>
        <w:spacing w:line="360" w:lineRule="auto"/>
        <w:ind w:left="105" w:leftChars="50" w:right="105" w:rightChars="50" w:firstLine="480" w:firstLineChars="200"/>
        <w:jc w:val="both"/>
        <w:rPr>
          <w:rFonts w:hint="default" w:ascii="Arial" w:hAnsi="Arial" w:eastAsia="宋体" w:cs="Arial"/>
          <w:color w:val="000000" w:themeColor="text1"/>
          <w:sz w:val="24"/>
          <w:lang w:eastAsia="zh-CN"/>
          <w14:textFill>
            <w14:solidFill>
              <w14:schemeClr w14:val="tx1"/>
            </w14:solidFill>
          </w14:textFill>
        </w:rPr>
      </w:pPr>
      <w:r>
        <w:rPr>
          <w:rFonts w:hint="default" w:ascii="Arial" w:hAnsi="Arial" w:eastAsia="宋体" w:cs="Arial"/>
          <w:color w:val="000000" w:themeColor="text1"/>
          <w:sz w:val="24"/>
          <w:lang w:eastAsia="zh-CN"/>
          <w14:textFill>
            <w14:solidFill>
              <w14:schemeClr w14:val="tx1"/>
            </w14:solidFill>
          </w14:textFill>
        </w:rPr>
        <w:t>废水：本项目产生的废水主要为职工生活污水、清洗废液</w:t>
      </w:r>
      <w:r>
        <w:rPr>
          <w:rFonts w:hint="eastAsia" w:ascii="Arial" w:hAnsi="Arial" w:eastAsia="宋体" w:cs="Arial"/>
          <w:color w:val="000000" w:themeColor="text1"/>
          <w:sz w:val="24"/>
          <w:lang w:eastAsia="zh-CN"/>
          <w14:textFill>
            <w14:solidFill>
              <w14:schemeClr w14:val="tx1"/>
            </w14:solidFill>
          </w14:textFill>
        </w:rPr>
        <w:t>（</w:t>
      </w:r>
      <w:r>
        <w:rPr>
          <w:rFonts w:hint="eastAsia" w:ascii="Arial" w:hAnsi="Arial" w:eastAsia="宋体" w:cs="Arial"/>
          <w:color w:val="000000" w:themeColor="text1"/>
          <w:sz w:val="24"/>
          <w:lang w:val="en-US" w:eastAsia="zh-CN"/>
          <w14:textFill>
            <w14:solidFill>
              <w14:schemeClr w14:val="tx1"/>
            </w14:solidFill>
          </w14:textFill>
        </w:rPr>
        <w:t>作为危废处置</w:t>
      </w:r>
      <w:r>
        <w:rPr>
          <w:rFonts w:hint="eastAsia" w:ascii="Arial" w:hAnsi="Arial" w:eastAsia="宋体" w:cs="Arial"/>
          <w:color w:val="000000" w:themeColor="text1"/>
          <w:sz w:val="24"/>
          <w:lang w:eastAsia="zh-CN"/>
          <w14:textFill>
            <w14:solidFill>
              <w14:schemeClr w14:val="tx1"/>
            </w14:solidFill>
          </w14:textFill>
        </w:rPr>
        <w:t>）</w:t>
      </w:r>
      <w:r>
        <w:rPr>
          <w:rFonts w:hint="default" w:ascii="Arial" w:hAnsi="Arial" w:eastAsia="宋体" w:cs="Arial"/>
          <w:color w:val="000000" w:themeColor="text1"/>
          <w:sz w:val="24"/>
          <w:lang w:eastAsia="zh-CN"/>
          <w14:textFill>
            <w14:solidFill>
              <w14:schemeClr w14:val="tx1"/>
            </w14:solidFill>
          </w14:textFill>
        </w:rPr>
        <w:t>。</w:t>
      </w:r>
    </w:p>
    <w:p w14:paraId="6C6D64E2">
      <w:pPr>
        <w:spacing w:line="360" w:lineRule="auto"/>
        <w:ind w:left="105" w:leftChars="50" w:right="105" w:rightChars="50" w:firstLine="480" w:firstLineChars="200"/>
        <w:jc w:val="both"/>
        <w:rPr>
          <w:rFonts w:hint="default" w:ascii="Arial" w:hAnsi="Arial" w:eastAsia="宋体" w:cs="Arial"/>
          <w:color w:val="000000" w:themeColor="text1"/>
          <w:sz w:val="24"/>
          <w:lang w:eastAsia="zh-CN"/>
          <w14:textFill>
            <w14:solidFill>
              <w14:schemeClr w14:val="tx1"/>
            </w14:solidFill>
          </w14:textFill>
        </w:rPr>
      </w:pPr>
      <w:r>
        <w:rPr>
          <w:rFonts w:hint="default" w:ascii="Arial" w:hAnsi="Arial" w:eastAsia="宋体" w:cs="Arial"/>
          <w:color w:val="000000" w:themeColor="text1"/>
          <w:sz w:val="24"/>
          <w:lang w:eastAsia="zh-CN"/>
          <w14:textFill>
            <w14:solidFill>
              <w14:schemeClr w14:val="tx1"/>
            </w14:solidFill>
          </w14:textFill>
        </w:rPr>
        <w:t>噪声：本项目噪声源主要为加工中心、数控机床、高精度磨床、车铣复合中心、热处理设备等设备运行噪声。</w:t>
      </w:r>
    </w:p>
    <w:p w14:paraId="3638A0C2">
      <w:pPr>
        <w:pStyle w:val="76"/>
        <w:spacing w:line="360" w:lineRule="auto"/>
        <w:ind w:left="105" w:leftChars="50" w:right="105" w:rightChars="50" w:firstLine="482"/>
        <w:jc w:val="left"/>
        <w:rPr>
          <w:rFonts w:hint="default" w:ascii="Arial" w:hAnsi="Arial" w:eastAsia="宋体" w:cs="Arial"/>
          <w:b/>
          <w:color w:val="000000"/>
          <w:sz w:val="24"/>
          <w:szCs w:val="24"/>
          <w:lang w:eastAsia="zh-CN"/>
        </w:rPr>
      </w:pPr>
      <w:r>
        <w:rPr>
          <w:rFonts w:hint="default" w:ascii="Arial" w:hAnsi="Arial" w:eastAsia="宋体" w:cs="Arial"/>
          <w:color w:val="000000" w:themeColor="text1"/>
          <w:sz w:val="24"/>
          <w:lang w:eastAsia="zh-CN"/>
          <w14:textFill>
            <w14:solidFill>
              <w14:schemeClr w14:val="tx1"/>
            </w14:solidFill>
          </w14:textFill>
        </w:rPr>
        <w:t>固废：本项目固废主要是废包装材料、金属边角料、</w:t>
      </w:r>
      <w:r>
        <w:rPr>
          <w:rFonts w:hint="default" w:ascii="Arial" w:hAnsi="Arial" w:eastAsia="宋体" w:cs="Arial"/>
          <w:color w:val="000000" w:themeColor="text1"/>
          <w:sz w:val="24"/>
          <w:lang w:val="en-US" w:eastAsia="zh-CN"/>
          <w14:textFill>
            <w14:solidFill>
              <w14:schemeClr w14:val="tx1"/>
            </w14:solidFill>
          </w14:textFill>
        </w:rPr>
        <w:t>含油金属屑</w:t>
      </w:r>
      <w:r>
        <w:rPr>
          <w:rFonts w:hint="default" w:ascii="Arial" w:hAnsi="Arial" w:eastAsia="宋体" w:cs="Arial"/>
          <w:color w:val="000000" w:themeColor="text1"/>
          <w:sz w:val="24"/>
          <w:lang w:eastAsia="zh-CN"/>
          <w14:textFill>
            <w14:solidFill>
              <w14:schemeClr w14:val="tx1"/>
            </w14:solidFill>
          </w14:textFill>
        </w:rPr>
        <w:t>、废机油、废切削</w:t>
      </w:r>
      <w:r>
        <w:rPr>
          <w:rFonts w:hint="default" w:ascii="Arial" w:hAnsi="Arial" w:eastAsia="宋体" w:cs="Arial"/>
          <w:color w:val="000000" w:themeColor="text1"/>
          <w:sz w:val="24"/>
          <w:lang w:val="en-US" w:eastAsia="zh-CN"/>
          <w14:textFill>
            <w14:solidFill>
              <w14:schemeClr w14:val="tx1"/>
            </w14:solidFill>
          </w14:textFill>
        </w:rPr>
        <w:t>液</w:t>
      </w:r>
      <w:r>
        <w:rPr>
          <w:rFonts w:hint="default" w:ascii="Arial" w:hAnsi="Arial" w:eastAsia="宋体" w:cs="Arial"/>
          <w:color w:val="000000" w:themeColor="text1"/>
          <w:sz w:val="24"/>
          <w:lang w:eastAsia="zh-CN"/>
          <w14:textFill>
            <w14:solidFill>
              <w14:schemeClr w14:val="tx1"/>
            </w14:solidFill>
          </w14:textFill>
        </w:rPr>
        <w:t>、废</w:t>
      </w:r>
      <w:r>
        <w:rPr>
          <w:rFonts w:hint="eastAsia" w:ascii="Arial" w:hAnsi="Arial" w:eastAsia="宋体" w:cs="Arial"/>
          <w:color w:val="000000" w:themeColor="text1"/>
          <w:sz w:val="24"/>
          <w:lang w:eastAsia="zh-CN"/>
          <w14:textFill>
            <w14:solidFill>
              <w14:schemeClr w14:val="tx1"/>
            </w14:solidFill>
          </w14:textFill>
        </w:rPr>
        <w:t>淬火油</w:t>
      </w:r>
      <w:r>
        <w:rPr>
          <w:rFonts w:hint="default" w:ascii="Arial" w:hAnsi="Arial" w:eastAsia="宋体" w:cs="Arial"/>
          <w:color w:val="000000" w:themeColor="text1"/>
          <w:sz w:val="24"/>
          <w:lang w:eastAsia="zh-CN"/>
          <w14:textFill>
            <w14:solidFill>
              <w14:schemeClr w14:val="tx1"/>
            </w14:solidFill>
          </w14:textFill>
        </w:rPr>
        <w:t>以及员工生</w:t>
      </w:r>
      <w:r>
        <w:rPr>
          <w:rFonts w:hint="default" w:ascii="Arial" w:hAnsi="Arial" w:eastAsia="宋体" w:cs="Arial"/>
          <w:sz w:val="24"/>
          <w:lang w:eastAsia="zh-CN"/>
        </w:rPr>
        <w:t>活垃圾。</w:t>
      </w:r>
    </w:p>
    <w:p w14:paraId="1581F67F">
      <w:pPr>
        <w:pStyle w:val="76"/>
        <w:numPr>
          <w:ilvl w:val="2"/>
          <w:numId w:val="4"/>
        </w:numPr>
        <w:spacing w:line="360" w:lineRule="auto"/>
        <w:ind w:left="568" w:hanging="284" w:firstLineChars="0"/>
        <w:outlineLvl w:val="2"/>
        <w:rPr>
          <w:rFonts w:hint="default" w:ascii="Arial" w:hAnsi="Arial" w:eastAsia="宋体" w:cs="Arial"/>
          <w:b/>
          <w:bCs/>
          <w:sz w:val="24"/>
          <w:szCs w:val="24"/>
        </w:rPr>
      </w:pPr>
      <w:r>
        <w:rPr>
          <w:rFonts w:hint="default" w:ascii="Arial" w:hAnsi="Arial" w:eastAsia="宋体" w:cs="Arial"/>
          <w:sz w:val="24"/>
          <w:szCs w:val="24"/>
        </w:rPr>
        <w:br w:type="page"/>
      </w:r>
      <w:r>
        <w:rPr>
          <w:rFonts w:hint="default" w:ascii="Arial" w:hAnsi="Arial" w:eastAsia="宋体" w:cs="Arial"/>
          <w:b/>
          <w:bCs/>
          <w:sz w:val="24"/>
          <w:szCs w:val="24"/>
        </w:rPr>
        <w:t>现有工程已建项目污染防治措施落实情况</w:t>
      </w:r>
    </w:p>
    <w:p w14:paraId="3F909CC5">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现有工程污染防治措施落实情况</w:t>
      </w:r>
    </w:p>
    <w:tbl>
      <w:tblPr>
        <w:tblStyle w:val="52"/>
        <w:tblW w:w="7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843"/>
        <w:gridCol w:w="2835"/>
        <w:gridCol w:w="3119"/>
        <w:gridCol w:w="858"/>
      </w:tblGrid>
      <w:tr w14:paraId="243D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blHeader/>
          <w:jc w:val="center"/>
        </w:trPr>
        <w:tc>
          <w:tcPr>
            <w:tcW w:w="843" w:type="dxa"/>
            <w:tcBorders>
              <w:tl2br w:val="single" w:color="auto" w:sz="4" w:space="0"/>
            </w:tcBorders>
            <w:noWrap w:val="0"/>
            <w:tcMar>
              <w:left w:w="57" w:type="dxa"/>
              <w:right w:w="57" w:type="dxa"/>
            </w:tcMar>
            <w:vAlign w:val="center"/>
          </w:tcPr>
          <w:p w14:paraId="1D5FF251">
            <w:pPr>
              <w:widowControl/>
              <w:contextualSpacing/>
              <w:jc w:val="right"/>
              <w:rPr>
                <w:rFonts w:hint="default" w:ascii="Arial" w:hAnsi="Arial" w:eastAsia="宋体" w:cs="Arial"/>
                <w:kern w:val="0"/>
                <w:szCs w:val="21"/>
              </w:rPr>
            </w:pPr>
            <w:r>
              <w:rPr>
                <w:rFonts w:hint="default" w:ascii="Arial" w:hAnsi="Arial" w:eastAsia="宋体" w:cs="Arial"/>
                <w:kern w:val="0"/>
                <w:szCs w:val="21"/>
              </w:rPr>
              <w:t>内容</w:t>
            </w:r>
          </w:p>
          <w:p w14:paraId="1F951CD7">
            <w:pPr>
              <w:widowControl/>
              <w:contextualSpacing/>
              <w:jc w:val="left"/>
              <w:rPr>
                <w:rFonts w:hint="default" w:ascii="Arial" w:hAnsi="Arial" w:eastAsia="宋体" w:cs="Arial"/>
                <w:kern w:val="0"/>
                <w:szCs w:val="21"/>
              </w:rPr>
            </w:pPr>
            <w:r>
              <w:rPr>
                <w:rFonts w:hint="default" w:ascii="Arial" w:hAnsi="Arial" w:eastAsia="宋体" w:cs="Arial"/>
                <w:kern w:val="0"/>
                <w:szCs w:val="21"/>
              </w:rPr>
              <w:t>类型</w:t>
            </w:r>
          </w:p>
        </w:tc>
        <w:tc>
          <w:tcPr>
            <w:tcW w:w="2835" w:type="dxa"/>
            <w:noWrap w:val="0"/>
            <w:tcMar>
              <w:left w:w="57" w:type="dxa"/>
              <w:right w:w="57" w:type="dxa"/>
            </w:tcMar>
            <w:vAlign w:val="center"/>
          </w:tcPr>
          <w:p w14:paraId="236F7004">
            <w:pPr>
              <w:contextualSpacing/>
              <w:jc w:val="center"/>
              <w:rPr>
                <w:rFonts w:hint="default" w:ascii="Arial" w:hAnsi="Arial" w:eastAsia="宋体" w:cs="Arial"/>
                <w:kern w:val="0"/>
                <w:szCs w:val="21"/>
              </w:rPr>
            </w:pPr>
            <w:r>
              <w:rPr>
                <w:rFonts w:hint="default" w:ascii="Arial" w:hAnsi="Arial" w:eastAsia="宋体" w:cs="Arial"/>
                <w:kern w:val="0"/>
                <w:szCs w:val="21"/>
              </w:rPr>
              <w:t>环评及环评批复要求</w:t>
            </w:r>
          </w:p>
        </w:tc>
        <w:tc>
          <w:tcPr>
            <w:tcW w:w="3119" w:type="dxa"/>
            <w:noWrap w:val="0"/>
            <w:vAlign w:val="center"/>
          </w:tcPr>
          <w:p w14:paraId="278CEB73">
            <w:pPr>
              <w:contextualSpacing/>
              <w:jc w:val="center"/>
              <w:rPr>
                <w:rFonts w:hint="default" w:ascii="Arial" w:hAnsi="Arial" w:eastAsia="宋体" w:cs="Arial"/>
                <w:kern w:val="0"/>
                <w:szCs w:val="21"/>
              </w:rPr>
            </w:pPr>
            <w:r>
              <w:rPr>
                <w:rFonts w:hint="default" w:ascii="Arial" w:hAnsi="Arial" w:eastAsia="宋体" w:cs="Arial"/>
                <w:kern w:val="0"/>
                <w:szCs w:val="21"/>
              </w:rPr>
              <w:t>建设情况</w:t>
            </w:r>
          </w:p>
        </w:tc>
        <w:tc>
          <w:tcPr>
            <w:tcW w:w="858" w:type="dxa"/>
            <w:noWrap w:val="0"/>
            <w:vAlign w:val="center"/>
          </w:tcPr>
          <w:p w14:paraId="6DF1D842">
            <w:pPr>
              <w:contextualSpacing/>
              <w:jc w:val="center"/>
              <w:rPr>
                <w:rFonts w:hint="default" w:ascii="Arial" w:hAnsi="Arial" w:eastAsia="宋体" w:cs="Arial"/>
                <w:kern w:val="0"/>
                <w:szCs w:val="21"/>
              </w:rPr>
            </w:pPr>
            <w:r>
              <w:rPr>
                <w:rFonts w:hint="default" w:ascii="Arial" w:hAnsi="Arial" w:eastAsia="宋体" w:cs="Arial"/>
                <w:kern w:val="0"/>
                <w:szCs w:val="21"/>
              </w:rPr>
              <w:t>落实</w:t>
            </w:r>
            <w:r>
              <w:rPr>
                <w:rFonts w:hint="default" w:ascii="Arial" w:hAnsi="Arial" w:eastAsia="宋体" w:cs="Arial"/>
                <w:kern w:val="0"/>
                <w:szCs w:val="21"/>
              </w:rPr>
              <w:br w:type="textWrapping"/>
            </w:r>
            <w:r>
              <w:rPr>
                <w:rFonts w:hint="default" w:ascii="Arial" w:hAnsi="Arial" w:eastAsia="宋体" w:cs="Arial"/>
                <w:kern w:val="0"/>
                <w:szCs w:val="21"/>
              </w:rPr>
              <w:t>情况</w:t>
            </w:r>
          </w:p>
        </w:tc>
      </w:tr>
      <w:tr w14:paraId="5F0E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843" w:type="dxa"/>
            <w:noWrap w:val="0"/>
            <w:tcMar>
              <w:left w:w="57" w:type="dxa"/>
              <w:right w:w="57" w:type="dxa"/>
            </w:tcMar>
            <w:vAlign w:val="center"/>
          </w:tcPr>
          <w:p w14:paraId="35F064DE">
            <w:pPr>
              <w:widowControl/>
              <w:contextualSpacing/>
              <w:jc w:val="center"/>
              <w:rPr>
                <w:rFonts w:hint="default" w:ascii="Arial" w:hAnsi="Arial" w:eastAsia="宋体" w:cs="Arial"/>
                <w:kern w:val="0"/>
                <w:szCs w:val="21"/>
              </w:rPr>
            </w:pPr>
            <w:r>
              <w:rPr>
                <w:rFonts w:hint="default" w:ascii="Arial" w:hAnsi="Arial" w:eastAsia="宋体" w:cs="Arial"/>
                <w:kern w:val="0"/>
                <w:szCs w:val="21"/>
              </w:rPr>
              <w:t>废气</w:t>
            </w:r>
          </w:p>
        </w:tc>
        <w:tc>
          <w:tcPr>
            <w:tcW w:w="2835" w:type="dxa"/>
            <w:noWrap w:val="0"/>
            <w:tcMar>
              <w:left w:w="57" w:type="dxa"/>
              <w:right w:w="57" w:type="dxa"/>
            </w:tcMar>
            <w:vAlign w:val="center"/>
          </w:tcPr>
          <w:p w14:paraId="1C02E52F">
            <w:pPr>
              <w:pStyle w:val="760"/>
              <w:spacing w:line="276" w:lineRule="auto"/>
              <w:ind w:left="105" w:leftChars="50" w:right="105" w:rightChars="50"/>
              <w:rPr>
                <w:rFonts w:hint="default" w:ascii="Arial" w:hAnsi="Arial" w:eastAsia="宋体" w:cs="Arial"/>
                <w:kern w:val="0"/>
                <w:szCs w:val="21"/>
              </w:rPr>
            </w:pPr>
            <w:r>
              <w:rPr>
                <w:rFonts w:hint="default" w:ascii="Arial" w:hAnsi="Arial" w:eastAsia="宋体" w:cs="Arial"/>
                <w:sz w:val="21"/>
                <w:lang w:eastAsia="zh-CN"/>
              </w:rPr>
              <w:t>加强车间通风换气，处理装置尽量采用自动装置，提高收集效率，并采取有效措施从源头减少废气的无组织排放；油烟度气等排放标准分别执行《大气污染物综合排放标准》(</w:t>
            </w:r>
            <w:r>
              <w:rPr>
                <w:rFonts w:hint="eastAsia" w:ascii="Arial" w:hAnsi="Arial" w:cs="Arial"/>
                <w:sz w:val="21"/>
                <w:lang w:val="en-US" w:eastAsia="zh-CN"/>
              </w:rPr>
              <w:t>GB</w:t>
            </w:r>
            <w:r>
              <w:rPr>
                <w:rFonts w:hint="default" w:ascii="Arial" w:hAnsi="Arial" w:eastAsia="宋体" w:cs="Arial"/>
                <w:sz w:val="21"/>
                <w:lang w:eastAsia="zh-CN"/>
              </w:rPr>
              <w:t>16297-1996)中的相关要求；焊接烟尘排放标准执行《工作场所有害因素职业接触限值》(GB22.1-2007)中的相应标准要求</w:t>
            </w:r>
          </w:p>
        </w:tc>
        <w:tc>
          <w:tcPr>
            <w:tcW w:w="3119" w:type="dxa"/>
            <w:noWrap w:val="0"/>
            <w:vAlign w:val="top"/>
          </w:tcPr>
          <w:p w14:paraId="51144B9A">
            <w:pPr>
              <w:pStyle w:val="760"/>
              <w:spacing w:line="276" w:lineRule="auto"/>
              <w:ind w:right="105" w:rightChars="50"/>
              <w:jc w:val="both"/>
              <w:rPr>
                <w:rFonts w:hint="default" w:ascii="Arial" w:hAnsi="Arial" w:eastAsia="宋体" w:cs="Arial"/>
                <w:kern w:val="0"/>
                <w:szCs w:val="21"/>
              </w:rPr>
            </w:pPr>
            <w:r>
              <w:rPr>
                <w:rFonts w:hint="eastAsia" w:ascii="Arial" w:hAnsi="Arial" w:cs="Arial"/>
                <w:sz w:val="21"/>
                <w:lang w:val="en-US" w:eastAsia="zh-CN"/>
              </w:rPr>
              <w:t>现有项目生产工艺不涉及焊接。</w:t>
            </w:r>
            <w:r>
              <w:rPr>
                <w:rFonts w:hint="default" w:ascii="Arial" w:hAnsi="Arial" w:eastAsia="宋体" w:cs="Arial"/>
                <w:sz w:val="21"/>
                <w:lang w:eastAsia="zh-CN"/>
              </w:rPr>
              <w:t>本项目生产过程废气主要为热处理油烟废气。</w:t>
            </w:r>
            <w:r>
              <w:rPr>
                <w:rFonts w:hint="eastAsia" w:ascii="Arial" w:hAnsi="Arial" w:cs="Arial"/>
                <w:sz w:val="21"/>
                <w:lang w:val="en-US" w:eastAsia="zh-CN"/>
              </w:rPr>
              <w:t>热处理</w:t>
            </w:r>
            <w:r>
              <w:rPr>
                <w:rFonts w:hint="default" w:ascii="Arial" w:hAnsi="Arial" w:eastAsia="宋体" w:cs="Arial"/>
                <w:sz w:val="21"/>
                <w:lang w:eastAsia="zh-CN"/>
              </w:rPr>
              <w:t>油烟废气在车间内无组织排放。根据监测结果，厂界颗粒物、非甲烷总烃浓度符合《大气污染物综合排放标准》(C816297-1996)表2中无组织监控浓度限值。</w:t>
            </w:r>
          </w:p>
        </w:tc>
        <w:tc>
          <w:tcPr>
            <w:tcW w:w="858" w:type="dxa"/>
            <w:noWrap w:val="0"/>
            <w:vAlign w:val="center"/>
          </w:tcPr>
          <w:p w14:paraId="562BDE28">
            <w:pPr>
              <w:contextualSpacing/>
              <w:jc w:val="center"/>
              <w:rPr>
                <w:rFonts w:hint="default" w:ascii="Arial" w:hAnsi="Arial" w:eastAsia="宋体" w:cs="Arial"/>
                <w:kern w:val="0"/>
                <w:szCs w:val="21"/>
              </w:rPr>
            </w:pPr>
            <w:r>
              <w:rPr>
                <w:rFonts w:hint="default" w:ascii="Arial" w:hAnsi="Arial" w:eastAsia="宋体" w:cs="Arial"/>
                <w:kern w:val="0"/>
                <w:szCs w:val="21"/>
              </w:rPr>
              <w:t>已落实</w:t>
            </w:r>
          </w:p>
        </w:tc>
      </w:tr>
      <w:tr w14:paraId="19F3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843" w:type="dxa"/>
            <w:noWrap w:val="0"/>
            <w:tcMar>
              <w:left w:w="57" w:type="dxa"/>
              <w:right w:w="57" w:type="dxa"/>
            </w:tcMar>
            <w:vAlign w:val="center"/>
          </w:tcPr>
          <w:p w14:paraId="4F03CA42">
            <w:pPr>
              <w:widowControl/>
              <w:contextualSpacing/>
              <w:jc w:val="center"/>
              <w:rPr>
                <w:rFonts w:hint="default" w:ascii="Arial" w:hAnsi="Arial" w:eastAsia="宋体" w:cs="Arial"/>
                <w:kern w:val="0"/>
                <w:szCs w:val="21"/>
              </w:rPr>
            </w:pPr>
            <w:r>
              <w:rPr>
                <w:rFonts w:hint="default" w:ascii="Arial" w:hAnsi="Arial" w:eastAsia="宋体" w:cs="Arial"/>
                <w:kern w:val="0"/>
                <w:szCs w:val="21"/>
              </w:rPr>
              <w:t>水污</w:t>
            </w:r>
            <w:r>
              <w:rPr>
                <w:rFonts w:hint="default" w:ascii="Arial" w:hAnsi="Arial" w:eastAsia="宋体" w:cs="Arial"/>
                <w:kern w:val="0"/>
                <w:szCs w:val="21"/>
              </w:rPr>
              <w:br w:type="textWrapping"/>
            </w:r>
            <w:r>
              <w:rPr>
                <w:rFonts w:hint="default" w:ascii="Arial" w:hAnsi="Arial" w:eastAsia="宋体" w:cs="Arial"/>
                <w:kern w:val="0"/>
                <w:szCs w:val="21"/>
              </w:rPr>
              <w:t>染物</w:t>
            </w:r>
          </w:p>
        </w:tc>
        <w:tc>
          <w:tcPr>
            <w:tcW w:w="2835" w:type="dxa"/>
            <w:noWrap w:val="0"/>
            <w:tcMar>
              <w:left w:w="57" w:type="dxa"/>
              <w:right w:w="57" w:type="dxa"/>
            </w:tcMar>
            <w:vAlign w:val="center"/>
          </w:tcPr>
          <w:p w14:paraId="342789B4">
            <w:pPr>
              <w:pStyle w:val="760"/>
              <w:spacing w:line="276" w:lineRule="auto"/>
              <w:ind w:left="105" w:leftChars="50" w:right="105" w:rightChars="50"/>
              <w:jc w:val="both"/>
              <w:rPr>
                <w:rFonts w:hint="default" w:ascii="Arial" w:hAnsi="Arial" w:eastAsia="宋体" w:cs="Arial"/>
                <w:kern w:val="0"/>
                <w:szCs w:val="21"/>
              </w:rPr>
            </w:pPr>
            <w:r>
              <w:rPr>
                <w:rFonts w:hint="default" w:ascii="Arial" w:hAnsi="Arial" w:eastAsia="宋体" w:cs="Arial"/>
                <w:sz w:val="21"/>
                <w:lang w:eastAsia="zh-CN"/>
              </w:rPr>
              <w:t>项目必须实施清污分流、雨污分流，污水须设置规范化排污口,生产废水、生活废水、地面冲洗水和初期雨水经处理达标后分别排入污水管网，排放标准执行《污水综合排放标准》(GB8978-1996)的三级标准。表面处理设施必须采用架空、架空高度不低于0.6米，生产废水管网采用明管套明沟铺设或架空敷设。污水收集系统应采取防腐、防漏、防渗措施。</w:t>
            </w:r>
          </w:p>
        </w:tc>
        <w:tc>
          <w:tcPr>
            <w:tcW w:w="3119" w:type="dxa"/>
            <w:noWrap w:val="0"/>
            <w:vAlign w:val="center"/>
          </w:tcPr>
          <w:p w14:paraId="6EE92DFD">
            <w:pPr>
              <w:pStyle w:val="760"/>
              <w:spacing w:line="276" w:lineRule="auto"/>
              <w:ind w:left="105" w:leftChars="50" w:right="105" w:rightChars="50"/>
              <w:jc w:val="both"/>
              <w:rPr>
                <w:rFonts w:hint="default" w:ascii="Arial" w:hAnsi="Arial" w:eastAsia="宋体" w:cs="Arial"/>
                <w:kern w:val="0"/>
                <w:szCs w:val="21"/>
              </w:rPr>
            </w:pPr>
            <w:r>
              <w:rPr>
                <w:rFonts w:hint="default" w:ascii="Arial" w:hAnsi="Arial" w:eastAsia="宋体" w:cs="Arial"/>
                <w:sz w:val="21"/>
                <w:lang w:eastAsia="zh-CN"/>
              </w:rPr>
              <w:t>本项目生产废水（清洗废液）作为危险废物委托</w:t>
            </w:r>
            <w:r>
              <w:rPr>
                <w:rFonts w:hint="default" w:ascii="Arial" w:hAnsi="Arial" w:eastAsia="宋体" w:cs="Arial"/>
                <w:sz w:val="21"/>
                <w:szCs w:val="21"/>
                <w:lang w:eastAsia="zh-CN"/>
              </w:rPr>
              <w:t>绍兴鑫杰环保科技有限公司</w:t>
            </w:r>
            <w:r>
              <w:rPr>
                <w:rFonts w:hint="default" w:ascii="Arial" w:hAnsi="Arial" w:eastAsia="宋体" w:cs="Arial"/>
                <w:sz w:val="21"/>
                <w:lang w:eastAsia="zh-CN"/>
              </w:rPr>
              <w:t>处置，不排放。生活污水经化粪池处理后排入污水管网。根据监测结果，生活污水排放口主要污染物pH值、化学需氧量、悬浮物、动植物油类、石油类的排放浓度均符合《污水综合排放标准》（GB8978-1996）中三级排放标准；氨氮、总磷排放浓度符合《工业企业废水氮、磷污染物间接排放限制》（DB33/887-2013）中相应标准。</w:t>
            </w:r>
          </w:p>
        </w:tc>
        <w:tc>
          <w:tcPr>
            <w:tcW w:w="858" w:type="dxa"/>
            <w:noWrap w:val="0"/>
            <w:vAlign w:val="center"/>
          </w:tcPr>
          <w:p w14:paraId="5A8C7EFD">
            <w:pPr>
              <w:contextualSpacing/>
              <w:jc w:val="center"/>
              <w:rPr>
                <w:rFonts w:hint="default" w:ascii="Arial" w:hAnsi="Arial" w:eastAsia="宋体" w:cs="Arial"/>
                <w:kern w:val="0"/>
                <w:szCs w:val="21"/>
              </w:rPr>
            </w:pPr>
            <w:r>
              <w:rPr>
                <w:rFonts w:hint="default" w:ascii="Arial" w:hAnsi="Arial" w:eastAsia="宋体" w:cs="Arial"/>
                <w:kern w:val="0"/>
                <w:szCs w:val="21"/>
              </w:rPr>
              <w:t>已落实</w:t>
            </w:r>
          </w:p>
        </w:tc>
      </w:tr>
      <w:tr w14:paraId="24B9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843" w:type="dxa"/>
            <w:noWrap w:val="0"/>
            <w:tcMar>
              <w:left w:w="57" w:type="dxa"/>
              <w:right w:w="57" w:type="dxa"/>
            </w:tcMar>
            <w:vAlign w:val="center"/>
          </w:tcPr>
          <w:p w14:paraId="1E66384E">
            <w:pPr>
              <w:widowControl/>
              <w:contextualSpacing/>
              <w:jc w:val="center"/>
              <w:rPr>
                <w:rFonts w:hint="default" w:ascii="Arial" w:hAnsi="Arial" w:eastAsia="宋体" w:cs="Arial"/>
                <w:kern w:val="0"/>
                <w:szCs w:val="21"/>
              </w:rPr>
            </w:pPr>
            <w:r>
              <w:rPr>
                <w:rFonts w:hint="default" w:ascii="Arial" w:hAnsi="Arial" w:eastAsia="宋体" w:cs="Arial"/>
                <w:kern w:val="0"/>
                <w:szCs w:val="21"/>
              </w:rPr>
              <w:t>噪声</w:t>
            </w:r>
          </w:p>
        </w:tc>
        <w:tc>
          <w:tcPr>
            <w:tcW w:w="2835" w:type="dxa"/>
            <w:noWrap w:val="0"/>
            <w:tcMar>
              <w:left w:w="57" w:type="dxa"/>
              <w:right w:w="57" w:type="dxa"/>
            </w:tcMar>
            <w:vAlign w:val="center"/>
          </w:tcPr>
          <w:p w14:paraId="138AF4A8">
            <w:pPr>
              <w:pStyle w:val="760"/>
              <w:spacing w:line="276" w:lineRule="auto"/>
              <w:ind w:left="105" w:leftChars="50" w:right="105" w:rightChars="50"/>
              <w:jc w:val="both"/>
              <w:rPr>
                <w:rFonts w:hint="default" w:ascii="Arial" w:hAnsi="Arial" w:eastAsia="宋体" w:cs="Arial"/>
                <w:kern w:val="0"/>
                <w:szCs w:val="21"/>
              </w:rPr>
            </w:pPr>
            <w:r>
              <w:rPr>
                <w:rFonts w:hint="default" w:ascii="Arial" w:hAnsi="Arial" w:eastAsia="宋体" w:cs="Arial"/>
                <w:sz w:val="21"/>
                <w:szCs w:val="21"/>
                <w:lang w:eastAsia="zh-CN"/>
              </w:rPr>
              <w:t>采取各项嗓声污染防治措施，严格控制生产过程产生的噪声对周边环境的影响。厂区建设应合理布局，选用低噪声设备，同时采取必要的隔音、消声。降噪措施;合理安排操作时间，加强设备的日常维护和保养，提高厂区绿化率，确保边界噪声达到《工业企业厂界环境噪声排放标准》(GB12348-2008)的3类标准。</w:t>
            </w:r>
          </w:p>
        </w:tc>
        <w:tc>
          <w:tcPr>
            <w:tcW w:w="3119" w:type="dxa"/>
            <w:noWrap w:val="0"/>
            <w:vAlign w:val="top"/>
          </w:tcPr>
          <w:p w14:paraId="7C7E51DA">
            <w:pPr>
              <w:pStyle w:val="760"/>
              <w:spacing w:line="276" w:lineRule="auto"/>
              <w:ind w:left="105" w:leftChars="50" w:right="105" w:rightChars="50"/>
              <w:jc w:val="both"/>
              <w:rPr>
                <w:rFonts w:hint="default" w:ascii="Arial" w:hAnsi="Arial" w:eastAsia="宋体" w:cs="Arial"/>
                <w:sz w:val="21"/>
                <w:lang w:eastAsia="zh-CN"/>
              </w:rPr>
            </w:pPr>
            <w:r>
              <w:rPr>
                <w:rFonts w:hint="default" w:ascii="Arial" w:hAnsi="Arial" w:eastAsia="宋体" w:cs="Arial"/>
                <w:sz w:val="21"/>
                <w:lang w:eastAsia="zh-CN"/>
              </w:rPr>
              <w:t>主要通过选用低噪声设备、车间合理布局、设备定期维护、运行时关闭车间门窗等方式来达到降噪效果。</w:t>
            </w:r>
          </w:p>
          <w:p w14:paraId="6287C7C6">
            <w:pPr>
              <w:pStyle w:val="760"/>
              <w:spacing w:line="276" w:lineRule="auto"/>
              <w:ind w:left="105" w:leftChars="50" w:right="105" w:rightChars="50"/>
              <w:jc w:val="both"/>
              <w:rPr>
                <w:rFonts w:hint="default" w:ascii="Arial" w:hAnsi="Arial" w:eastAsia="宋体" w:cs="Arial"/>
                <w:szCs w:val="21"/>
              </w:rPr>
            </w:pPr>
            <w:r>
              <w:rPr>
                <w:rFonts w:hint="default" w:ascii="Arial" w:hAnsi="Arial" w:eastAsia="宋体" w:cs="Arial"/>
                <w:sz w:val="21"/>
                <w:lang w:eastAsia="zh-CN"/>
              </w:rPr>
              <w:t>经检测，项目厂界噪声符合《工业企业厂界环境噪声排放标准》（GB12348-2008）中3类标准。</w:t>
            </w:r>
          </w:p>
        </w:tc>
        <w:tc>
          <w:tcPr>
            <w:tcW w:w="858" w:type="dxa"/>
            <w:noWrap w:val="0"/>
            <w:vAlign w:val="center"/>
          </w:tcPr>
          <w:p w14:paraId="314404CC">
            <w:pPr>
              <w:contextualSpacing/>
              <w:jc w:val="center"/>
              <w:rPr>
                <w:rFonts w:hint="default" w:ascii="Arial" w:hAnsi="Arial" w:eastAsia="宋体" w:cs="Arial"/>
                <w:kern w:val="0"/>
                <w:szCs w:val="21"/>
              </w:rPr>
            </w:pPr>
            <w:r>
              <w:rPr>
                <w:rFonts w:hint="default" w:ascii="Arial" w:hAnsi="Arial" w:eastAsia="宋体" w:cs="Arial"/>
                <w:kern w:val="0"/>
                <w:szCs w:val="21"/>
              </w:rPr>
              <w:t>已落实</w:t>
            </w:r>
          </w:p>
        </w:tc>
      </w:tr>
      <w:tr w14:paraId="08BA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jc w:val="center"/>
        </w:trPr>
        <w:tc>
          <w:tcPr>
            <w:tcW w:w="843" w:type="dxa"/>
            <w:noWrap w:val="0"/>
            <w:tcMar>
              <w:left w:w="57" w:type="dxa"/>
              <w:right w:w="57" w:type="dxa"/>
            </w:tcMar>
            <w:vAlign w:val="center"/>
          </w:tcPr>
          <w:p w14:paraId="444DB00A">
            <w:pPr>
              <w:contextualSpacing/>
              <w:jc w:val="center"/>
              <w:rPr>
                <w:rFonts w:hint="default" w:ascii="Arial" w:hAnsi="Arial" w:eastAsia="宋体" w:cs="Arial"/>
                <w:kern w:val="0"/>
                <w:szCs w:val="21"/>
              </w:rPr>
            </w:pPr>
            <w:r>
              <w:rPr>
                <w:rFonts w:hint="default" w:ascii="Arial" w:hAnsi="Arial" w:eastAsia="宋体" w:cs="Arial"/>
                <w:kern w:val="0"/>
                <w:szCs w:val="21"/>
              </w:rPr>
              <w:t>固废</w:t>
            </w:r>
          </w:p>
        </w:tc>
        <w:tc>
          <w:tcPr>
            <w:tcW w:w="2835" w:type="dxa"/>
            <w:noWrap w:val="0"/>
            <w:tcMar>
              <w:left w:w="57" w:type="dxa"/>
              <w:right w:w="57" w:type="dxa"/>
            </w:tcMar>
            <w:vAlign w:val="center"/>
          </w:tcPr>
          <w:p w14:paraId="39242CCC">
            <w:pPr>
              <w:pStyle w:val="760"/>
              <w:spacing w:line="276" w:lineRule="auto"/>
              <w:ind w:left="105" w:leftChars="50" w:right="105" w:rightChars="50"/>
              <w:jc w:val="both"/>
              <w:rPr>
                <w:rFonts w:hint="default" w:ascii="Arial" w:hAnsi="Arial" w:eastAsia="宋体" w:cs="Arial"/>
                <w:kern w:val="0"/>
                <w:szCs w:val="21"/>
              </w:rPr>
            </w:pPr>
            <w:r>
              <w:rPr>
                <w:rFonts w:hint="default" w:ascii="Arial" w:hAnsi="Arial" w:eastAsia="宋体" w:cs="Arial"/>
                <w:sz w:val="21"/>
                <w:szCs w:val="21"/>
                <w:lang w:eastAsia="zh-CN"/>
              </w:rPr>
              <w:t>固体废弃物应按照“资源化、减量化、无害化”处置原则，规范设置废物暂存库，固废分类分质合理处置，尽可能实现资源的综合利用。金属边角料等分别收集后外卖处理；空桶由供货单位回收利用；生活垃圾经收集后委托环卫部门处理。危险废物必须委托有资质的单位进行处置。场内暂存场所应按相关规范进行设置，做好危险废物的入库、存放、防漏等工作。</w:t>
            </w:r>
          </w:p>
        </w:tc>
        <w:tc>
          <w:tcPr>
            <w:tcW w:w="3119" w:type="dxa"/>
            <w:noWrap w:val="0"/>
            <w:vAlign w:val="top"/>
          </w:tcPr>
          <w:p w14:paraId="560BD789">
            <w:pPr>
              <w:pStyle w:val="760"/>
              <w:spacing w:line="276" w:lineRule="auto"/>
              <w:ind w:left="105" w:leftChars="50" w:right="105" w:rightChars="50"/>
              <w:jc w:val="both"/>
              <w:rPr>
                <w:rFonts w:hint="default" w:ascii="Arial" w:hAnsi="Arial" w:eastAsia="宋体" w:cs="Arial"/>
                <w:kern w:val="0"/>
                <w:szCs w:val="21"/>
              </w:rPr>
            </w:pPr>
            <w:r>
              <w:rPr>
                <w:rFonts w:hint="default" w:ascii="Arial" w:hAnsi="Arial" w:eastAsia="宋体" w:cs="Arial"/>
                <w:sz w:val="21"/>
                <w:lang w:eastAsia="zh-CN"/>
              </w:rPr>
              <w:t>本项目固废为</w:t>
            </w:r>
            <w:r>
              <w:rPr>
                <w:rFonts w:hint="default" w:ascii="Arial" w:hAnsi="Arial" w:eastAsia="宋体" w:cs="Arial"/>
                <w:sz w:val="21"/>
                <w:szCs w:val="21"/>
                <w:lang w:eastAsia="zh-CN"/>
              </w:rPr>
              <w:t>废包装材料、金属边角料、</w:t>
            </w:r>
            <w:r>
              <w:rPr>
                <w:rFonts w:hint="eastAsia" w:ascii="Arial" w:hAnsi="Arial" w:cs="Arial"/>
                <w:sz w:val="21"/>
                <w:szCs w:val="21"/>
                <w:lang w:val="en-US" w:eastAsia="zh-CN"/>
              </w:rPr>
              <w:t>废化学品包装、</w:t>
            </w:r>
            <w:r>
              <w:rPr>
                <w:rFonts w:hint="default" w:ascii="Arial" w:hAnsi="Arial" w:eastAsia="宋体" w:cs="Arial"/>
                <w:sz w:val="21"/>
                <w:szCs w:val="21"/>
                <w:lang w:eastAsia="zh-CN"/>
              </w:rPr>
              <w:t>废机油、废切削油、废淬火</w:t>
            </w:r>
            <w:r>
              <w:rPr>
                <w:rFonts w:hint="eastAsia" w:ascii="Arial" w:hAnsi="Arial" w:cs="Arial"/>
                <w:sz w:val="21"/>
                <w:szCs w:val="21"/>
                <w:lang w:val="en-US" w:eastAsia="zh-CN"/>
              </w:rPr>
              <w:t>油</w:t>
            </w:r>
            <w:r>
              <w:rPr>
                <w:rFonts w:hint="default" w:ascii="Arial" w:hAnsi="Arial" w:eastAsia="宋体" w:cs="Arial"/>
                <w:sz w:val="21"/>
                <w:szCs w:val="21"/>
                <w:lang w:eastAsia="zh-CN"/>
              </w:rPr>
              <w:t>、清洗废液以及员工生活垃圾。一般废包装材料、金属边角料收集后出售给物资回收单位，废</w:t>
            </w:r>
            <w:r>
              <w:rPr>
                <w:rFonts w:hint="eastAsia" w:ascii="Arial" w:hAnsi="Arial" w:cs="Arial"/>
                <w:sz w:val="21"/>
                <w:szCs w:val="21"/>
                <w:lang w:val="en-US" w:eastAsia="zh-CN"/>
              </w:rPr>
              <w:t>化学品</w:t>
            </w:r>
            <w:r>
              <w:rPr>
                <w:rFonts w:hint="default" w:ascii="Arial" w:hAnsi="Arial" w:eastAsia="宋体" w:cs="Arial"/>
                <w:sz w:val="21"/>
                <w:szCs w:val="21"/>
                <w:lang w:eastAsia="zh-CN"/>
              </w:rPr>
              <w:t>包装</w:t>
            </w:r>
            <w:r>
              <w:rPr>
                <w:rFonts w:hint="eastAsia" w:ascii="Arial" w:hAnsi="Arial" w:cs="Arial"/>
                <w:sz w:val="21"/>
                <w:szCs w:val="21"/>
                <w:lang w:val="en-US" w:eastAsia="zh-CN"/>
              </w:rPr>
              <w:t>委托浙江归零环保科技有限公司、海宁嘉洲环保科技有限公司处置；</w:t>
            </w:r>
            <w:r>
              <w:rPr>
                <w:rFonts w:hint="default" w:ascii="Arial" w:hAnsi="Arial" w:eastAsia="宋体" w:cs="Arial"/>
                <w:sz w:val="21"/>
                <w:szCs w:val="21"/>
                <w:lang w:eastAsia="zh-CN"/>
              </w:rPr>
              <w:t>废机油、废切削油、废淬火</w:t>
            </w:r>
            <w:r>
              <w:rPr>
                <w:rFonts w:hint="eastAsia" w:ascii="Arial" w:hAnsi="Arial" w:cs="Arial"/>
                <w:sz w:val="21"/>
                <w:szCs w:val="21"/>
                <w:lang w:val="en-US" w:eastAsia="zh-CN"/>
              </w:rPr>
              <w:t>油</w:t>
            </w:r>
            <w:r>
              <w:rPr>
                <w:rFonts w:hint="default" w:ascii="Arial" w:hAnsi="Arial" w:eastAsia="宋体" w:cs="Arial"/>
                <w:sz w:val="21"/>
                <w:szCs w:val="21"/>
                <w:lang w:eastAsia="zh-CN"/>
              </w:rPr>
              <w:t>、清洗废液为危险废物，委托</w:t>
            </w:r>
            <w:r>
              <w:rPr>
                <w:rFonts w:hint="eastAsia" w:ascii="Arial" w:hAnsi="Arial" w:cs="Arial"/>
                <w:sz w:val="21"/>
                <w:szCs w:val="21"/>
                <w:lang w:val="en-US" w:eastAsia="zh-CN"/>
              </w:rPr>
              <w:t>绍兴鑫杰环保科技有限公司处置</w:t>
            </w:r>
            <w:r>
              <w:rPr>
                <w:rFonts w:hint="default" w:ascii="Arial" w:hAnsi="Arial" w:eastAsia="宋体" w:cs="Arial"/>
                <w:sz w:val="21"/>
                <w:szCs w:val="21"/>
                <w:lang w:eastAsia="zh-CN"/>
              </w:rPr>
              <w:t>，员工生活垃圾收集后委托环卫部门清运。</w:t>
            </w:r>
          </w:p>
        </w:tc>
        <w:tc>
          <w:tcPr>
            <w:tcW w:w="858" w:type="dxa"/>
            <w:noWrap w:val="0"/>
            <w:vAlign w:val="center"/>
          </w:tcPr>
          <w:p w14:paraId="0524F1B5">
            <w:pPr>
              <w:contextualSpacing/>
              <w:jc w:val="center"/>
              <w:rPr>
                <w:rFonts w:hint="default" w:ascii="Arial" w:hAnsi="Arial" w:eastAsia="宋体" w:cs="Arial"/>
                <w:kern w:val="0"/>
                <w:szCs w:val="21"/>
              </w:rPr>
            </w:pPr>
            <w:r>
              <w:rPr>
                <w:rFonts w:hint="default" w:ascii="Arial" w:hAnsi="Arial" w:eastAsia="宋体" w:cs="Arial"/>
                <w:kern w:val="0"/>
                <w:szCs w:val="21"/>
              </w:rPr>
              <w:t>已落实</w:t>
            </w:r>
          </w:p>
        </w:tc>
      </w:tr>
    </w:tbl>
    <w:p w14:paraId="292EA50E">
      <w:pPr>
        <w:pStyle w:val="76"/>
        <w:numPr>
          <w:ilvl w:val="2"/>
          <w:numId w:val="4"/>
        </w:numPr>
        <w:spacing w:line="360" w:lineRule="auto"/>
        <w:ind w:left="568" w:hanging="284" w:firstLineChars="0"/>
        <w:outlineLvl w:val="2"/>
        <w:rPr>
          <w:rFonts w:hint="default" w:ascii="Arial" w:hAnsi="Arial" w:eastAsia="宋体" w:cs="Arial"/>
          <w:b/>
          <w:bCs/>
          <w:sz w:val="24"/>
          <w:szCs w:val="24"/>
        </w:rPr>
      </w:pPr>
      <w:r>
        <w:rPr>
          <w:rFonts w:hint="default" w:ascii="Arial" w:hAnsi="Arial" w:eastAsia="宋体" w:cs="Arial"/>
          <w:b/>
          <w:bCs/>
          <w:sz w:val="24"/>
          <w:szCs w:val="24"/>
        </w:rPr>
        <w:t>现有工程已建项目污染物排放达标情况</w:t>
      </w:r>
    </w:p>
    <w:p w14:paraId="27AC8901">
      <w:pPr>
        <w:pStyle w:val="76"/>
        <w:spacing w:line="360" w:lineRule="auto"/>
        <w:ind w:left="105" w:leftChars="50" w:right="105" w:rightChars="50" w:firstLine="482"/>
        <w:rPr>
          <w:rFonts w:hint="default" w:ascii="Arial" w:hAnsi="Arial" w:eastAsia="宋体" w:cs="Arial"/>
          <w:b/>
          <w:sz w:val="24"/>
          <w:szCs w:val="24"/>
        </w:rPr>
      </w:pPr>
      <w:r>
        <w:rPr>
          <w:rFonts w:hint="default" w:ascii="Arial" w:hAnsi="Arial" w:eastAsia="宋体" w:cs="Arial"/>
          <w:b/>
          <w:sz w:val="24"/>
          <w:szCs w:val="24"/>
        </w:rPr>
        <w:t>1、废水</w:t>
      </w:r>
    </w:p>
    <w:p w14:paraId="5EAE1364">
      <w:pPr>
        <w:pStyle w:val="76"/>
        <w:spacing w:line="360" w:lineRule="auto"/>
        <w:ind w:left="105" w:leftChars="50" w:right="105" w:rightChars="50" w:firstLine="480"/>
        <w:rPr>
          <w:rFonts w:hint="default" w:ascii="Arial" w:hAnsi="Arial" w:eastAsia="宋体" w:cs="Arial"/>
          <w:bCs/>
          <w:sz w:val="24"/>
          <w:szCs w:val="24"/>
        </w:rPr>
      </w:pPr>
      <w:r>
        <w:rPr>
          <w:rFonts w:hint="default" w:ascii="Arial" w:hAnsi="Arial" w:eastAsia="宋体" w:cs="Arial"/>
          <w:bCs/>
          <w:sz w:val="24"/>
          <w:szCs w:val="24"/>
        </w:rPr>
        <w:t>为了解企业现有工程废水排放情况，本评价收集了企业202</w:t>
      </w:r>
      <w:r>
        <w:rPr>
          <w:rFonts w:hint="default" w:ascii="Arial" w:hAnsi="Arial" w:eastAsia="宋体" w:cs="Arial"/>
          <w:bCs/>
          <w:sz w:val="24"/>
          <w:szCs w:val="24"/>
          <w:lang w:val="en-US" w:eastAsia="zh-CN"/>
        </w:rPr>
        <w:t>4</w:t>
      </w:r>
      <w:r>
        <w:rPr>
          <w:rFonts w:hint="default" w:ascii="Arial" w:hAnsi="Arial" w:eastAsia="宋体" w:cs="Arial"/>
          <w:bCs/>
          <w:sz w:val="24"/>
          <w:szCs w:val="24"/>
        </w:rPr>
        <w:t>年的常规监测报告（</w:t>
      </w:r>
      <w:r>
        <w:rPr>
          <w:rFonts w:hint="default" w:ascii="Arial" w:hAnsi="Arial" w:eastAsia="宋体" w:cs="Arial"/>
          <w:bCs/>
          <w:sz w:val="24"/>
          <w:szCs w:val="24"/>
          <w:lang w:val="en-US" w:eastAsia="zh-CN"/>
        </w:rPr>
        <w:t>浙江云广检测技术有限公司，YGJC（HJ）241271</w:t>
      </w:r>
      <w:r>
        <w:rPr>
          <w:rFonts w:hint="default" w:ascii="Arial" w:hAnsi="Arial" w:eastAsia="宋体" w:cs="Arial"/>
          <w:bCs/>
          <w:sz w:val="24"/>
          <w:szCs w:val="24"/>
        </w:rPr>
        <w:t>）</w:t>
      </w:r>
      <w:r>
        <w:rPr>
          <w:rFonts w:hint="default" w:ascii="Arial" w:hAnsi="Arial" w:eastAsia="宋体" w:cs="Arial"/>
          <w:sz w:val="24"/>
          <w:szCs w:val="24"/>
        </w:rPr>
        <w:t>，对企业废水排放口水质达标情况进行评价，具体检测结果见下表。</w:t>
      </w:r>
    </w:p>
    <w:p w14:paraId="74F8E129">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现有工程废水污染物排放检测情况</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1000"/>
        <w:gridCol w:w="1065"/>
        <w:gridCol w:w="1019"/>
        <w:gridCol w:w="980"/>
        <w:gridCol w:w="999"/>
        <w:gridCol w:w="933"/>
      </w:tblGrid>
      <w:tr w14:paraId="7AF7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tcBorders>
              <w:top w:val="single" w:color="auto" w:sz="4" w:space="0"/>
              <w:left w:val="single" w:color="auto" w:sz="4" w:space="0"/>
              <w:bottom w:val="single" w:color="auto" w:sz="4" w:space="0"/>
              <w:right w:val="single" w:color="auto" w:sz="4" w:space="0"/>
            </w:tcBorders>
            <w:noWrap w:val="0"/>
            <w:vAlign w:val="center"/>
          </w:tcPr>
          <w:p w14:paraId="682DD415">
            <w:pPr>
              <w:pStyle w:val="834"/>
              <w:jc w:val="center"/>
              <w:rPr>
                <w:rFonts w:hint="default" w:ascii="Arial" w:hAnsi="Arial" w:eastAsia="宋体" w:cs="Arial"/>
                <w:sz w:val="21"/>
                <w:szCs w:val="21"/>
              </w:rPr>
            </w:pPr>
            <w:r>
              <w:rPr>
                <w:rFonts w:hint="default" w:ascii="Arial" w:hAnsi="Arial" w:eastAsia="宋体" w:cs="Arial"/>
                <w:sz w:val="21"/>
                <w:szCs w:val="21"/>
              </w:rPr>
              <w:t>采样点位</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707D73">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pH</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EEE292D">
            <w:pPr>
              <w:pStyle w:val="834"/>
              <w:jc w:val="center"/>
              <w:rPr>
                <w:rFonts w:hint="default" w:ascii="Arial" w:hAnsi="Arial" w:eastAsia="宋体" w:cs="Arial"/>
                <w:sz w:val="21"/>
                <w:szCs w:val="21"/>
              </w:rPr>
            </w:pPr>
            <w:r>
              <w:rPr>
                <w:rFonts w:hint="default" w:ascii="Arial" w:hAnsi="Arial" w:eastAsia="宋体" w:cs="Arial"/>
                <w:sz w:val="21"/>
                <w:szCs w:val="21"/>
              </w:rPr>
              <w:t>COD</w:t>
            </w:r>
            <w:r>
              <w:rPr>
                <w:rFonts w:hint="default" w:ascii="Arial" w:hAnsi="Arial" w:eastAsia="宋体" w:cs="Arial"/>
                <w:sz w:val="21"/>
                <w:szCs w:val="21"/>
                <w:vertAlign w:val="subscript"/>
              </w:rPr>
              <w:t>Cr</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60CA6327">
            <w:pPr>
              <w:pStyle w:val="834"/>
              <w:jc w:val="center"/>
              <w:rPr>
                <w:rFonts w:hint="default" w:ascii="Arial" w:hAnsi="Arial" w:eastAsia="宋体" w:cs="Arial"/>
                <w:sz w:val="21"/>
                <w:szCs w:val="21"/>
              </w:rPr>
            </w:pPr>
            <w:r>
              <w:rPr>
                <w:rFonts w:hint="default" w:ascii="Arial" w:hAnsi="Arial" w:eastAsia="宋体" w:cs="Arial"/>
                <w:sz w:val="21"/>
                <w:szCs w:val="21"/>
              </w:rPr>
              <w:t>NH</w:t>
            </w:r>
            <w:r>
              <w:rPr>
                <w:rFonts w:hint="default" w:ascii="Arial" w:hAnsi="Arial" w:eastAsia="宋体" w:cs="Arial"/>
                <w:sz w:val="21"/>
                <w:szCs w:val="21"/>
                <w:vertAlign w:val="subscript"/>
              </w:rPr>
              <w:t>3</w:t>
            </w:r>
            <w:r>
              <w:rPr>
                <w:rFonts w:hint="default" w:ascii="Arial" w:hAnsi="Arial" w:eastAsia="宋体" w:cs="Arial"/>
                <w:sz w:val="21"/>
                <w:szCs w:val="21"/>
              </w:rPr>
              <w:t>-N</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261511EB">
            <w:pPr>
              <w:pStyle w:val="834"/>
              <w:jc w:val="center"/>
              <w:rPr>
                <w:rFonts w:hint="default" w:ascii="Arial" w:hAnsi="Arial" w:eastAsia="宋体" w:cs="Arial"/>
                <w:sz w:val="21"/>
                <w:szCs w:val="21"/>
              </w:rPr>
            </w:pPr>
            <w:r>
              <w:rPr>
                <w:rFonts w:hint="default" w:ascii="Arial" w:hAnsi="Arial" w:eastAsia="宋体" w:cs="Arial"/>
                <w:sz w:val="21"/>
                <w:szCs w:val="21"/>
              </w:rPr>
              <w:t>SS</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0DAEB534">
            <w:pPr>
              <w:pStyle w:val="834"/>
              <w:jc w:val="center"/>
              <w:rPr>
                <w:rFonts w:hint="default" w:ascii="Arial" w:hAnsi="Arial" w:eastAsia="宋体" w:cs="Arial"/>
                <w:sz w:val="21"/>
                <w:szCs w:val="21"/>
              </w:rPr>
            </w:pPr>
            <w:r>
              <w:rPr>
                <w:rFonts w:hint="default" w:ascii="Arial" w:hAnsi="Arial" w:eastAsia="宋体" w:cs="Arial"/>
                <w:sz w:val="21"/>
                <w:szCs w:val="21"/>
              </w:rPr>
              <w:t>BOD</w:t>
            </w:r>
            <w:r>
              <w:rPr>
                <w:rFonts w:hint="default" w:ascii="Arial" w:hAnsi="Arial" w:eastAsia="宋体" w:cs="Arial"/>
                <w:sz w:val="21"/>
                <w:szCs w:val="21"/>
                <w:vertAlign w:val="subscript"/>
              </w:rPr>
              <w:t>5</w:t>
            </w:r>
          </w:p>
        </w:tc>
        <w:tc>
          <w:tcPr>
            <w:tcW w:w="7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2C28DD5">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TP</w:t>
            </w:r>
          </w:p>
        </w:tc>
      </w:tr>
      <w:tr w14:paraId="0EF3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tcBorders>
              <w:top w:val="single" w:color="auto" w:sz="4" w:space="0"/>
              <w:left w:val="single" w:color="auto" w:sz="4" w:space="0"/>
              <w:bottom w:val="single" w:color="auto" w:sz="4" w:space="0"/>
              <w:right w:val="single" w:color="auto" w:sz="4" w:space="0"/>
            </w:tcBorders>
            <w:noWrap w:val="0"/>
            <w:vAlign w:val="center"/>
          </w:tcPr>
          <w:p w14:paraId="41396EDC">
            <w:pPr>
              <w:pStyle w:val="834"/>
              <w:jc w:val="center"/>
              <w:rPr>
                <w:rFonts w:hint="default" w:ascii="Arial" w:hAnsi="Arial" w:eastAsia="宋体" w:cs="Arial"/>
                <w:sz w:val="21"/>
                <w:szCs w:val="21"/>
              </w:rPr>
            </w:pPr>
            <w:r>
              <w:rPr>
                <w:rFonts w:hint="default" w:ascii="Arial" w:hAnsi="Arial" w:eastAsia="宋体" w:cs="Arial"/>
                <w:sz w:val="21"/>
                <w:szCs w:val="21"/>
              </w:rPr>
              <w:t>废水排放口</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E12AFA">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7.3</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A7E8A39">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33</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085F8FB0">
            <w:pPr>
              <w:pStyle w:val="834"/>
              <w:jc w:val="center"/>
              <w:rPr>
                <w:rFonts w:hint="default" w:ascii="Arial" w:hAnsi="Arial" w:eastAsia="宋体" w:cs="Arial"/>
                <w:sz w:val="21"/>
                <w:szCs w:val="21"/>
                <w:lang w:val="en-US" w:eastAsia="zh-CN"/>
              </w:rPr>
            </w:pPr>
            <w:r>
              <w:rPr>
                <w:rFonts w:hint="default" w:ascii="Arial" w:hAnsi="Arial" w:eastAsia="宋体" w:cs="Arial"/>
                <w:sz w:val="21"/>
                <w:szCs w:val="21"/>
              </w:rPr>
              <w:t>0.7</w:t>
            </w:r>
            <w:r>
              <w:rPr>
                <w:rFonts w:hint="default" w:ascii="Arial" w:hAnsi="Arial" w:eastAsia="宋体" w:cs="Arial"/>
                <w:sz w:val="21"/>
                <w:szCs w:val="21"/>
                <w:lang w:val="en-US" w:eastAsia="zh-CN"/>
              </w:rPr>
              <w:t>41</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19CDAB12">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39</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2F7F61B4">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9.1</w:t>
            </w:r>
          </w:p>
        </w:tc>
        <w:tc>
          <w:tcPr>
            <w:tcW w:w="7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CD9265">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0.22</w:t>
            </w:r>
          </w:p>
        </w:tc>
      </w:tr>
      <w:tr w14:paraId="55E1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1" w:type="dxa"/>
            <w:tcBorders>
              <w:top w:val="single" w:color="auto" w:sz="4" w:space="0"/>
              <w:left w:val="single" w:color="auto" w:sz="4" w:space="0"/>
              <w:bottom w:val="single" w:color="auto" w:sz="4" w:space="0"/>
              <w:right w:val="single" w:color="auto" w:sz="4" w:space="0"/>
            </w:tcBorders>
            <w:noWrap w:val="0"/>
            <w:vAlign w:val="center"/>
          </w:tcPr>
          <w:p w14:paraId="3664B204">
            <w:pPr>
              <w:pStyle w:val="834"/>
              <w:jc w:val="center"/>
              <w:rPr>
                <w:rFonts w:hint="default" w:ascii="Arial" w:hAnsi="Arial" w:eastAsia="宋体" w:cs="Arial"/>
                <w:sz w:val="21"/>
                <w:szCs w:val="21"/>
              </w:rPr>
            </w:pPr>
            <w:r>
              <w:rPr>
                <w:rFonts w:hint="default" w:ascii="Arial" w:hAnsi="Arial" w:eastAsia="宋体" w:cs="Arial"/>
                <w:sz w:val="21"/>
                <w:szCs w:val="21"/>
              </w:rPr>
              <w:t>排放标准</w:t>
            </w:r>
          </w:p>
        </w:tc>
        <w:tc>
          <w:tcPr>
            <w:tcW w:w="79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40D614">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6~9</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F79F2C4">
            <w:pPr>
              <w:pStyle w:val="834"/>
              <w:jc w:val="center"/>
              <w:rPr>
                <w:rFonts w:hint="default" w:ascii="Arial" w:hAnsi="Arial" w:eastAsia="宋体" w:cs="Arial"/>
                <w:sz w:val="21"/>
                <w:szCs w:val="21"/>
              </w:rPr>
            </w:pPr>
            <w:r>
              <w:rPr>
                <w:rFonts w:hint="default" w:ascii="Arial" w:hAnsi="Arial" w:eastAsia="宋体" w:cs="Arial"/>
                <w:sz w:val="21"/>
                <w:szCs w:val="21"/>
              </w:rPr>
              <w:t>500</w:t>
            </w:r>
          </w:p>
        </w:tc>
        <w:tc>
          <w:tcPr>
            <w:tcW w:w="814" w:type="dxa"/>
            <w:tcBorders>
              <w:top w:val="single" w:color="auto" w:sz="4" w:space="0"/>
              <w:left w:val="single" w:color="auto" w:sz="4" w:space="0"/>
              <w:bottom w:val="single" w:color="auto" w:sz="4" w:space="0"/>
              <w:right w:val="single" w:color="auto" w:sz="4" w:space="0"/>
            </w:tcBorders>
            <w:noWrap w:val="0"/>
            <w:vAlign w:val="center"/>
          </w:tcPr>
          <w:p w14:paraId="304D620A">
            <w:pPr>
              <w:pStyle w:val="834"/>
              <w:jc w:val="center"/>
              <w:rPr>
                <w:rFonts w:hint="default" w:ascii="Arial" w:hAnsi="Arial" w:eastAsia="宋体" w:cs="Arial"/>
                <w:sz w:val="21"/>
                <w:szCs w:val="21"/>
              </w:rPr>
            </w:pPr>
            <w:r>
              <w:rPr>
                <w:rFonts w:hint="default" w:ascii="Arial" w:hAnsi="Arial" w:eastAsia="宋体" w:cs="Arial"/>
                <w:sz w:val="21"/>
                <w:szCs w:val="21"/>
              </w:rPr>
              <w:t>35</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6973FC2B">
            <w:pPr>
              <w:pStyle w:val="834"/>
              <w:jc w:val="center"/>
              <w:rPr>
                <w:rFonts w:hint="default" w:ascii="Arial" w:hAnsi="Arial" w:eastAsia="宋体" w:cs="Arial"/>
                <w:sz w:val="21"/>
                <w:szCs w:val="21"/>
              </w:rPr>
            </w:pPr>
            <w:r>
              <w:rPr>
                <w:rFonts w:hint="default" w:ascii="Arial" w:hAnsi="Arial" w:eastAsia="宋体" w:cs="Arial"/>
                <w:sz w:val="21"/>
                <w:szCs w:val="21"/>
              </w:rPr>
              <w:t>400</w:t>
            </w:r>
          </w:p>
        </w:tc>
        <w:tc>
          <w:tcPr>
            <w:tcW w:w="798" w:type="dxa"/>
            <w:tcBorders>
              <w:top w:val="single" w:color="auto" w:sz="4" w:space="0"/>
              <w:left w:val="single" w:color="auto" w:sz="4" w:space="0"/>
              <w:bottom w:val="single" w:color="auto" w:sz="4" w:space="0"/>
              <w:right w:val="single" w:color="auto" w:sz="4" w:space="0"/>
            </w:tcBorders>
            <w:noWrap w:val="0"/>
            <w:vAlign w:val="center"/>
          </w:tcPr>
          <w:p w14:paraId="05FF0BF2">
            <w:pPr>
              <w:pStyle w:val="834"/>
              <w:jc w:val="center"/>
              <w:rPr>
                <w:rFonts w:hint="default" w:ascii="Arial" w:hAnsi="Arial" w:eastAsia="宋体" w:cs="Arial"/>
                <w:sz w:val="21"/>
                <w:szCs w:val="21"/>
              </w:rPr>
            </w:pPr>
            <w:r>
              <w:rPr>
                <w:rFonts w:hint="default" w:ascii="Arial" w:hAnsi="Arial" w:eastAsia="宋体" w:cs="Arial"/>
                <w:sz w:val="21"/>
                <w:szCs w:val="21"/>
              </w:rPr>
              <w:t>300</w:t>
            </w:r>
          </w:p>
        </w:tc>
        <w:tc>
          <w:tcPr>
            <w:tcW w:w="74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94F9B6B">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8.0</w:t>
            </w:r>
          </w:p>
        </w:tc>
      </w:tr>
    </w:tbl>
    <w:p w14:paraId="08F6BC92">
      <w:pPr>
        <w:pStyle w:val="76"/>
        <w:spacing w:line="360" w:lineRule="auto"/>
        <w:ind w:left="105" w:leftChars="50" w:right="105" w:rightChars="50" w:firstLine="480"/>
        <w:rPr>
          <w:rFonts w:hint="default" w:ascii="Arial" w:hAnsi="Arial" w:eastAsia="宋体" w:cs="Arial"/>
          <w:sz w:val="24"/>
          <w:szCs w:val="24"/>
        </w:rPr>
      </w:pPr>
      <w:r>
        <w:rPr>
          <w:rFonts w:hint="default" w:ascii="Arial" w:hAnsi="Arial" w:eastAsia="宋体" w:cs="Arial"/>
          <w:bCs/>
          <w:sz w:val="24"/>
          <w:szCs w:val="24"/>
        </w:rPr>
        <w:t>由上表可见，</w:t>
      </w:r>
      <w:r>
        <w:rPr>
          <w:rFonts w:hint="default" w:ascii="Arial" w:hAnsi="Arial" w:eastAsia="宋体" w:cs="Arial"/>
          <w:sz w:val="24"/>
          <w:szCs w:val="24"/>
        </w:rPr>
        <w:t>企业废水经处理后废水中各项污染物能够符合《污水综合排放标准》（GB8978-1996）三级标准和《工业企业废水氮、磷污染物间接排放限值》（DB33/887-2013）。</w:t>
      </w:r>
    </w:p>
    <w:p w14:paraId="1E80C03B">
      <w:pPr>
        <w:pStyle w:val="76"/>
        <w:spacing w:line="360" w:lineRule="auto"/>
        <w:ind w:left="105" w:leftChars="50" w:right="105" w:rightChars="50" w:firstLine="482"/>
        <w:rPr>
          <w:rFonts w:hint="default" w:ascii="Arial" w:hAnsi="Arial" w:eastAsia="宋体" w:cs="Arial"/>
          <w:b/>
          <w:bCs/>
          <w:sz w:val="24"/>
          <w:szCs w:val="24"/>
        </w:rPr>
      </w:pPr>
      <w:r>
        <w:rPr>
          <w:rFonts w:hint="default" w:ascii="Arial" w:hAnsi="Arial" w:eastAsia="宋体" w:cs="Arial"/>
          <w:b/>
          <w:bCs/>
          <w:sz w:val="24"/>
          <w:szCs w:val="24"/>
        </w:rPr>
        <w:t>2、废气</w:t>
      </w:r>
    </w:p>
    <w:p w14:paraId="1AAD008E">
      <w:pPr>
        <w:pStyle w:val="76"/>
        <w:spacing w:line="360" w:lineRule="auto"/>
        <w:ind w:left="105" w:leftChars="50" w:right="105" w:rightChars="50" w:firstLine="480"/>
        <w:rPr>
          <w:rFonts w:hint="default" w:ascii="Arial" w:hAnsi="Arial" w:eastAsia="宋体" w:cs="Arial"/>
          <w:bCs/>
          <w:color w:val="000000" w:themeColor="text1"/>
          <w:sz w:val="24"/>
          <w:szCs w:val="24"/>
          <w14:textFill>
            <w14:solidFill>
              <w14:schemeClr w14:val="tx1"/>
            </w14:solidFill>
          </w14:textFill>
        </w:rPr>
      </w:pPr>
      <w:bookmarkStart w:id="6" w:name="_Hlk122006870"/>
      <w:r>
        <w:rPr>
          <w:rFonts w:hint="default" w:ascii="Arial" w:hAnsi="Arial" w:eastAsia="宋体" w:cs="Arial"/>
          <w:bCs/>
          <w:sz w:val="24"/>
          <w:szCs w:val="24"/>
          <w:lang w:eastAsia="zh-CN"/>
        </w:rPr>
        <w:t>本项目生产过程废气主要为焊接烟尘、热处理油烟废气。焊接烟尘及油烟废气在车间内无组织排放</w:t>
      </w:r>
      <w:r>
        <w:rPr>
          <w:rFonts w:hint="default" w:ascii="Arial" w:hAnsi="Arial" w:eastAsia="宋体" w:cs="Arial"/>
          <w:bCs/>
          <w:color w:val="000000" w:themeColor="text1"/>
          <w:sz w:val="24"/>
          <w:szCs w:val="24"/>
          <w:lang w:eastAsia="zh-CN"/>
          <w14:textFill>
            <w14:solidFill>
              <w14:schemeClr w14:val="tx1"/>
            </w14:solidFill>
          </w14:textFill>
        </w:rPr>
        <w:t>。</w:t>
      </w:r>
      <w:bookmarkEnd w:id="6"/>
      <w:r>
        <w:rPr>
          <w:rFonts w:hint="default" w:ascii="Arial" w:hAnsi="Arial" w:eastAsia="宋体" w:cs="Arial"/>
          <w:bCs/>
          <w:color w:val="000000" w:themeColor="text1"/>
          <w:sz w:val="24"/>
          <w:szCs w:val="24"/>
          <w14:textFill>
            <w14:solidFill>
              <w14:schemeClr w14:val="tx1"/>
            </w14:solidFill>
          </w14:textFill>
        </w:rPr>
        <w:t>为</w:t>
      </w:r>
      <w:r>
        <w:rPr>
          <w:rFonts w:hint="default" w:ascii="Arial" w:hAnsi="Arial" w:eastAsia="宋体" w:cs="Arial"/>
          <w:bCs/>
          <w:color w:val="000000" w:themeColor="text1"/>
          <w:sz w:val="24"/>
          <w:szCs w:val="24"/>
          <w:highlight w:val="none"/>
          <w14:textFill>
            <w14:solidFill>
              <w14:schemeClr w14:val="tx1"/>
            </w14:solidFill>
          </w14:textFill>
        </w:rPr>
        <w:t>了解企业现有工程废气污染物的达标排放情况收集了企业202</w:t>
      </w:r>
      <w:r>
        <w:rPr>
          <w:rFonts w:hint="default" w:ascii="Arial" w:hAnsi="Arial" w:eastAsia="宋体" w:cs="Arial"/>
          <w:bCs/>
          <w:color w:val="000000" w:themeColor="text1"/>
          <w:sz w:val="24"/>
          <w:szCs w:val="24"/>
          <w:highlight w:val="none"/>
          <w:lang w:val="en-US" w:eastAsia="zh-CN"/>
          <w14:textFill>
            <w14:solidFill>
              <w14:schemeClr w14:val="tx1"/>
            </w14:solidFill>
          </w14:textFill>
        </w:rPr>
        <w:t>5</w:t>
      </w:r>
      <w:r>
        <w:rPr>
          <w:rFonts w:hint="default" w:ascii="Arial" w:hAnsi="Arial" w:eastAsia="宋体" w:cs="Arial"/>
          <w:bCs/>
          <w:color w:val="000000" w:themeColor="text1"/>
          <w:sz w:val="24"/>
          <w:szCs w:val="24"/>
          <w:highlight w:val="none"/>
          <w14:textFill>
            <w14:solidFill>
              <w14:schemeClr w14:val="tx1"/>
            </w14:solidFill>
          </w14:textFill>
        </w:rPr>
        <w:t>年的常规监测报告（浙江</w:t>
      </w:r>
      <w:r>
        <w:rPr>
          <w:rFonts w:hint="default" w:ascii="Arial" w:hAnsi="Arial" w:eastAsia="宋体" w:cs="Arial"/>
          <w:bCs/>
          <w:color w:val="000000" w:themeColor="text1"/>
          <w:sz w:val="24"/>
          <w:szCs w:val="24"/>
          <w:highlight w:val="none"/>
          <w:lang w:val="en-US" w:eastAsia="zh-CN"/>
          <w14:textFill>
            <w14:solidFill>
              <w14:schemeClr w14:val="tx1"/>
            </w14:solidFill>
          </w14:textFill>
        </w:rPr>
        <w:t>云广</w:t>
      </w:r>
      <w:r>
        <w:rPr>
          <w:rFonts w:hint="default" w:ascii="Arial" w:hAnsi="Arial" w:eastAsia="宋体" w:cs="Arial"/>
          <w:bCs/>
          <w:color w:val="000000" w:themeColor="text1"/>
          <w:sz w:val="24"/>
          <w:szCs w:val="24"/>
          <w:highlight w:val="none"/>
          <w14:textFill>
            <w14:solidFill>
              <w14:schemeClr w14:val="tx1"/>
            </w14:solidFill>
          </w14:textFill>
        </w:rPr>
        <w:t>检测科技有限公司，</w:t>
      </w:r>
      <w:r>
        <w:rPr>
          <w:rFonts w:hint="default" w:ascii="Arial" w:hAnsi="Arial" w:eastAsia="宋体" w:cs="Arial"/>
          <w:bCs/>
          <w:color w:val="000000" w:themeColor="text1"/>
          <w:sz w:val="24"/>
          <w:szCs w:val="24"/>
          <w:highlight w:val="none"/>
          <w:lang w:val="en-US" w:eastAsia="zh-CN"/>
          <w14:textFill>
            <w14:solidFill>
              <w14:schemeClr w14:val="tx1"/>
            </w14:solidFill>
          </w14:textFill>
        </w:rPr>
        <w:t>YGJC（</w:t>
      </w:r>
      <w:r>
        <w:rPr>
          <w:rFonts w:hint="default" w:ascii="Arial" w:hAnsi="Arial" w:eastAsia="宋体" w:cs="Arial"/>
          <w:bCs/>
          <w:color w:val="000000" w:themeColor="text1"/>
          <w:sz w:val="24"/>
          <w:szCs w:val="24"/>
          <w:highlight w:val="none"/>
          <w14:textFill>
            <w14:solidFill>
              <w14:schemeClr w14:val="tx1"/>
            </w14:solidFill>
          </w14:textFill>
        </w:rPr>
        <w:t>HJ</w:t>
      </w:r>
      <w:r>
        <w:rPr>
          <w:rFonts w:hint="default" w:ascii="Arial" w:hAnsi="Arial" w:eastAsia="宋体" w:cs="Arial"/>
          <w:bCs/>
          <w:color w:val="000000" w:themeColor="text1"/>
          <w:sz w:val="24"/>
          <w:szCs w:val="24"/>
          <w:highlight w:val="none"/>
          <w:lang w:eastAsia="zh-CN"/>
          <w14:textFill>
            <w14:solidFill>
              <w14:schemeClr w14:val="tx1"/>
            </w14:solidFill>
          </w14:textFill>
        </w:rPr>
        <w:t>）</w:t>
      </w:r>
      <w:r>
        <w:rPr>
          <w:rFonts w:hint="default" w:ascii="Arial" w:hAnsi="Arial" w:eastAsia="宋体" w:cs="Arial"/>
          <w:bCs/>
          <w:color w:val="000000" w:themeColor="text1"/>
          <w:sz w:val="24"/>
          <w:szCs w:val="24"/>
          <w:highlight w:val="none"/>
          <w:lang w:val="en-US" w:eastAsia="zh-CN"/>
          <w14:textFill>
            <w14:solidFill>
              <w14:schemeClr w14:val="tx1"/>
            </w14:solidFill>
          </w14:textFill>
        </w:rPr>
        <w:t>250899</w:t>
      </w:r>
      <w:r>
        <w:rPr>
          <w:rFonts w:hint="default" w:ascii="Arial" w:hAnsi="Arial" w:eastAsia="宋体" w:cs="Arial"/>
          <w:bCs/>
          <w:color w:val="000000" w:themeColor="text1"/>
          <w:sz w:val="24"/>
          <w:szCs w:val="24"/>
          <w:highlight w:val="none"/>
          <w14:textFill>
            <w14:solidFill>
              <w14:schemeClr w14:val="tx1"/>
            </w14:solidFill>
          </w14:textFill>
        </w:rPr>
        <w:t>），具体检测结果见表2-1</w:t>
      </w:r>
      <w:r>
        <w:rPr>
          <w:rFonts w:hint="eastAsia" w:ascii="Arial" w:hAnsi="Arial" w:eastAsia="宋体" w:cs="Arial"/>
          <w:bCs/>
          <w:color w:val="000000" w:themeColor="text1"/>
          <w:sz w:val="24"/>
          <w:szCs w:val="24"/>
          <w:highlight w:val="none"/>
          <w:lang w:val="en-US" w:eastAsia="zh-CN"/>
          <w14:textFill>
            <w14:solidFill>
              <w14:schemeClr w14:val="tx1"/>
            </w14:solidFill>
          </w14:textFill>
        </w:rPr>
        <w:t>6</w:t>
      </w:r>
      <w:r>
        <w:rPr>
          <w:rFonts w:hint="default" w:ascii="Arial" w:hAnsi="Arial" w:eastAsia="宋体" w:cs="Arial"/>
          <w:bCs/>
          <w:color w:val="000000" w:themeColor="text1"/>
          <w:sz w:val="24"/>
          <w:szCs w:val="24"/>
          <w14:textFill>
            <w14:solidFill>
              <w14:schemeClr w14:val="tx1"/>
            </w14:solidFill>
          </w14:textFill>
        </w:rPr>
        <w:t>。</w:t>
      </w:r>
    </w:p>
    <w:p w14:paraId="49EE8FB3">
      <w:pPr>
        <w:pStyle w:val="76"/>
        <w:numPr>
          <w:ilvl w:val="3"/>
          <w:numId w:val="4"/>
        </w:numPr>
        <w:spacing w:line="360" w:lineRule="auto"/>
        <w:ind w:firstLineChars="0"/>
        <w:jc w:val="center"/>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 xml:space="preserve">  现有工程无组织废气污染物排放情况</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945"/>
        <w:gridCol w:w="2786"/>
        <w:gridCol w:w="2467"/>
      </w:tblGrid>
      <w:tr w14:paraId="3D10D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40" w:type="dxa"/>
            <w:vMerge w:val="restart"/>
            <w:tcBorders>
              <w:top w:val="single" w:color="auto" w:sz="4" w:space="0"/>
              <w:left w:val="single" w:color="auto" w:sz="4" w:space="0"/>
              <w:right w:val="single" w:color="auto" w:sz="4" w:space="0"/>
            </w:tcBorders>
            <w:noWrap w:val="0"/>
            <w:vAlign w:val="center"/>
          </w:tcPr>
          <w:p w14:paraId="0A2EC759">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采样位置</w:t>
            </w:r>
          </w:p>
        </w:tc>
        <w:tc>
          <w:tcPr>
            <w:tcW w:w="945" w:type="dxa"/>
            <w:vMerge w:val="restart"/>
            <w:tcBorders>
              <w:top w:val="single" w:color="auto" w:sz="4" w:space="0"/>
              <w:left w:val="single" w:color="auto" w:sz="4" w:space="0"/>
              <w:right w:val="single" w:color="auto" w:sz="4" w:space="0"/>
            </w:tcBorders>
            <w:noWrap w:val="0"/>
            <w:vAlign w:val="center"/>
          </w:tcPr>
          <w:p w14:paraId="2D4A7490">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采样时间</w:t>
            </w:r>
          </w:p>
        </w:tc>
        <w:tc>
          <w:tcPr>
            <w:tcW w:w="5253" w:type="dxa"/>
            <w:gridSpan w:val="2"/>
            <w:tcBorders>
              <w:top w:val="single" w:color="auto" w:sz="4" w:space="0"/>
              <w:left w:val="single" w:color="auto" w:sz="4" w:space="0"/>
              <w:bottom w:val="single" w:color="auto" w:sz="4" w:space="0"/>
              <w:right w:val="single" w:color="auto" w:sz="4" w:space="0"/>
            </w:tcBorders>
            <w:noWrap w:val="0"/>
            <w:vAlign w:val="center"/>
          </w:tcPr>
          <w:p w14:paraId="12E4A825">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最大监测浓度（mg/m³）</w:t>
            </w:r>
          </w:p>
        </w:tc>
      </w:tr>
      <w:tr w14:paraId="104E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vMerge w:val="continue"/>
            <w:tcBorders>
              <w:left w:val="single" w:color="auto" w:sz="4" w:space="0"/>
              <w:bottom w:val="single" w:color="auto" w:sz="4" w:space="0"/>
              <w:right w:val="single" w:color="auto" w:sz="4" w:space="0"/>
            </w:tcBorders>
            <w:noWrap w:val="0"/>
            <w:vAlign w:val="center"/>
          </w:tcPr>
          <w:p w14:paraId="093E17C8">
            <w:pPr>
              <w:pStyle w:val="834"/>
              <w:jc w:val="center"/>
              <w:rPr>
                <w:rFonts w:hint="default" w:ascii="Arial" w:hAnsi="Arial" w:eastAsia="宋体" w:cs="Arial"/>
                <w:sz w:val="21"/>
                <w:szCs w:val="21"/>
                <w:highlight w:val="none"/>
              </w:rPr>
            </w:pPr>
          </w:p>
        </w:tc>
        <w:tc>
          <w:tcPr>
            <w:tcW w:w="945" w:type="dxa"/>
            <w:vMerge w:val="continue"/>
            <w:tcBorders>
              <w:left w:val="single" w:color="auto" w:sz="4" w:space="0"/>
              <w:bottom w:val="single" w:color="auto" w:sz="4" w:space="0"/>
              <w:right w:val="single" w:color="auto" w:sz="4" w:space="0"/>
            </w:tcBorders>
            <w:noWrap w:val="0"/>
            <w:vAlign w:val="center"/>
          </w:tcPr>
          <w:p w14:paraId="537F5153">
            <w:pPr>
              <w:pStyle w:val="834"/>
              <w:jc w:val="center"/>
              <w:rPr>
                <w:rFonts w:hint="default" w:ascii="Arial" w:hAnsi="Arial" w:eastAsia="宋体" w:cs="Arial"/>
                <w:sz w:val="21"/>
                <w:szCs w:val="21"/>
                <w:highlight w:val="none"/>
              </w:rPr>
            </w:pPr>
          </w:p>
        </w:tc>
        <w:tc>
          <w:tcPr>
            <w:tcW w:w="2786" w:type="dxa"/>
            <w:tcBorders>
              <w:top w:val="single" w:color="auto" w:sz="4" w:space="0"/>
              <w:left w:val="single" w:color="auto" w:sz="4" w:space="0"/>
              <w:bottom w:val="single" w:color="auto" w:sz="4" w:space="0"/>
              <w:right w:val="single" w:color="auto" w:sz="4" w:space="0"/>
            </w:tcBorders>
            <w:noWrap w:val="0"/>
            <w:vAlign w:val="center"/>
          </w:tcPr>
          <w:p w14:paraId="1F4771B2">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颗粒物</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7B1B36E1">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非甲烷总烃</w:t>
            </w:r>
          </w:p>
        </w:tc>
      </w:tr>
      <w:tr w14:paraId="4994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tcBorders>
              <w:top w:val="single" w:color="auto" w:sz="4" w:space="0"/>
              <w:left w:val="single" w:color="auto" w:sz="4" w:space="0"/>
              <w:bottom w:val="single" w:color="auto" w:sz="4" w:space="0"/>
              <w:right w:val="single" w:color="auto" w:sz="4" w:space="0"/>
            </w:tcBorders>
            <w:noWrap w:val="0"/>
            <w:vAlign w:val="center"/>
          </w:tcPr>
          <w:p w14:paraId="489DCC71">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厂界东</w:t>
            </w:r>
          </w:p>
        </w:tc>
        <w:tc>
          <w:tcPr>
            <w:tcW w:w="945" w:type="dxa"/>
            <w:vMerge w:val="restart"/>
            <w:tcBorders>
              <w:top w:val="single" w:color="auto" w:sz="4" w:space="0"/>
              <w:left w:val="single" w:color="auto" w:sz="4" w:space="0"/>
              <w:right w:val="single" w:color="auto" w:sz="4" w:space="0"/>
            </w:tcBorders>
            <w:noWrap w:val="0"/>
            <w:vAlign w:val="center"/>
          </w:tcPr>
          <w:p w14:paraId="186AF9B3">
            <w:pPr>
              <w:pStyle w:val="834"/>
              <w:jc w:val="center"/>
              <w:rPr>
                <w:rFonts w:hint="default" w:ascii="Arial" w:hAnsi="Arial" w:eastAsia="宋体" w:cs="Arial"/>
                <w:sz w:val="21"/>
                <w:szCs w:val="21"/>
                <w:highlight w:val="none"/>
                <w:lang w:val="en-US" w:eastAsia="zh-CN"/>
              </w:rPr>
            </w:pPr>
            <w:r>
              <w:rPr>
                <w:rFonts w:hint="default" w:ascii="Arial" w:hAnsi="Arial" w:eastAsia="宋体" w:cs="Arial"/>
                <w:sz w:val="21"/>
                <w:szCs w:val="21"/>
                <w:highlight w:val="none"/>
              </w:rPr>
              <w:t>202</w:t>
            </w:r>
            <w:r>
              <w:rPr>
                <w:rFonts w:hint="default" w:ascii="Arial" w:hAnsi="Arial" w:cs="Arial"/>
                <w:sz w:val="21"/>
                <w:szCs w:val="21"/>
                <w:highlight w:val="none"/>
                <w:lang w:val="en-US" w:eastAsia="zh-CN"/>
              </w:rPr>
              <w:t>5.6.13</w:t>
            </w:r>
          </w:p>
        </w:tc>
        <w:tc>
          <w:tcPr>
            <w:tcW w:w="2786" w:type="dxa"/>
            <w:tcBorders>
              <w:top w:val="single" w:color="auto" w:sz="4" w:space="0"/>
              <w:left w:val="single" w:color="auto" w:sz="4" w:space="0"/>
              <w:bottom w:val="single" w:color="auto" w:sz="4" w:space="0"/>
              <w:right w:val="single" w:color="auto" w:sz="4" w:space="0"/>
            </w:tcBorders>
            <w:noWrap w:val="0"/>
            <w:vAlign w:val="center"/>
          </w:tcPr>
          <w:p w14:paraId="0A26D579">
            <w:pPr>
              <w:pStyle w:val="834"/>
              <w:jc w:val="center"/>
              <w:rPr>
                <w:rFonts w:hint="default" w:ascii="Arial" w:hAnsi="Arial" w:eastAsia="宋体" w:cs="Arial"/>
                <w:sz w:val="21"/>
                <w:szCs w:val="21"/>
                <w:highlight w:val="none"/>
                <w:lang w:val="en-US" w:eastAsia="zh-CN"/>
              </w:rPr>
            </w:pPr>
            <w:r>
              <w:rPr>
                <w:rFonts w:hint="default" w:ascii="Arial" w:hAnsi="Arial" w:eastAsia="宋体" w:cs="Arial"/>
                <w:sz w:val="21"/>
                <w:szCs w:val="21"/>
                <w:highlight w:val="none"/>
              </w:rPr>
              <w:t>0.</w:t>
            </w:r>
            <w:r>
              <w:rPr>
                <w:rFonts w:hint="default" w:ascii="Arial" w:hAnsi="Arial" w:cs="Arial"/>
                <w:sz w:val="21"/>
                <w:szCs w:val="21"/>
                <w:highlight w:val="none"/>
                <w:lang w:val="en-US" w:eastAsia="zh-CN"/>
              </w:rPr>
              <w:t>214</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0C9502A2">
            <w:pPr>
              <w:pStyle w:val="834"/>
              <w:jc w:val="center"/>
              <w:rPr>
                <w:rFonts w:hint="default" w:ascii="Arial" w:hAnsi="Arial" w:eastAsia="宋体" w:cs="Arial"/>
                <w:sz w:val="21"/>
                <w:szCs w:val="21"/>
                <w:highlight w:val="none"/>
              </w:rPr>
            </w:pPr>
            <w:r>
              <w:rPr>
                <w:rFonts w:hint="default" w:ascii="Arial" w:hAnsi="Arial" w:cs="Arial"/>
                <w:sz w:val="21"/>
                <w:szCs w:val="21"/>
                <w:highlight w:val="none"/>
                <w:lang w:val="en-US" w:eastAsia="zh-CN"/>
              </w:rPr>
              <w:t>1.10</w:t>
            </w:r>
          </w:p>
        </w:tc>
      </w:tr>
      <w:tr w14:paraId="7093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tcBorders>
              <w:top w:val="single" w:color="auto" w:sz="4" w:space="0"/>
              <w:left w:val="single" w:color="auto" w:sz="4" w:space="0"/>
              <w:bottom w:val="single" w:color="auto" w:sz="4" w:space="0"/>
              <w:right w:val="single" w:color="auto" w:sz="4" w:space="0"/>
            </w:tcBorders>
            <w:noWrap w:val="0"/>
            <w:vAlign w:val="center"/>
          </w:tcPr>
          <w:p w14:paraId="25D40C88">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厂界南</w:t>
            </w:r>
          </w:p>
        </w:tc>
        <w:tc>
          <w:tcPr>
            <w:tcW w:w="945" w:type="dxa"/>
            <w:vMerge w:val="continue"/>
            <w:tcBorders>
              <w:left w:val="single" w:color="auto" w:sz="4" w:space="0"/>
              <w:right w:val="single" w:color="auto" w:sz="4" w:space="0"/>
            </w:tcBorders>
            <w:noWrap w:val="0"/>
            <w:vAlign w:val="center"/>
          </w:tcPr>
          <w:p w14:paraId="0C5BE1DB">
            <w:pPr>
              <w:pStyle w:val="834"/>
              <w:jc w:val="center"/>
              <w:rPr>
                <w:rFonts w:hint="default" w:ascii="Arial" w:hAnsi="Arial" w:eastAsia="宋体" w:cs="Arial"/>
                <w:sz w:val="21"/>
                <w:szCs w:val="21"/>
                <w:highlight w:val="none"/>
              </w:rPr>
            </w:pPr>
          </w:p>
        </w:tc>
        <w:tc>
          <w:tcPr>
            <w:tcW w:w="2786" w:type="dxa"/>
            <w:tcBorders>
              <w:top w:val="single" w:color="auto" w:sz="4" w:space="0"/>
              <w:left w:val="single" w:color="auto" w:sz="4" w:space="0"/>
              <w:bottom w:val="single" w:color="auto" w:sz="4" w:space="0"/>
              <w:right w:val="single" w:color="auto" w:sz="4" w:space="0"/>
            </w:tcBorders>
            <w:noWrap w:val="0"/>
            <w:vAlign w:val="center"/>
          </w:tcPr>
          <w:p w14:paraId="3F4666EB">
            <w:pPr>
              <w:pStyle w:val="834"/>
              <w:jc w:val="center"/>
              <w:rPr>
                <w:rFonts w:hint="default" w:ascii="Arial" w:hAnsi="Arial" w:eastAsia="宋体" w:cs="Arial"/>
                <w:sz w:val="21"/>
                <w:szCs w:val="21"/>
                <w:highlight w:val="none"/>
                <w:lang w:val="en-US" w:eastAsia="zh-CN"/>
              </w:rPr>
            </w:pPr>
            <w:r>
              <w:rPr>
                <w:rFonts w:hint="default" w:ascii="Arial" w:hAnsi="Arial" w:cs="Arial"/>
                <w:sz w:val="21"/>
                <w:szCs w:val="21"/>
                <w:highlight w:val="none"/>
                <w:lang w:val="en-US" w:eastAsia="zh-CN"/>
              </w:rPr>
              <w:t>0.435</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1ECEEF1D">
            <w:pPr>
              <w:pStyle w:val="834"/>
              <w:jc w:val="center"/>
              <w:rPr>
                <w:rFonts w:hint="default" w:ascii="Arial" w:hAnsi="Arial" w:eastAsia="宋体" w:cs="Arial"/>
                <w:sz w:val="21"/>
                <w:szCs w:val="21"/>
                <w:highlight w:val="none"/>
              </w:rPr>
            </w:pPr>
            <w:r>
              <w:rPr>
                <w:rFonts w:hint="default" w:ascii="Arial" w:hAnsi="Arial" w:cs="Arial"/>
                <w:sz w:val="21"/>
                <w:szCs w:val="21"/>
                <w:highlight w:val="none"/>
                <w:lang w:val="en-US" w:eastAsia="zh-CN"/>
              </w:rPr>
              <w:t>0.98</w:t>
            </w:r>
          </w:p>
        </w:tc>
      </w:tr>
      <w:tr w14:paraId="7CC7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tcBorders>
              <w:top w:val="single" w:color="auto" w:sz="4" w:space="0"/>
              <w:left w:val="single" w:color="auto" w:sz="4" w:space="0"/>
              <w:bottom w:val="single" w:color="auto" w:sz="4" w:space="0"/>
              <w:right w:val="single" w:color="auto" w:sz="4" w:space="0"/>
            </w:tcBorders>
            <w:noWrap w:val="0"/>
            <w:vAlign w:val="center"/>
          </w:tcPr>
          <w:p w14:paraId="4D9EF52C">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厂界西</w:t>
            </w:r>
          </w:p>
        </w:tc>
        <w:tc>
          <w:tcPr>
            <w:tcW w:w="945" w:type="dxa"/>
            <w:vMerge w:val="continue"/>
            <w:tcBorders>
              <w:left w:val="single" w:color="auto" w:sz="4" w:space="0"/>
              <w:right w:val="single" w:color="auto" w:sz="4" w:space="0"/>
            </w:tcBorders>
            <w:noWrap w:val="0"/>
            <w:vAlign w:val="center"/>
          </w:tcPr>
          <w:p w14:paraId="5AA93DD9">
            <w:pPr>
              <w:pStyle w:val="834"/>
              <w:jc w:val="center"/>
              <w:rPr>
                <w:rFonts w:hint="default" w:ascii="Arial" w:hAnsi="Arial" w:eastAsia="宋体" w:cs="Arial"/>
                <w:sz w:val="21"/>
                <w:szCs w:val="21"/>
                <w:highlight w:val="none"/>
              </w:rPr>
            </w:pPr>
          </w:p>
        </w:tc>
        <w:tc>
          <w:tcPr>
            <w:tcW w:w="2786" w:type="dxa"/>
            <w:tcBorders>
              <w:top w:val="single" w:color="auto" w:sz="4" w:space="0"/>
              <w:left w:val="single" w:color="auto" w:sz="4" w:space="0"/>
              <w:bottom w:val="single" w:color="auto" w:sz="4" w:space="0"/>
              <w:right w:val="single" w:color="auto" w:sz="4" w:space="0"/>
            </w:tcBorders>
            <w:noWrap w:val="0"/>
            <w:vAlign w:val="center"/>
          </w:tcPr>
          <w:p w14:paraId="53FA00D5">
            <w:pPr>
              <w:pStyle w:val="834"/>
              <w:jc w:val="center"/>
              <w:rPr>
                <w:rFonts w:hint="default" w:ascii="Arial" w:hAnsi="Arial" w:eastAsia="宋体" w:cs="Arial"/>
                <w:sz w:val="21"/>
                <w:szCs w:val="21"/>
                <w:highlight w:val="none"/>
                <w:lang w:val="en-US" w:eastAsia="zh-CN"/>
              </w:rPr>
            </w:pPr>
            <w:r>
              <w:rPr>
                <w:rFonts w:hint="default" w:ascii="Arial" w:hAnsi="Arial" w:cs="Arial"/>
                <w:sz w:val="21"/>
                <w:szCs w:val="21"/>
                <w:highlight w:val="none"/>
                <w:lang w:val="en-US" w:eastAsia="zh-CN"/>
              </w:rPr>
              <w:t>0.288</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6AFFEEE5">
            <w:pPr>
              <w:pStyle w:val="834"/>
              <w:jc w:val="center"/>
              <w:rPr>
                <w:rFonts w:hint="default" w:ascii="Arial" w:hAnsi="Arial" w:eastAsia="宋体" w:cs="Arial"/>
                <w:sz w:val="21"/>
                <w:szCs w:val="21"/>
                <w:highlight w:val="none"/>
              </w:rPr>
            </w:pPr>
            <w:r>
              <w:rPr>
                <w:rFonts w:hint="default" w:ascii="Arial" w:hAnsi="Arial" w:cs="Arial"/>
                <w:sz w:val="21"/>
                <w:szCs w:val="21"/>
                <w:highlight w:val="none"/>
                <w:lang w:val="en-US" w:eastAsia="zh-CN"/>
              </w:rPr>
              <w:t>0.90</w:t>
            </w:r>
          </w:p>
        </w:tc>
      </w:tr>
      <w:tr w14:paraId="1B36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tcBorders>
              <w:top w:val="single" w:color="auto" w:sz="4" w:space="0"/>
              <w:left w:val="single" w:color="auto" w:sz="4" w:space="0"/>
              <w:bottom w:val="single" w:color="auto" w:sz="4" w:space="0"/>
              <w:right w:val="single" w:color="auto" w:sz="4" w:space="0"/>
            </w:tcBorders>
            <w:noWrap w:val="0"/>
            <w:vAlign w:val="center"/>
          </w:tcPr>
          <w:p w14:paraId="7CE16C75">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厂界北</w:t>
            </w:r>
          </w:p>
        </w:tc>
        <w:tc>
          <w:tcPr>
            <w:tcW w:w="945" w:type="dxa"/>
            <w:vMerge w:val="continue"/>
            <w:tcBorders>
              <w:left w:val="single" w:color="auto" w:sz="4" w:space="0"/>
              <w:bottom w:val="single" w:color="auto" w:sz="4" w:space="0"/>
              <w:right w:val="single" w:color="auto" w:sz="4" w:space="0"/>
            </w:tcBorders>
            <w:noWrap w:val="0"/>
            <w:vAlign w:val="center"/>
          </w:tcPr>
          <w:p w14:paraId="036C70D1">
            <w:pPr>
              <w:pStyle w:val="834"/>
              <w:jc w:val="center"/>
              <w:rPr>
                <w:rFonts w:hint="default" w:ascii="Arial" w:hAnsi="Arial" w:eastAsia="宋体" w:cs="Arial"/>
                <w:sz w:val="21"/>
                <w:szCs w:val="21"/>
                <w:highlight w:val="none"/>
              </w:rPr>
            </w:pPr>
          </w:p>
        </w:tc>
        <w:tc>
          <w:tcPr>
            <w:tcW w:w="2786" w:type="dxa"/>
            <w:tcBorders>
              <w:top w:val="single" w:color="auto" w:sz="4" w:space="0"/>
              <w:left w:val="single" w:color="auto" w:sz="4" w:space="0"/>
              <w:bottom w:val="single" w:color="auto" w:sz="4" w:space="0"/>
              <w:right w:val="single" w:color="auto" w:sz="4" w:space="0"/>
            </w:tcBorders>
            <w:noWrap w:val="0"/>
            <w:vAlign w:val="center"/>
          </w:tcPr>
          <w:p w14:paraId="1FA607D4">
            <w:pPr>
              <w:pStyle w:val="834"/>
              <w:jc w:val="center"/>
              <w:rPr>
                <w:rFonts w:hint="default" w:ascii="Arial" w:hAnsi="Arial" w:eastAsia="宋体" w:cs="Arial"/>
                <w:sz w:val="21"/>
                <w:szCs w:val="21"/>
                <w:highlight w:val="none"/>
                <w:lang w:val="en-US" w:eastAsia="zh-CN"/>
              </w:rPr>
            </w:pPr>
            <w:r>
              <w:rPr>
                <w:rFonts w:hint="default" w:ascii="Arial" w:hAnsi="Arial" w:cs="Arial"/>
                <w:sz w:val="21"/>
                <w:szCs w:val="21"/>
                <w:highlight w:val="none"/>
                <w:lang w:val="en-US" w:eastAsia="zh-CN"/>
              </w:rPr>
              <w:t>0.287</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1166C54D">
            <w:pPr>
              <w:pStyle w:val="834"/>
              <w:jc w:val="center"/>
              <w:rPr>
                <w:rFonts w:hint="default" w:ascii="Arial" w:hAnsi="Arial" w:eastAsia="宋体" w:cs="Arial"/>
                <w:sz w:val="21"/>
                <w:szCs w:val="21"/>
                <w:highlight w:val="none"/>
              </w:rPr>
            </w:pPr>
            <w:r>
              <w:rPr>
                <w:rFonts w:hint="default" w:ascii="Arial" w:hAnsi="Arial" w:cs="Arial"/>
                <w:sz w:val="21"/>
                <w:szCs w:val="21"/>
                <w:highlight w:val="none"/>
                <w:lang w:val="en-US" w:eastAsia="zh-CN"/>
              </w:rPr>
              <w:t>0.96</w:t>
            </w:r>
          </w:p>
        </w:tc>
      </w:tr>
      <w:tr w14:paraId="211A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tcBorders>
              <w:top w:val="single" w:color="auto" w:sz="4" w:space="0"/>
              <w:left w:val="single" w:color="auto" w:sz="4" w:space="0"/>
              <w:bottom w:val="single" w:color="auto" w:sz="4" w:space="0"/>
              <w:right w:val="single" w:color="auto" w:sz="4" w:space="0"/>
            </w:tcBorders>
            <w:noWrap w:val="0"/>
            <w:vAlign w:val="center"/>
          </w:tcPr>
          <w:p w14:paraId="14BBFD95">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标准值</w:t>
            </w:r>
          </w:p>
        </w:tc>
        <w:tc>
          <w:tcPr>
            <w:tcW w:w="945" w:type="dxa"/>
            <w:tcBorders>
              <w:top w:val="single" w:color="auto" w:sz="4" w:space="0"/>
              <w:left w:val="single" w:color="auto" w:sz="4" w:space="0"/>
              <w:bottom w:val="single" w:color="auto" w:sz="4" w:space="0"/>
              <w:right w:val="single" w:color="auto" w:sz="4" w:space="0"/>
            </w:tcBorders>
            <w:noWrap w:val="0"/>
            <w:vAlign w:val="center"/>
          </w:tcPr>
          <w:p w14:paraId="0DAE4074">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w:t>
            </w:r>
          </w:p>
        </w:tc>
        <w:tc>
          <w:tcPr>
            <w:tcW w:w="2786" w:type="dxa"/>
            <w:tcBorders>
              <w:top w:val="single" w:color="auto" w:sz="4" w:space="0"/>
              <w:left w:val="single" w:color="auto" w:sz="4" w:space="0"/>
              <w:bottom w:val="single" w:color="auto" w:sz="4" w:space="0"/>
              <w:right w:val="single" w:color="auto" w:sz="4" w:space="0"/>
            </w:tcBorders>
            <w:noWrap w:val="0"/>
            <w:vAlign w:val="center"/>
          </w:tcPr>
          <w:p w14:paraId="210C80D4">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1.0</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5B8EC3FC">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4.0</w:t>
            </w:r>
          </w:p>
        </w:tc>
      </w:tr>
      <w:tr w14:paraId="0117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tcBorders>
              <w:top w:val="single" w:color="auto" w:sz="4" w:space="0"/>
              <w:left w:val="single" w:color="auto" w:sz="4" w:space="0"/>
              <w:bottom w:val="single" w:color="auto" w:sz="4" w:space="0"/>
              <w:right w:val="single" w:color="auto" w:sz="4" w:space="0"/>
            </w:tcBorders>
            <w:noWrap w:val="0"/>
            <w:vAlign w:val="center"/>
          </w:tcPr>
          <w:p w14:paraId="66180435">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达标性</w:t>
            </w:r>
          </w:p>
        </w:tc>
        <w:tc>
          <w:tcPr>
            <w:tcW w:w="945" w:type="dxa"/>
            <w:tcBorders>
              <w:top w:val="single" w:color="auto" w:sz="4" w:space="0"/>
              <w:left w:val="single" w:color="auto" w:sz="4" w:space="0"/>
              <w:bottom w:val="single" w:color="auto" w:sz="4" w:space="0"/>
              <w:right w:val="single" w:color="auto" w:sz="4" w:space="0"/>
            </w:tcBorders>
            <w:noWrap w:val="0"/>
            <w:vAlign w:val="center"/>
          </w:tcPr>
          <w:p w14:paraId="5FCD29F2">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w:t>
            </w:r>
          </w:p>
        </w:tc>
        <w:tc>
          <w:tcPr>
            <w:tcW w:w="2786" w:type="dxa"/>
            <w:tcBorders>
              <w:top w:val="single" w:color="auto" w:sz="4" w:space="0"/>
              <w:left w:val="single" w:color="auto" w:sz="4" w:space="0"/>
              <w:bottom w:val="single" w:color="auto" w:sz="4" w:space="0"/>
              <w:right w:val="single" w:color="auto" w:sz="4" w:space="0"/>
            </w:tcBorders>
            <w:noWrap w:val="0"/>
            <w:vAlign w:val="center"/>
          </w:tcPr>
          <w:p w14:paraId="380DDFE8">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达标</w:t>
            </w:r>
          </w:p>
        </w:tc>
        <w:tc>
          <w:tcPr>
            <w:tcW w:w="2467" w:type="dxa"/>
            <w:tcBorders>
              <w:top w:val="single" w:color="auto" w:sz="4" w:space="0"/>
              <w:left w:val="single" w:color="auto" w:sz="4" w:space="0"/>
              <w:bottom w:val="single" w:color="auto" w:sz="4" w:space="0"/>
              <w:right w:val="single" w:color="auto" w:sz="4" w:space="0"/>
            </w:tcBorders>
            <w:noWrap w:val="0"/>
            <w:vAlign w:val="center"/>
          </w:tcPr>
          <w:p w14:paraId="40003F11">
            <w:pPr>
              <w:pStyle w:val="834"/>
              <w:jc w:val="center"/>
              <w:rPr>
                <w:rFonts w:hint="default" w:ascii="Arial" w:hAnsi="Arial" w:eastAsia="宋体" w:cs="Arial"/>
                <w:sz w:val="21"/>
                <w:szCs w:val="21"/>
                <w:highlight w:val="none"/>
              </w:rPr>
            </w:pPr>
            <w:r>
              <w:rPr>
                <w:rFonts w:hint="default" w:ascii="Arial" w:hAnsi="Arial" w:eastAsia="宋体" w:cs="Arial"/>
                <w:sz w:val="21"/>
                <w:szCs w:val="21"/>
                <w:highlight w:val="none"/>
              </w:rPr>
              <w:t>达标</w:t>
            </w:r>
          </w:p>
        </w:tc>
      </w:tr>
    </w:tbl>
    <w:p w14:paraId="0B5027AB">
      <w:pPr>
        <w:pStyle w:val="76"/>
        <w:spacing w:line="360" w:lineRule="auto"/>
        <w:ind w:left="105" w:leftChars="50" w:right="105" w:rightChars="50" w:firstLine="480"/>
        <w:rPr>
          <w:rFonts w:hint="default" w:ascii="Arial" w:hAnsi="Arial" w:eastAsia="宋体" w:cs="Arial"/>
          <w:bCs/>
          <w:sz w:val="24"/>
          <w:szCs w:val="24"/>
        </w:rPr>
      </w:pPr>
      <w:r>
        <w:rPr>
          <w:rFonts w:hint="default" w:ascii="Arial" w:hAnsi="Arial" w:eastAsia="宋体" w:cs="Arial"/>
          <w:bCs/>
          <w:sz w:val="24"/>
          <w:szCs w:val="24"/>
        </w:rPr>
        <w:t>由上表可见，企业现有工程各厂界外的颗粒物、非甲烷总烃的监测浓度符合</w:t>
      </w:r>
      <w:r>
        <w:rPr>
          <w:rFonts w:hint="default" w:ascii="Arial" w:hAnsi="Arial" w:eastAsia="宋体" w:cs="Arial"/>
          <w:bCs/>
          <w:sz w:val="24"/>
          <w:szCs w:val="24"/>
          <w:lang w:eastAsia="zh-CN"/>
        </w:rPr>
        <w:t>《大气污染物综合排放标准》(</w:t>
      </w:r>
      <w:r>
        <w:rPr>
          <w:rFonts w:hint="eastAsia" w:ascii="Arial" w:hAnsi="Arial" w:eastAsia="宋体" w:cs="Arial"/>
          <w:bCs/>
          <w:sz w:val="24"/>
          <w:szCs w:val="24"/>
          <w:lang w:val="en-US" w:eastAsia="zh-CN"/>
        </w:rPr>
        <w:t>GB</w:t>
      </w:r>
      <w:r>
        <w:rPr>
          <w:rFonts w:hint="default" w:ascii="Arial" w:hAnsi="Arial" w:eastAsia="宋体" w:cs="Arial"/>
          <w:bCs/>
          <w:sz w:val="24"/>
          <w:szCs w:val="24"/>
          <w:lang w:eastAsia="zh-CN"/>
        </w:rPr>
        <w:t>16297-1996)表2中无组织监控浓度限值。</w:t>
      </w:r>
    </w:p>
    <w:p w14:paraId="2397DBC2">
      <w:pPr>
        <w:pStyle w:val="915"/>
        <w:spacing w:line="360" w:lineRule="auto"/>
        <w:ind w:left="105" w:leftChars="50" w:firstLine="482" w:firstLineChars="200"/>
        <w:jc w:val="both"/>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3、噪声</w:t>
      </w:r>
    </w:p>
    <w:p w14:paraId="0A752516">
      <w:pPr>
        <w:pStyle w:val="915"/>
        <w:spacing w:line="360" w:lineRule="auto"/>
        <w:ind w:left="105" w:leftChars="50" w:firstLine="480" w:firstLineChars="200"/>
        <w:jc w:val="both"/>
        <w:rPr>
          <w:rFonts w:hint="default" w:ascii="Arial" w:hAnsi="Arial" w:eastAsia="宋体" w:cs="Arial"/>
          <w:color w:val="auto"/>
          <w:sz w:val="24"/>
          <w:szCs w:val="24"/>
        </w:rPr>
      </w:pPr>
      <w:r>
        <w:rPr>
          <w:rFonts w:hint="default" w:ascii="Arial" w:hAnsi="Arial" w:eastAsia="宋体" w:cs="Arial"/>
          <w:bCs/>
          <w:color w:val="auto"/>
          <w:sz w:val="24"/>
          <w:szCs w:val="24"/>
        </w:rPr>
        <w:t>为了解企业现有工程各厂界噪声的达标情况，本评价收集了企业202</w:t>
      </w:r>
      <w:r>
        <w:rPr>
          <w:rFonts w:hint="default" w:ascii="Arial" w:hAnsi="Arial" w:eastAsia="宋体" w:cs="Arial"/>
          <w:bCs/>
          <w:color w:val="auto"/>
          <w:sz w:val="24"/>
          <w:szCs w:val="24"/>
          <w:lang w:val="en-US" w:eastAsia="zh-CN"/>
        </w:rPr>
        <w:t>4</w:t>
      </w:r>
      <w:r>
        <w:rPr>
          <w:rFonts w:hint="default" w:ascii="Arial" w:hAnsi="Arial" w:eastAsia="宋体" w:cs="Arial"/>
          <w:bCs/>
          <w:color w:val="auto"/>
          <w:sz w:val="24"/>
          <w:szCs w:val="24"/>
        </w:rPr>
        <w:t>年的常规监测报告（</w:t>
      </w:r>
      <w:r>
        <w:rPr>
          <w:rFonts w:hint="default" w:ascii="Arial" w:hAnsi="Arial" w:eastAsia="宋体" w:cs="Arial"/>
          <w:bCs/>
          <w:sz w:val="24"/>
          <w:szCs w:val="24"/>
          <w:lang w:val="en-US" w:eastAsia="zh-CN"/>
        </w:rPr>
        <w:t>浙江云广检测技术有限公司，YGJC（HJ）241271</w:t>
      </w:r>
      <w:r>
        <w:rPr>
          <w:rFonts w:hint="default" w:ascii="Arial" w:hAnsi="Arial" w:eastAsia="宋体" w:cs="Arial"/>
          <w:bCs/>
          <w:color w:val="auto"/>
          <w:sz w:val="24"/>
          <w:szCs w:val="24"/>
        </w:rPr>
        <w:t>）</w:t>
      </w:r>
      <w:r>
        <w:rPr>
          <w:rFonts w:hint="default" w:ascii="Arial" w:hAnsi="Arial" w:eastAsia="宋体" w:cs="Arial"/>
          <w:color w:val="auto"/>
          <w:sz w:val="24"/>
          <w:szCs w:val="24"/>
        </w:rPr>
        <w:t>，企业各厂界噪声的具体检测结果见下表。</w:t>
      </w:r>
    </w:p>
    <w:p w14:paraId="4C98C513">
      <w:pPr>
        <w:pStyle w:val="915"/>
        <w:spacing w:line="360" w:lineRule="auto"/>
        <w:ind w:left="105" w:leftChars="50" w:firstLine="480" w:firstLineChars="200"/>
        <w:jc w:val="both"/>
        <w:rPr>
          <w:rFonts w:hint="default" w:ascii="Arial" w:hAnsi="Arial" w:eastAsia="宋体" w:cs="Arial"/>
          <w:color w:val="auto"/>
          <w:sz w:val="24"/>
          <w:szCs w:val="24"/>
          <w:lang w:val="en-US" w:eastAsia="zh-CN"/>
        </w:rPr>
      </w:pPr>
    </w:p>
    <w:p w14:paraId="1D029545">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现有工程厂界噪声监测结果</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587"/>
        <w:gridCol w:w="1588"/>
        <w:gridCol w:w="1588"/>
        <w:gridCol w:w="1588"/>
      </w:tblGrid>
      <w:tr w14:paraId="68EE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87" w:type="dxa"/>
            <w:tcBorders>
              <w:top w:val="single" w:color="auto" w:sz="4" w:space="0"/>
              <w:left w:val="single" w:color="auto" w:sz="4" w:space="0"/>
              <w:bottom w:val="single" w:color="auto" w:sz="4" w:space="0"/>
              <w:right w:val="single" w:color="auto" w:sz="4" w:space="0"/>
            </w:tcBorders>
            <w:noWrap w:val="0"/>
            <w:vAlign w:val="center"/>
          </w:tcPr>
          <w:p w14:paraId="5DF0FF7E">
            <w:pPr>
              <w:pStyle w:val="834"/>
              <w:jc w:val="center"/>
              <w:rPr>
                <w:rFonts w:hint="default" w:ascii="Arial" w:hAnsi="Arial" w:eastAsia="宋体" w:cs="Arial"/>
                <w:sz w:val="21"/>
                <w:szCs w:val="21"/>
              </w:rPr>
            </w:pPr>
            <w:r>
              <w:rPr>
                <w:rFonts w:hint="default" w:ascii="Arial" w:hAnsi="Arial" w:eastAsia="宋体" w:cs="Arial"/>
                <w:sz w:val="21"/>
                <w:szCs w:val="21"/>
              </w:rPr>
              <w:t>监测点位</w:t>
            </w:r>
          </w:p>
        </w:tc>
        <w:tc>
          <w:tcPr>
            <w:tcW w:w="1587" w:type="dxa"/>
            <w:tcBorders>
              <w:top w:val="single" w:color="auto" w:sz="4" w:space="0"/>
              <w:left w:val="nil"/>
              <w:bottom w:val="single" w:color="auto" w:sz="4" w:space="0"/>
              <w:right w:val="single" w:color="auto" w:sz="4" w:space="0"/>
            </w:tcBorders>
            <w:noWrap w:val="0"/>
            <w:vAlign w:val="center"/>
          </w:tcPr>
          <w:p w14:paraId="45D7AE96">
            <w:pPr>
              <w:pStyle w:val="834"/>
              <w:jc w:val="center"/>
              <w:rPr>
                <w:rFonts w:hint="default" w:ascii="Arial" w:hAnsi="Arial" w:eastAsia="宋体" w:cs="Arial"/>
                <w:sz w:val="21"/>
                <w:szCs w:val="21"/>
              </w:rPr>
            </w:pPr>
            <w:r>
              <w:rPr>
                <w:rFonts w:hint="default" w:ascii="Arial" w:hAnsi="Arial" w:eastAsia="宋体" w:cs="Arial"/>
                <w:sz w:val="21"/>
                <w:szCs w:val="21"/>
              </w:rPr>
              <w:t>监测时段</w:t>
            </w:r>
          </w:p>
        </w:tc>
        <w:tc>
          <w:tcPr>
            <w:tcW w:w="1588" w:type="dxa"/>
            <w:tcBorders>
              <w:top w:val="single" w:color="auto" w:sz="4" w:space="0"/>
              <w:left w:val="nil"/>
              <w:bottom w:val="single" w:color="auto" w:sz="4" w:space="0"/>
              <w:right w:val="single" w:color="auto" w:sz="4" w:space="0"/>
            </w:tcBorders>
            <w:noWrap w:val="0"/>
            <w:vAlign w:val="center"/>
          </w:tcPr>
          <w:p w14:paraId="4C339EBA">
            <w:pPr>
              <w:pStyle w:val="834"/>
              <w:jc w:val="center"/>
              <w:rPr>
                <w:rFonts w:hint="default" w:ascii="Arial" w:hAnsi="Arial" w:eastAsia="宋体" w:cs="Arial"/>
                <w:sz w:val="21"/>
                <w:szCs w:val="21"/>
              </w:rPr>
            </w:pPr>
            <w:r>
              <w:rPr>
                <w:rFonts w:hint="default" w:ascii="Arial" w:hAnsi="Arial" w:eastAsia="宋体" w:cs="Arial"/>
                <w:sz w:val="21"/>
                <w:szCs w:val="21"/>
              </w:rPr>
              <w:t>监测结果</w:t>
            </w:r>
          </w:p>
        </w:tc>
        <w:tc>
          <w:tcPr>
            <w:tcW w:w="1588" w:type="dxa"/>
            <w:tcBorders>
              <w:top w:val="single" w:color="auto" w:sz="4" w:space="0"/>
              <w:left w:val="nil"/>
              <w:bottom w:val="single" w:color="auto" w:sz="4" w:space="0"/>
              <w:right w:val="single" w:color="auto" w:sz="4" w:space="0"/>
            </w:tcBorders>
            <w:noWrap w:val="0"/>
            <w:vAlign w:val="center"/>
          </w:tcPr>
          <w:p w14:paraId="408E68DD">
            <w:pPr>
              <w:pStyle w:val="834"/>
              <w:jc w:val="center"/>
              <w:rPr>
                <w:rFonts w:hint="default" w:ascii="Arial" w:hAnsi="Arial" w:eastAsia="宋体" w:cs="Arial"/>
                <w:sz w:val="21"/>
                <w:szCs w:val="21"/>
              </w:rPr>
            </w:pPr>
            <w:r>
              <w:rPr>
                <w:rFonts w:hint="default" w:ascii="Arial" w:hAnsi="Arial" w:eastAsia="宋体" w:cs="Arial"/>
                <w:sz w:val="21"/>
                <w:szCs w:val="21"/>
              </w:rPr>
              <w:t>标准值</w:t>
            </w:r>
          </w:p>
        </w:tc>
        <w:tc>
          <w:tcPr>
            <w:tcW w:w="1588" w:type="dxa"/>
            <w:tcBorders>
              <w:top w:val="single" w:color="auto" w:sz="4" w:space="0"/>
              <w:left w:val="nil"/>
              <w:bottom w:val="single" w:color="auto" w:sz="4" w:space="0"/>
              <w:right w:val="single" w:color="auto" w:sz="4" w:space="0"/>
            </w:tcBorders>
            <w:noWrap w:val="0"/>
            <w:vAlign w:val="center"/>
          </w:tcPr>
          <w:p w14:paraId="727742B5">
            <w:pPr>
              <w:pStyle w:val="834"/>
              <w:jc w:val="center"/>
              <w:rPr>
                <w:rFonts w:hint="default" w:ascii="Arial" w:hAnsi="Arial" w:eastAsia="宋体" w:cs="Arial"/>
                <w:sz w:val="21"/>
                <w:szCs w:val="21"/>
              </w:rPr>
            </w:pPr>
            <w:r>
              <w:rPr>
                <w:rFonts w:hint="default" w:ascii="Arial" w:hAnsi="Arial" w:eastAsia="宋体" w:cs="Arial"/>
                <w:sz w:val="21"/>
                <w:szCs w:val="21"/>
              </w:rPr>
              <w:t>达标情况</w:t>
            </w:r>
          </w:p>
        </w:tc>
      </w:tr>
      <w:tr w14:paraId="5FAA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dxa"/>
            <w:vMerge w:val="restart"/>
            <w:tcBorders>
              <w:top w:val="single" w:color="auto" w:sz="4" w:space="0"/>
              <w:left w:val="single" w:color="auto" w:sz="4" w:space="0"/>
              <w:right w:val="single" w:color="auto" w:sz="4" w:space="0"/>
            </w:tcBorders>
            <w:noWrap w:val="0"/>
            <w:vAlign w:val="center"/>
          </w:tcPr>
          <w:p w14:paraId="4AC5B736">
            <w:pPr>
              <w:pStyle w:val="834"/>
              <w:jc w:val="center"/>
              <w:rPr>
                <w:rFonts w:hint="default" w:ascii="Arial" w:hAnsi="Arial" w:eastAsia="宋体" w:cs="Arial"/>
                <w:sz w:val="21"/>
                <w:szCs w:val="21"/>
              </w:rPr>
            </w:pPr>
            <w:r>
              <w:rPr>
                <w:rFonts w:hint="default" w:ascii="Arial" w:hAnsi="Arial" w:eastAsia="宋体" w:cs="Arial"/>
                <w:sz w:val="21"/>
                <w:szCs w:val="21"/>
              </w:rPr>
              <w:t>厂界东侧</w:t>
            </w:r>
          </w:p>
        </w:tc>
        <w:tc>
          <w:tcPr>
            <w:tcW w:w="1587" w:type="dxa"/>
            <w:tcBorders>
              <w:top w:val="single" w:color="auto" w:sz="4" w:space="0"/>
              <w:left w:val="nil"/>
              <w:bottom w:val="single" w:color="auto" w:sz="4" w:space="0"/>
              <w:right w:val="single" w:color="auto" w:sz="4" w:space="0"/>
            </w:tcBorders>
            <w:noWrap w:val="0"/>
            <w:vAlign w:val="center"/>
          </w:tcPr>
          <w:p w14:paraId="4D592292">
            <w:pPr>
              <w:pStyle w:val="834"/>
              <w:jc w:val="center"/>
              <w:rPr>
                <w:rFonts w:hint="default" w:ascii="Arial" w:hAnsi="Arial" w:eastAsia="宋体" w:cs="Arial"/>
                <w:sz w:val="21"/>
                <w:szCs w:val="21"/>
              </w:rPr>
            </w:pPr>
            <w:r>
              <w:rPr>
                <w:rFonts w:hint="default" w:ascii="Arial" w:hAnsi="Arial" w:eastAsia="宋体" w:cs="Arial"/>
                <w:sz w:val="21"/>
                <w:szCs w:val="21"/>
              </w:rPr>
              <w:t>昼间</w:t>
            </w:r>
          </w:p>
        </w:tc>
        <w:tc>
          <w:tcPr>
            <w:tcW w:w="1588" w:type="dxa"/>
            <w:tcBorders>
              <w:top w:val="single" w:color="auto" w:sz="4" w:space="0"/>
              <w:left w:val="nil"/>
              <w:bottom w:val="single" w:color="auto" w:sz="4" w:space="0"/>
              <w:right w:val="single" w:color="auto" w:sz="4" w:space="0"/>
            </w:tcBorders>
            <w:noWrap w:val="0"/>
            <w:vAlign w:val="center"/>
          </w:tcPr>
          <w:p w14:paraId="76FE3CE3">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55.5</w:t>
            </w:r>
          </w:p>
        </w:tc>
        <w:tc>
          <w:tcPr>
            <w:tcW w:w="1588" w:type="dxa"/>
            <w:tcBorders>
              <w:top w:val="single" w:color="auto" w:sz="4" w:space="0"/>
              <w:left w:val="nil"/>
              <w:bottom w:val="single" w:color="auto" w:sz="4" w:space="0"/>
              <w:right w:val="single" w:color="auto" w:sz="4" w:space="0"/>
            </w:tcBorders>
            <w:noWrap w:val="0"/>
            <w:vAlign w:val="center"/>
          </w:tcPr>
          <w:p w14:paraId="057E2593">
            <w:pPr>
              <w:pStyle w:val="834"/>
              <w:jc w:val="center"/>
              <w:rPr>
                <w:rFonts w:hint="default" w:ascii="Arial" w:hAnsi="Arial" w:eastAsia="宋体" w:cs="Arial"/>
                <w:sz w:val="21"/>
                <w:szCs w:val="21"/>
              </w:rPr>
            </w:pPr>
            <w:r>
              <w:rPr>
                <w:rFonts w:hint="default" w:ascii="Arial" w:hAnsi="Arial" w:eastAsia="宋体" w:cs="Arial"/>
                <w:sz w:val="21"/>
                <w:szCs w:val="21"/>
              </w:rPr>
              <w:t>65</w:t>
            </w:r>
          </w:p>
        </w:tc>
        <w:tc>
          <w:tcPr>
            <w:tcW w:w="1588" w:type="dxa"/>
            <w:tcBorders>
              <w:top w:val="single" w:color="auto" w:sz="4" w:space="0"/>
              <w:left w:val="nil"/>
              <w:bottom w:val="single" w:color="auto" w:sz="4" w:space="0"/>
              <w:right w:val="single" w:color="auto" w:sz="4" w:space="0"/>
            </w:tcBorders>
            <w:noWrap w:val="0"/>
            <w:vAlign w:val="center"/>
          </w:tcPr>
          <w:p w14:paraId="2711E4EB">
            <w:pPr>
              <w:pStyle w:val="834"/>
              <w:jc w:val="center"/>
              <w:rPr>
                <w:rFonts w:hint="default" w:ascii="Arial" w:hAnsi="Arial" w:eastAsia="宋体" w:cs="Arial"/>
                <w:sz w:val="21"/>
                <w:szCs w:val="21"/>
              </w:rPr>
            </w:pPr>
            <w:r>
              <w:rPr>
                <w:rFonts w:hint="default" w:ascii="Arial" w:hAnsi="Arial" w:eastAsia="宋体" w:cs="Arial"/>
                <w:sz w:val="21"/>
                <w:szCs w:val="21"/>
              </w:rPr>
              <w:t>达标</w:t>
            </w:r>
          </w:p>
        </w:tc>
      </w:tr>
      <w:tr w14:paraId="5441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dxa"/>
            <w:vMerge w:val="continue"/>
            <w:tcBorders>
              <w:left w:val="single" w:color="auto" w:sz="4" w:space="0"/>
              <w:bottom w:val="single" w:color="auto" w:sz="4" w:space="0"/>
              <w:right w:val="single" w:color="auto" w:sz="4" w:space="0"/>
            </w:tcBorders>
            <w:noWrap w:val="0"/>
            <w:vAlign w:val="center"/>
          </w:tcPr>
          <w:p w14:paraId="18A44EA8">
            <w:pPr>
              <w:pStyle w:val="834"/>
              <w:jc w:val="center"/>
              <w:rPr>
                <w:rFonts w:hint="default" w:ascii="Arial" w:hAnsi="Arial" w:eastAsia="宋体" w:cs="Arial"/>
                <w:sz w:val="21"/>
                <w:szCs w:val="21"/>
              </w:rPr>
            </w:pPr>
          </w:p>
        </w:tc>
        <w:tc>
          <w:tcPr>
            <w:tcW w:w="1587" w:type="dxa"/>
            <w:tcBorders>
              <w:top w:val="single" w:color="auto" w:sz="4" w:space="0"/>
              <w:left w:val="nil"/>
              <w:bottom w:val="single" w:color="auto" w:sz="4" w:space="0"/>
              <w:right w:val="single" w:color="auto" w:sz="4" w:space="0"/>
            </w:tcBorders>
            <w:noWrap w:val="0"/>
            <w:vAlign w:val="center"/>
          </w:tcPr>
          <w:p w14:paraId="4578D906">
            <w:pPr>
              <w:pStyle w:val="834"/>
              <w:jc w:val="center"/>
              <w:rPr>
                <w:rFonts w:hint="default" w:ascii="Arial" w:hAnsi="Arial" w:eastAsia="宋体" w:cs="Arial"/>
                <w:sz w:val="21"/>
                <w:szCs w:val="21"/>
              </w:rPr>
            </w:pPr>
            <w:r>
              <w:rPr>
                <w:rFonts w:hint="default" w:ascii="Arial" w:hAnsi="Arial" w:eastAsia="宋体" w:cs="Arial"/>
                <w:sz w:val="21"/>
                <w:szCs w:val="21"/>
              </w:rPr>
              <w:t>夜间</w:t>
            </w:r>
          </w:p>
        </w:tc>
        <w:tc>
          <w:tcPr>
            <w:tcW w:w="1588" w:type="dxa"/>
            <w:tcBorders>
              <w:top w:val="single" w:color="auto" w:sz="4" w:space="0"/>
              <w:left w:val="nil"/>
              <w:bottom w:val="single" w:color="auto" w:sz="4" w:space="0"/>
              <w:right w:val="single" w:color="auto" w:sz="4" w:space="0"/>
            </w:tcBorders>
            <w:noWrap w:val="0"/>
            <w:vAlign w:val="center"/>
          </w:tcPr>
          <w:p w14:paraId="1CD6EBCD">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51.5</w:t>
            </w:r>
          </w:p>
        </w:tc>
        <w:tc>
          <w:tcPr>
            <w:tcW w:w="1588" w:type="dxa"/>
            <w:tcBorders>
              <w:top w:val="single" w:color="auto" w:sz="4" w:space="0"/>
              <w:left w:val="nil"/>
              <w:bottom w:val="single" w:color="auto" w:sz="4" w:space="0"/>
              <w:right w:val="single" w:color="auto" w:sz="4" w:space="0"/>
            </w:tcBorders>
            <w:noWrap w:val="0"/>
            <w:vAlign w:val="center"/>
          </w:tcPr>
          <w:p w14:paraId="553FA131">
            <w:pPr>
              <w:pStyle w:val="834"/>
              <w:jc w:val="center"/>
              <w:rPr>
                <w:rFonts w:hint="default" w:ascii="Arial" w:hAnsi="Arial" w:eastAsia="宋体" w:cs="Arial"/>
                <w:sz w:val="21"/>
                <w:szCs w:val="21"/>
              </w:rPr>
            </w:pPr>
            <w:r>
              <w:rPr>
                <w:rFonts w:hint="default" w:ascii="Arial" w:hAnsi="Arial" w:eastAsia="宋体" w:cs="Arial"/>
                <w:sz w:val="21"/>
                <w:szCs w:val="21"/>
              </w:rPr>
              <w:t>55</w:t>
            </w:r>
          </w:p>
        </w:tc>
        <w:tc>
          <w:tcPr>
            <w:tcW w:w="1588" w:type="dxa"/>
            <w:tcBorders>
              <w:top w:val="single" w:color="auto" w:sz="4" w:space="0"/>
              <w:left w:val="nil"/>
              <w:bottom w:val="single" w:color="auto" w:sz="4" w:space="0"/>
              <w:right w:val="single" w:color="auto" w:sz="4" w:space="0"/>
            </w:tcBorders>
            <w:noWrap w:val="0"/>
            <w:vAlign w:val="center"/>
          </w:tcPr>
          <w:p w14:paraId="1B03ED6E">
            <w:pPr>
              <w:pStyle w:val="834"/>
              <w:jc w:val="center"/>
              <w:rPr>
                <w:rFonts w:hint="default" w:ascii="Arial" w:hAnsi="Arial" w:eastAsia="宋体" w:cs="Arial"/>
                <w:sz w:val="21"/>
                <w:szCs w:val="21"/>
              </w:rPr>
            </w:pPr>
            <w:r>
              <w:rPr>
                <w:rFonts w:hint="default" w:ascii="Arial" w:hAnsi="Arial" w:eastAsia="宋体" w:cs="Arial"/>
                <w:sz w:val="21"/>
                <w:szCs w:val="21"/>
              </w:rPr>
              <w:t>达标</w:t>
            </w:r>
          </w:p>
        </w:tc>
      </w:tr>
      <w:tr w14:paraId="7A3A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dxa"/>
            <w:vMerge w:val="restart"/>
            <w:tcBorders>
              <w:top w:val="single" w:color="auto" w:sz="4" w:space="0"/>
              <w:left w:val="single" w:color="auto" w:sz="4" w:space="0"/>
              <w:right w:val="single" w:color="auto" w:sz="4" w:space="0"/>
            </w:tcBorders>
            <w:noWrap w:val="0"/>
            <w:vAlign w:val="center"/>
          </w:tcPr>
          <w:p w14:paraId="65A54102">
            <w:pPr>
              <w:pStyle w:val="834"/>
              <w:jc w:val="center"/>
              <w:rPr>
                <w:rFonts w:hint="default" w:ascii="Arial" w:hAnsi="Arial" w:eastAsia="宋体" w:cs="Arial"/>
                <w:sz w:val="21"/>
                <w:szCs w:val="21"/>
              </w:rPr>
            </w:pPr>
            <w:r>
              <w:rPr>
                <w:rFonts w:hint="default" w:ascii="Arial" w:hAnsi="Arial" w:eastAsia="宋体" w:cs="Arial"/>
                <w:sz w:val="21"/>
                <w:szCs w:val="21"/>
              </w:rPr>
              <w:t>厂界南侧</w:t>
            </w:r>
          </w:p>
        </w:tc>
        <w:tc>
          <w:tcPr>
            <w:tcW w:w="1587" w:type="dxa"/>
            <w:tcBorders>
              <w:top w:val="single" w:color="auto" w:sz="4" w:space="0"/>
              <w:left w:val="nil"/>
              <w:bottom w:val="single" w:color="auto" w:sz="4" w:space="0"/>
              <w:right w:val="single" w:color="auto" w:sz="4" w:space="0"/>
            </w:tcBorders>
            <w:noWrap w:val="0"/>
            <w:vAlign w:val="center"/>
          </w:tcPr>
          <w:p w14:paraId="01665F10">
            <w:pPr>
              <w:pStyle w:val="834"/>
              <w:jc w:val="center"/>
              <w:rPr>
                <w:rFonts w:hint="default" w:ascii="Arial" w:hAnsi="Arial" w:eastAsia="宋体" w:cs="Arial"/>
                <w:sz w:val="21"/>
                <w:szCs w:val="21"/>
              </w:rPr>
            </w:pPr>
            <w:r>
              <w:rPr>
                <w:rFonts w:hint="default" w:ascii="Arial" w:hAnsi="Arial" w:eastAsia="宋体" w:cs="Arial"/>
                <w:sz w:val="21"/>
                <w:szCs w:val="21"/>
              </w:rPr>
              <w:t>昼间</w:t>
            </w:r>
          </w:p>
        </w:tc>
        <w:tc>
          <w:tcPr>
            <w:tcW w:w="1588" w:type="dxa"/>
            <w:tcBorders>
              <w:top w:val="single" w:color="auto" w:sz="4" w:space="0"/>
              <w:left w:val="nil"/>
              <w:bottom w:val="single" w:color="auto" w:sz="4" w:space="0"/>
              <w:right w:val="single" w:color="auto" w:sz="4" w:space="0"/>
            </w:tcBorders>
            <w:noWrap w:val="0"/>
            <w:vAlign w:val="center"/>
          </w:tcPr>
          <w:p w14:paraId="7C5E09E9">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55.7</w:t>
            </w:r>
          </w:p>
        </w:tc>
        <w:tc>
          <w:tcPr>
            <w:tcW w:w="1588" w:type="dxa"/>
            <w:tcBorders>
              <w:top w:val="single" w:color="auto" w:sz="4" w:space="0"/>
              <w:left w:val="nil"/>
              <w:bottom w:val="single" w:color="auto" w:sz="4" w:space="0"/>
              <w:right w:val="single" w:color="auto" w:sz="4" w:space="0"/>
            </w:tcBorders>
            <w:noWrap w:val="0"/>
            <w:vAlign w:val="center"/>
          </w:tcPr>
          <w:p w14:paraId="021A273A">
            <w:pPr>
              <w:pStyle w:val="834"/>
              <w:jc w:val="center"/>
              <w:rPr>
                <w:rFonts w:hint="default" w:ascii="Arial" w:hAnsi="Arial" w:eastAsia="宋体" w:cs="Arial"/>
                <w:sz w:val="21"/>
                <w:szCs w:val="21"/>
              </w:rPr>
            </w:pPr>
            <w:r>
              <w:rPr>
                <w:rFonts w:hint="default" w:ascii="Arial" w:hAnsi="Arial" w:eastAsia="宋体" w:cs="Arial"/>
                <w:sz w:val="21"/>
                <w:szCs w:val="21"/>
              </w:rPr>
              <w:t>65</w:t>
            </w:r>
          </w:p>
        </w:tc>
        <w:tc>
          <w:tcPr>
            <w:tcW w:w="1588" w:type="dxa"/>
            <w:tcBorders>
              <w:top w:val="single" w:color="auto" w:sz="4" w:space="0"/>
              <w:left w:val="nil"/>
              <w:bottom w:val="single" w:color="auto" w:sz="4" w:space="0"/>
              <w:right w:val="single" w:color="auto" w:sz="4" w:space="0"/>
            </w:tcBorders>
            <w:noWrap w:val="0"/>
            <w:vAlign w:val="center"/>
          </w:tcPr>
          <w:p w14:paraId="15FB0446">
            <w:pPr>
              <w:pStyle w:val="834"/>
              <w:jc w:val="center"/>
              <w:rPr>
                <w:rFonts w:hint="default" w:ascii="Arial" w:hAnsi="Arial" w:eastAsia="宋体" w:cs="Arial"/>
                <w:sz w:val="21"/>
                <w:szCs w:val="21"/>
              </w:rPr>
            </w:pPr>
            <w:r>
              <w:rPr>
                <w:rFonts w:hint="default" w:ascii="Arial" w:hAnsi="Arial" w:eastAsia="宋体" w:cs="Arial"/>
                <w:sz w:val="21"/>
                <w:szCs w:val="21"/>
              </w:rPr>
              <w:t>达标</w:t>
            </w:r>
          </w:p>
        </w:tc>
      </w:tr>
      <w:tr w14:paraId="6749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dxa"/>
            <w:vMerge w:val="continue"/>
            <w:tcBorders>
              <w:left w:val="single" w:color="auto" w:sz="4" w:space="0"/>
              <w:bottom w:val="single" w:color="auto" w:sz="4" w:space="0"/>
              <w:right w:val="single" w:color="auto" w:sz="4" w:space="0"/>
            </w:tcBorders>
            <w:noWrap w:val="0"/>
            <w:vAlign w:val="center"/>
          </w:tcPr>
          <w:p w14:paraId="0B3456F5">
            <w:pPr>
              <w:pStyle w:val="834"/>
              <w:jc w:val="center"/>
              <w:rPr>
                <w:rFonts w:hint="default" w:ascii="Arial" w:hAnsi="Arial" w:eastAsia="宋体" w:cs="Arial"/>
                <w:sz w:val="21"/>
                <w:szCs w:val="21"/>
              </w:rPr>
            </w:pPr>
          </w:p>
        </w:tc>
        <w:tc>
          <w:tcPr>
            <w:tcW w:w="1587" w:type="dxa"/>
            <w:tcBorders>
              <w:top w:val="single" w:color="auto" w:sz="4" w:space="0"/>
              <w:left w:val="nil"/>
              <w:bottom w:val="single" w:color="auto" w:sz="4" w:space="0"/>
              <w:right w:val="single" w:color="auto" w:sz="4" w:space="0"/>
            </w:tcBorders>
            <w:noWrap w:val="0"/>
            <w:vAlign w:val="center"/>
          </w:tcPr>
          <w:p w14:paraId="0AAF6C4B">
            <w:pPr>
              <w:pStyle w:val="834"/>
              <w:jc w:val="center"/>
              <w:rPr>
                <w:rFonts w:hint="default" w:ascii="Arial" w:hAnsi="Arial" w:eastAsia="宋体" w:cs="Arial"/>
                <w:sz w:val="21"/>
                <w:szCs w:val="21"/>
              </w:rPr>
            </w:pPr>
            <w:r>
              <w:rPr>
                <w:rFonts w:hint="default" w:ascii="Arial" w:hAnsi="Arial" w:eastAsia="宋体" w:cs="Arial"/>
                <w:sz w:val="21"/>
                <w:szCs w:val="21"/>
              </w:rPr>
              <w:t>夜间</w:t>
            </w:r>
          </w:p>
        </w:tc>
        <w:tc>
          <w:tcPr>
            <w:tcW w:w="1588" w:type="dxa"/>
            <w:tcBorders>
              <w:top w:val="single" w:color="auto" w:sz="4" w:space="0"/>
              <w:left w:val="nil"/>
              <w:bottom w:val="single" w:color="auto" w:sz="4" w:space="0"/>
              <w:right w:val="single" w:color="auto" w:sz="4" w:space="0"/>
            </w:tcBorders>
            <w:noWrap w:val="0"/>
            <w:vAlign w:val="center"/>
          </w:tcPr>
          <w:p w14:paraId="352F04D2">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50.4</w:t>
            </w:r>
          </w:p>
        </w:tc>
        <w:tc>
          <w:tcPr>
            <w:tcW w:w="1588" w:type="dxa"/>
            <w:tcBorders>
              <w:top w:val="single" w:color="auto" w:sz="4" w:space="0"/>
              <w:left w:val="nil"/>
              <w:bottom w:val="single" w:color="auto" w:sz="4" w:space="0"/>
              <w:right w:val="single" w:color="auto" w:sz="4" w:space="0"/>
            </w:tcBorders>
            <w:noWrap w:val="0"/>
            <w:vAlign w:val="center"/>
          </w:tcPr>
          <w:p w14:paraId="4B5DBCF1">
            <w:pPr>
              <w:pStyle w:val="834"/>
              <w:jc w:val="center"/>
              <w:rPr>
                <w:rFonts w:hint="default" w:ascii="Arial" w:hAnsi="Arial" w:eastAsia="宋体" w:cs="Arial"/>
                <w:sz w:val="21"/>
                <w:szCs w:val="21"/>
              </w:rPr>
            </w:pPr>
            <w:r>
              <w:rPr>
                <w:rFonts w:hint="default" w:ascii="Arial" w:hAnsi="Arial" w:eastAsia="宋体" w:cs="Arial"/>
                <w:sz w:val="21"/>
                <w:szCs w:val="21"/>
              </w:rPr>
              <w:t>55</w:t>
            </w:r>
          </w:p>
        </w:tc>
        <w:tc>
          <w:tcPr>
            <w:tcW w:w="1588" w:type="dxa"/>
            <w:tcBorders>
              <w:top w:val="single" w:color="auto" w:sz="4" w:space="0"/>
              <w:left w:val="nil"/>
              <w:bottom w:val="single" w:color="auto" w:sz="4" w:space="0"/>
              <w:right w:val="single" w:color="auto" w:sz="4" w:space="0"/>
            </w:tcBorders>
            <w:noWrap w:val="0"/>
            <w:vAlign w:val="center"/>
          </w:tcPr>
          <w:p w14:paraId="3DAF8C22">
            <w:pPr>
              <w:pStyle w:val="834"/>
              <w:jc w:val="center"/>
              <w:rPr>
                <w:rFonts w:hint="default" w:ascii="Arial" w:hAnsi="Arial" w:eastAsia="宋体" w:cs="Arial"/>
                <w:sz w:val="21"/>
                <w:szCs w:val="21"/>
              </w:rPr>
            </w:pPr>
            <w:r>
              <w:rPr>
                <w:rFonts w:hint="default" w:ascii="Arial" w:hAnsi="Arial" w:eastAsia="宋体" w:cs="Arial"/>
                <w:sz w:val="21"/>
                <w:szCs w:val="21"/>
              </w:rPr>
              <w:t>达标</w:t>
            </w:r>
          </w:p>
        </w:tc>
      </w:tr>
      <w:tr w14:paraId="597D2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dxa"/>
            <w:vMerge w:val="restart"/>
            <w:tcBorders>
              <w:top w:val="single" w:color="auto" w:sz="4" w:space="0"/>
              <w:left w:val="single" w:color="auto" w:sz="4" w:space="0"/>
              <w:right w:val="single" w:color="auto" w:sz="4" w:space="0"/>
            </w:tcBorders>
            <w:noWrap w:val="0"/>
            <w:vAlign w:val="center"/>
          </w:tcPr>
          <w:p w14:paraId="6B8FA32B">
            <w:pPr>
              <w:pStyle w:val="834"/>
              <w:jc w:val="center"/>
              <w:rPr>
                <w:rFonts w:hint="default" w:ascii="Arial" w:hAnsi="Arial" w:eastAsia="宋体" w:cs="Arial"/>
                <w:sz w:val="21"/>
                <w:szCs w:val="21"/>
              </w:rPr>
            </w:pPr>
            <w:r>
              <w:rPr>
                <w:rFonts w:hint="default" w:ascii="Arial" w:hAnsi="Arial" w:eastAsia="宋体" w:cs="Arial"/>
                <w:sz w:val="21"/>
                <w:szCs w:val="21"/>
              </w:rPr>
              <w:t>厂界西侧</w:t>
            </w:r>
          </w:p>
        </w:tc>
        <w:tc>
          <w:tcPr>
            <w:tcW w:w="1587" w:type="dxa"/>
            <w:tcBorders>
              <w:top w:val="single" w:color="auto" w:sz="4" w:space="0"/>
              <w:left w:val="nil"/>
              <w:bottom w:val="single" w:color="auto" w:sz="4" w:space="0"/>
              <w:right w:val="single" w:color="auto" w:sz="4" w:space="0"/>
            </w:tcBorders>
            <w:noWrap w:val="0"/>
            <w:vAlign w:val="center"/>
          </w:tcPr>
          <w:p w14:paraId="536E21EF">
            <w:pPr>
              <w:pStyle w:val="834"/>
              <w:jc w:val="center"/>
              <w:rPr>
                <w:rFonts w:hint="default" w:ascii="Arial" w:hAnsi="Arial" w:eastAsia="宋体" w:cs="Arial"/>
                <w:sz w:val="21"/>
                <w:szCs w:val="21"/>
              </w:rPr>
            </w:pPr>
            <w:r>
              <w:rPr>
                <w:rFonts w:hint="default" w:ascii="Arial" w:hAnsi="Arial" w:eastAsia="宋体" w:cs="Arial"/>
                <w:sz w:val="21"/>
                <w:szCs w:val="21"/>
              </w:rPr>
              <w:t>昼间</w:t>
            </w:r>
          </w:p>
        </w:tc>
        <w:tc>
          <w:tcPr>
            <w:tcW w:w="1588" w:type="dxa"/>
            <w:tcBorders>
              <w:top w:val="single" w:color="auto" w:sz="4" w:space="0"/>
              <w:left w:val="nil"/>
              <w:bottom w:val="single" w:color="auto" w:sz="4" w:space="0"/>
              <w:right w:val="single" w:color="auto" w:sz="4" w:space="0"/>
            </w:tcBorders>
            <w:noWrap w:val="0"/>
            <w:vAlign w:val="center"/>
          </w:tcPr>
          <w:p w14:paraId="27B4A5B2">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58.1</w:t>
            </w:r>
          </w:p>
        </w:tc>
        <w:tc>
          <w:tcPr>
            <w:tcW w:w="1588" w:type="dxa"/>
            <w:tcBorders>
              <w:top w:val="single" w:color="auto" w:sz="4" w:space="0"/>
              <w:left w:val="nil"/>
              <w:bottom w:val="single" w:color="auto" w:sz="4" w:space="0"/>
              <w:right w:val="single" w:color="auto" w:sz="4" w:space="0"/>
            </w:tcBorders>
            <w:noWrap w:val="0"/>
            <w:vAlign w:val="center"/>
          </w:tcPr>
          <w:p w14:paraId="323C3962">
            <w:pPr>
              <w:pStyle w:val="834"/>
              <w:jc w:val="center"/>
              <w:rPr>
                <w:rFonts w:hint="default" w:ascii="Arial" w:hAnsi="Arial" w:eastAsia="宋体" w:cs="Arial"/>
                <w:sz w:val="21"/>
                <w:szCs w:val="21"/>
              </w:rPr>
            </w:pPr>
            <w:r>
              <w:rPr>
                <w:rFonts w:hint="default" w:ascii="Arial" w:hAnsi="Arial" w:eastAsia="宋体" w:cs="Arial"/>
                <w:sz w:val="21"/>
                <w:szCs w:val="21"/>
              </w:rPr>
              <w:t>65</w:t>
            </w:r>
          </w:p>
        </w:tc>
        <w:tc>
          <w:tcPr>
            <w:tcW w:w="1588" w:type="dxa"/>
            <w:tcBorders>
              <w:top w:val="single" w:color="auto" w:sz="4" w:space="0"/>
              <w:left w:val="nil"/>
              <w:bottom w:val="single" w:color="auto" w:sz="4" w:space="0"/>
              <w:right w:val="single" w:color="auto" w:sz="4" w:space="0"/>
            </w:tcBorders>
            <w:noWrap w:val="0"/>
            <w:vAlign w:val="center"/>
          </w:tcPr>
          <w:p w14:paraId="5DB39FFD">
            <w:pPr>
              <w:pStyle w:val="834"/>
              <w:jc w:val="center"/>
              <w:rPr>
                <w:rFonts w:hint="default" w:ascii="Arial" w:hAnsi="Arial" w:eastAsia="宋体" w:cs="Arial"/>
                <w:sz w:val="21"/>
                <w:szCs w:val="21"/>
              </w:rPr>
            </w:pPr>
            <w:r>
              <w:rPr>
                <w:rFonts w:hint="default" w:ascii="Arial" w:hAnsi="Arial" w:eastAsia="宋体" w:cs="Arial"/>
                <w:sz w:val="21"/>
                <w:szCs w:val="21"/>
              </w:rPr>
              <w:t>达标</w:t>
            </w:r>
          </w:p>
        </w:tc>
      </w:tr>
      <w:tr w14:paraId="066B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dxa"/>
            <w:vMerge w:val="continue"/>
            <w:tcBorders>
              <w:left w:val="single" w:color="auto" w:sz="4" w:space="0"/>
              <w:bottom w:val="single" w:color="auto" w:sz="4" w:space="0"/>
              <w:right w:val="single" w:color="auto" w:sz="4" w:space="0"/>
            </w:tcBorders>
            <w:noWrap w:val="0"/>
            <w:vAlign w:val="center"/>
          </w:tcPr>
          <w:p w14:paraId="3C7BF0F1">
            <w:pPr>
              <w:pStyle w:val="834"/>
              <w:jc w:val="center"/>
              <w:rPr>
                <w:rFonts w:hint="default" w:ascii="Arial" w:hAnsi="Arial" w:eastAsia="宋体" w:cs="Arial"/>
                <w:sz w:val="21"/>
                <w:szCs w:val="21"/>
              </w:rPr>
            </w:pPr>
          </w:p>
        </w:tc>
        <w:tc>
          <w:tcPr>
            <w:tcW w:w="1587" w:type="dxa"/>
            <w:tcBorders>
              <w:top w:val="single" w:color="auto" w:sz="4" w:space="0"/>
              <w:left w:val="nil"/>
              <w:bottom w:val="single" w:color="auto" w:sz="4" w:space="0"/>
              <w:right w:val="single" w:color="auto" w:sz="4" w:space="0"/>
            </w:tcBorders>
            <w:noWrap w:val="0"/>
            <w:vAlign w:val="center"/>
          </w:tcPr>
          <w:p w14:paraId="6BE7C724">
            <w:pPr>
              <w:pStyle w:val="834"/>
              <w:jc w:val="center"/>
              <w:rPr>
                <w:rFonts w:hint="default" w:ascii="Arial" w:hAnsi="Arial" w:eastAsia="宋体" w:cs="Arial"/>
                <w:sz w:val="21"/>
                <w:szCs w:val="21"/>
              </w:rPr>
            </w:pPr>
            <w:r>
              <w:rPr>
                <w:rFonts w:hint="default" w:ascii="Arial" w:hAnsi="Arial" w:eastAsia="宋体" w:cs="Arial"/>
                <w:sz w:val="21"/>
                <w:szCs w:val="21"/>
              </w:rPr>
              <w:t>夜间</w:t>
            </w:r>
          </w:p>
        </w:tc>
        <w:tc>
          <w:tcPr>
            <w:tcW w:w="1588" w:type="dxa"/>
            <w:tcBorders>
              <w:top w:val="single" w:color="auto" w:sz="4" w:space="0"/>
              <w:left w:val="nil"/>
              <w:bottom w:val="single" w:color="auto" w:sz="4" w:space="0"/>
              <w:right w:val="single" w:color="auto" w:sz="4" w:space="0"/>
            </w:tcBorders>
            <w:noWrap w:val="0"/>
            <w:vAlign w:val="center"/>
          </w:tcPr>
          <w:p w14:paraId="06A64007">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50.9</w:t>
            </w:r>
          </w:p>
        </w:tc>
        <w:tc>
          <w:tcPr>
            <w:tcW w:w="1588" w:type="dxa"/>
            <w:tcBorders>
              <w:top w:val="single" w:color="auto" w:sz="4" w:space="0"/>
              <w:left w:val="nil"/>
              <w:bottom w:val="single" w:color="auto" w:sz="4" w:space="0"/>
              <w:right w:val="single" w:color="auto" w:sz="4" w:space="0"/>
            </w:tcBorders>
            <w:noWrap w:val="0"/>
            <w:vAlign w:val="center"/>
          </w:tcPr>
          <w:p w14:paraId="27F2A589">
            <w:pPr>
              <w:pStyle w:val="834"/>
              <w:jc w:val="center"/>
              <w:rPr>
                <w:rFonts w:hint="default" w:ascii="Arial" w:hAnsi="Arial" w:eastAsia="宋体" w:cs="Arial"/>
                <w:sz w:val="21"/>
                <w:szCs w:val="21"/>
              </w:rPr>
            </w:pPr>
            <w:r>
              <w:rPr>
                <w:rFonts w:hint="default" w:ascii="Arial" w:hAnsi="Arial" w:eastAsia="宋体" w:cs="Arial"/>
                <w:sz w:val="21"/>
                <w:szCs w:val="21"/>
              </w:rPr>
              <w:t>55</w:t>
            </w:r>
          </w:p>
        </w:tc>
        <w:tc>
          <w:tcPr>
            <w:tcW w:w="1588" w:type="dxa"/>
            <w:tcBorders>
              <w:top w:val="single" w:color="auto" w:sz="4" w:space="0"/>
              <w:left w:val="nil"/>
              <w:bottom w:val="single" w:color="auto" w:sz="4" w:space="0"/>
              <w:right w:val="single" w:color="auto" w:sz="4" w:space="0"/>
            </w:tcBorders>
            <w:noWrap w:val="0"/>
            <w:vAlign w:val="center"/>
          </w:tcPr>
          <w:p w14:paraId="5E995E6C">
            <w:pPr>
              <w:pStyle w:val="834"/>
              <w:jc w:val="center"/>
              <w:rPr>
                <w:rFonts w:hint="default" w:ascii="Arial" w:hAnsi="Arial" w:eastAsia="宋体" w:cs="Arial"/>
                <w:sz w:val="21"/>
                <w:szCs w:val="21"/>
              </w:rPr>
            </w:pPr>
            <w:r>
              <w:rPr>
                <w:rFonts w:hint="default" w:ascii="Arial" w:hAnsi="Arial" w:eastAsia="宋体" w:cs="Arial"/>
                <w:sz w:val="21"/>
                <w:szCs w:val="21"/>
              </w:rPr>
              <w:t>达标</w:t>
            </w:r>
          </w:p>
        </w:tc>
      </w:tr>
      <w:tr w14:paraId="4F99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dxa"/>
            <w:vMerge w:val="restart"/>
            <w:tcBorders>
              <w:top w:val="single" w:color="auto" w:sz="4" w:space="0"/>
              <w:left w:val="single" w:color="auto" w:sz="4" w:space="0"/>
              <w:right w:val="single" w:color="auto" w:sz="4" w:space="0"/>
            </w:tcBorders>
            <w:noWrap w:val="0"/>
            <w:vAlign w:val="center"/>
          </w:tcPr>
          <w:p w14:paraId="758B367D">
            <w:pPr>
              <w:pStyle w:val="834"/>
              <w:jc w:val="center"/>
              <w:rPr>
                <w:rFonts w:hint="default" w:ascii="Arial" w:hAnsi="Arial" w:eastAsia="宋体" w:cs="Arial"/>
                <w:sz w:val="21"/>
                <w:szCs w:val="21"/>
              </w:rPr>
            </w:pPr>
            <w:r>
              <w:rPr>
                <w:rFonts w:hint="default" w:ascii="Arial" w:hAnsi="Arial" w:eastAsia="宋体" w:cs="Arial"/>
                <w:sz w:val="21"/>
                <w:szCs w:val="21"/>
              </w:rPr>
              <w:t>厂界北侧</w:t>
            </w:r>
          </w:p>
        </w:tc>
        <w:tc>
          <w:tcPr>
            <w:tcW w:w="1587" w:type="dxa"/>
            <w:tcBorders>
              <w:top w:val="single" w:color="auto" w:sz="4" w:space="0"/>
              <w:left w:val="nil"/>
              <w:bottom w:val="single" w:color="auto" w:sz="4" w:space="0"/>
              <w:right w:val="single" w:color="auto" w:sz="4" w:space="0"/>
            </w:tcBorders>
            <w:noWrap w:val="0"/>
            <w:vAlign w:val="center"/>
          </w:tcPr>
          <w:p w14:paraId="7885C70B">
            <w:pPr>
              <w:pStyle w:val="834"/>
              <w:jc w:val="center"/>
              <w:rPr>
                <w:rFonts w:hint="default" w:ascii="Arial" w:hAnsi="Arial" w:eastAsia="宋体" w:cs="Arial"/>
                <w:sz w:val="21"/>
                <w:szCs w:val="21"/>
              </w:rPr>
            </w:pPr>
            <w:r>
              <w:rPr>
                <w:rFonts w:hint="default" w:ascii="Arial" w:hAnsi="Arial" w:eastAsia="宋体" w:cs="Arial"/>
                <w:sz w:val="21"/>
                <w:szCs w:val="21"/>
              </w:rPr>
              <w:t>昼间</w:t>
            </w:r>
          </w:p>
        </w:tc>
        <w:tc>
          <w:tcPr>
            <w:tcW w:w="1588" w:type="dxa"/>
            <w:tcBorders>
              <w:top w:val="single" w:color="auto" w:sz="4" w:space="0"/>
              <w:left w:val="nil"/>
              <w:bottom w:val="single" w:color="auto" w:sz="4" w:space="0"/>
              <w:right w:val="single" w:color="auto" w:sz="4" w:space="0"/>
            </w:tcBorders>
            <w:noWrap w:val="0"/>
            <w:vAlign w:val="center"/>
          </w:tcPr>
          <w:p w14:paraId="5CA7C227">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55.0</w:t>
            </w:r>
          </w:p>
        </w:tc>
        <w:tc>
          <w:tcPr>
            <w:tcW w:w="1588" w:type="dxa"/>
            <w:tcBorders>
              <w:top w:val="single" w:color="auto" w:sz="4" w:space="0"/>
              <w:left w:val="nil"/>
              <w:bottom w:val="single" w:color="auto" w:sz="4" w:space="0"/>
              <w:right w:val="single" w:color="auto" w:sz="4" w:space="0"/>
            </w:tcBorders>
            <w:noWrap w:val="0"/>
            <w:vAlign w:val="center"/>
          </w:tcPr>
          <w:p w14:paraId="03A33F25">
            <w:pPr>
              <w:pStyle w:val="834"/>
              <w:jc w:val="center"/>
              <w:rPr>
                <w:rFonts w:hint="default" w:ascii="Arial" w:hAnsi="Arial" w:eastAsia="宋体" w:cs="Arial"/>
                <w:sz w:val="21"/>
                <w:szCs w:val="21"/>
              </w:rPr>
            </w:pPr>
            <w:r>
              <w:rPr>
                <w:rFonts w:hint="default" w:ascii="Arial" w:hAnsi="Arial" w:eastAsia="宋体" w:cs="Arial"/>
                <w:sz w:val="21"/>
                <w:szCs w:val="21"/>
              </w:rPr>
              <w:t>65</w:t>
            </w:r>
          </w:p>
        </w:tc>
        <w:tc>
          <w:tcPr>
            <w:tcW w:w="1588" w:type="dxa"/>
            <w:tcBorders>
              <w:top w:val="single" w:color="auto" w:sz="4" w:space="0"/>
              <w:left w:val="nil"/>
              <w:bottom w:val="single" w:color="auto" w:sz="4" w:space="0"/>
              <w:right w:val="single" w:color="auto" w:sz="4" w:space="0"/>
            </w:tcBorders>
            <w:noWrap w:val="0"/>
            <w:vAlign w:val="center"/>
          </w:tcPr>
          <w:p w14:paraId="70866B20">
            <w:pPr>
              <w:pStyle w:val="834"/>
              <w:jc w:val="center"/>
              <w:rPr>
                <w:rFonts w:hint="default" w:ascii="Arial" w:hAnsi="Arial" w:eastAsia="宋体" w:cs="Arial"/>
                <w:sz w:val="21"/>
                <w:szCs w:val="21"/>
              </w:rPr>
            </w:pPr>
            <w:r>
              <w:rPr>
                <w:rFonts w:hint="default" w:ascii="Arial" w:hAnsi="Arial" w:eastAsia="宋体" w:cs="Arial"/>
                <w:sz w:val="21"/>
                <w:szCs w:val="21"/>
              </w:rPr>
              <w:t>达标</w:t>
            </w:r>
          </w:p>
        </w:tc>
      </w:tr>
      <w:tr w14:paraId="74FF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7" w:type="dxa"/>
            <w:vMerge w:val="continue"/>
            <w:tcBorders>
              <w:left w:val="single" w:color="auto" w:sz="4" w:space="0"/>
              <w:bottom w:val="single" w:color="auto" w:sz="4" w:space="0"/>
              <w:right w:val="single" w:color="auto" w:sz="4" w:space="0"/>
            </w:tcBorders>
            <w:noWrap w:val="0"/>
            <w:vAlign w:val="center"/>
          </w:tcPr>
          <w:p w14:paraId="537051E6">
            <w:pPr>
              <w:pStyle w:val="834"/>
              <w:jc w:val="center"/>
              <w:rPr>
                <w:rFonts w:hint="default" w:ascii="Arial" w:hAnsi="Arial" w:eastAsia="宋体" w:cs="Arial"/>
                <w:sz w:val="21"/>
                <w:szCs w:val="21"/>
              </w:rPr>
            </w:pPr>
          </w:p>
        </w:tc>
        <w:tc>
          <w:tcPr>
            <w:tcW w:w="1587" w:type="dxa"/>
            <w:tcBorders>
              <w:top w:val="single" w:color="auto" w:sz="4" w:space="0"/>
              <w:left w:val="nil"/>
              <w:bottom w:val="single" w:color="auto" w:sz="4" w:space="0"/>
              <w:right w:val="single" w:color="auto" w:sz="4" w:space="0"/>
            </w:tcBorders>
            <w:noWrap w:val="0"/>
            <w:vAlign w:val="center"/>
          </w:tcPr>
          <w:p w14:paraId="7D603790">
            <w:pPr>
              <w:pStyle w:val="834"/>
              <w:jc w:val="center"/>
              <w:rPr>
                <w:rFonts w:hint="default" w:ascii="Arial" w:hAnsi="Arial" w:eastAsia="宋体" w:cs="Arial"/>
                <w:sz w:val="21"/>
                <w:szCs w:val="21"/>
              </w:rPr>
            </w:pPr>
            <w:r>
              <w:rPr>
                <w:rFonts w:hint="default" w:ascii="Arial" w:hAnsi="Arial" w:eastAsia="宋体" w:cs="Arial"/>
                <w:sz w:val="21"/>
                <w:szCs w:val="21"/>
              </w:rPr>
              <w:t>夜间</w:t>
            </w:r>
          </w:p>
        </w:tc>
        <w:tc>
          <w:tcPr>
            <w:tcW w:w="1588" w:type="dxa"/>
            <w:tcBorders>
              <w:top w:val="single" w:color="auto" w:sz="4" w:space="0"/>
              <w:left w:val="nil"/>
              <w:bottom w:val="single" w:color="auto" w:sz="4" w:space="0"/>
              <w:right w:val="single" w:color="auto" w:sz="4" w:space="0"/>
            </w:tcBorders>
            <w:noWrap w:val="0"/>
            <w:vAlign w:val="center"/>
          </w:tcPr>
          <w:p w14:paraId="4B20E3B3">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50.8</w:t>
            </w:r>
          </w:p>
        </w:tc>
        <w:tc>
          <w:tcPr>
            <w:tcW w:w="1588" w:type="dxa"/>
            <w:tcBorders>
              <w:top w:val="single" w:color="auto" w:sz="4" w:space="0"/>
              <w:left w:val="nil"/>
              <w:bottom w:val="single" w:color="auto" w:sz="4" w:space="0"/>
              <w:right w:val="single" w:color="auto" w:sz="4" w:space="0"/>
            </w:tcBorders>
            <w:noWrap w:val="0"/>
            <w:vAlign w:val="center"/>
          </w:tcPr>
          <w:p w14:paraId="4506C7EF">
            <w:pPr>
              <w:pStyle w:val="834"/>
              <w:jc w:val="center"/>
              <w:rPr>
                <w:rFonts w:hint="default" w:ascii="Arial" w:hAnsi="Arial" w:eastAsia="宋体" w:cs="Arial"/>
                <w:sz w:val="21"/>
                <w:szCs w:val="21"/>
              </w:rPr>
            </w:pPr>
            <w:r>
              <w:rPr>
                <w:rFonts w:hint="default" w:ascii="Arial" w:hAnsi="Arial" w:eastAsia="宋体" w:cs="Arial"/>
                <w:sz w:val="21"/>
                <w:szCs w:val="21"/>
              </w:rPr>
              <w:t>55</w:t>
            </w:r>
          </w:p>
        </w:tc>
        <w:tc>
          <w:tcPr>
            <w:tcW w:w="1588" w:type="dxa"/>
            <w:tcBorders>
              <w:top w:val="single" w:color="auto" w:sz="4" w:space="0"/>
              <w:left w:val="nil"/>
              <w:bottom w:val="single" w:color="auto" w:sz="4" w:space="0"/>
              <w:right w:val="single" w:color="auto" w:sz="4" w:space="0"/>
            </w:tcBorders>
            <w:noWrap w:val="0"/>
            <w:vAlign w:val="center"/>
          </w:tcPr>
          <w:p w14:paraId="109DDA5F">
            <w:pPr>
              <w:pStyle w:val="834"/>
              <w:jc w:val="center"/>
              <w:rPr>
                <w:rFonts w:hint="default" w:ascii="Arial" w:hAnsi="Arial" w:eastAsia="宋体" w:cs="Arial"/>
                <w:sz w:val="21"/>
                <w:szCs w:val="21"/>
              </w:rPr>
            </w:pPr>
            <w:r>
              <w:rPr>
                <w:rFonts w:hint="default" w:ascii="Arial" w:hAnsi="Arial" w:eastAsia="宋体" w:cs="Arial"/>
                <w:sz w:val="21"/>
                <w:szCs w:val="21"/>
              </w:rPr>
              <w:t>达标</w:t>
            </w:r>
          </w:p>
        </w:tc>
      </w:tr>
    </w:tbl>
    <w:p w14:paraId="553B4197">
      <w:pPr>
        <w:pStyle w:val="915"/>
        <w:spacing w:line="360" w:lineRule="auto"/>
        <w:ind w:left="105" w:leftChars="50" w:firstLine="480" w:firstLineChars="200"/>
        <w:jc w:val="both"/>
        <w:rPr>
          <w:rFonts w:hint="default" w:ascii="Arial" w:hAnsi="Arial" w:eastAsia="宋体" w:cs="Arial"/>
          <w:color w:val="auto"/>
          <w:sz w:val="24"/>
          <w:szCs w:val="24"/>
          <w:lang w:val="en-US" w:eastAsia="zh-CN"/>
        </w:rPr>
      </w:pPr>
      <w:r>
        <w:rPr>
          <w:rFonts w:hint="default" w:ascii="Arial" w:hAnsi="Arial" w:eastAsia="宋体" w:cs="Arial"/>
          <w:color w:val="auto"/>
          <w:sz w:val="24"/>
          <w:szCs w:val="24"/>
        </w:rPr>
        <w:t>根据监测结果可知，现企业各厂界噪声均符合《工业企业厂界环境噪声排放标准》GB12348-2008中3类标准。</w:t>
      </w:r>
    </w:p>
    <w:p w14:paraId="41BFB434">
      <w:pPr>
        <w:pStyle w:val="76"/>
        <w:numPr>
          <w:ilvl w:val="2"/>
          <w:numId w:val="4"/>
        </w:numPr>
        <w:spacing w:line="360" w:lineRule="auto"/>
        <w:ind w:left="568" w:hanging="284" w:firstLineChars="0"/>
        <w:outlineLvl w:val="2"/>
        <w:rPr>
          <w:rFonts w:hint="default" w:ascii="Arial" w:hAnsi="Arial" w:eastAsia="宋体" w:cs="Arial"/>
          <w:b/>
          <w:bCs/>
          <w:sz w:val="24"/>
          <w:szCs w:val="24"/>
        </w:rPr>
      </w:pPr>
      <w:r>
        <w:rPr>
          <w:rFonts w:hint="default" w:ascii="Arial" w:hAnsi="Arial" w:eastAsia="宋体" w:cs="Arial"/>
          <w:b/>
          <w:bCs/>
          <w:sz w:val="24"/>
          <w:szCs w:val="24"/>
        </w:rPr>
        <w:t>现有工程已建项目污染源强核算</w:t>
      </w:r>
    </w:p>
    <w:p w14:paraId="223C96B3">
      <w:pPr>
        <w:pStyle w:val="915"/>
        <w:spacing w:line="360" w:lineRule="auto"/>
        <w:ind w:left="105" w:leftChars="50" w:firstLine="480" w:firstLineChars="200"/>
        <w:jc w:val="both"/>
        <w:rPr>
          <w:rFonts w:hint="default" w:ascii="Arial" w:hAnsi="Arial" w:eastAsia="宋体" w:cs="Arial"/>
          <w:color w:val="auto"/>
          <w:sz w:val="24"/>
          <w:szCs w:val="24"/>
          <w:lang w:val="en-US" w:eastAsia="zh-CN"/>
        </w:rPr>
      </w:pPr>
      <w:r>
        <w:rPr>
          <w:rFonts w:hint="default" w:ascii="Arial" w:hAnsi="Arial" w:eastAsia="宋体" w:cs="Arial"/>
          <w:color w:val="auto"/>
          <w:sz w:val="24"/>
          <w:szCs w:val="24"/>
          <w:lang w:val="en-US" w:eastAsia="zh-CN"/>
        </w:rPr>
        <w:t>本评价现有工程已建项目污染源强核查主要依据企业所提供的有关资料、常规监测资料进行核算。</w:t>
      </w:r>
    </w:p>
    <w:p w14:paraId="6F245D45">
      <w:pPr>
        <w:pStyle w:val="915"/>
        <w:spacing w:line="360" w:lineRule="auto"/>
        <w:ind w:left="105" w:leftChars="50" w:firstLine="482" w:firstLineChars="200"/>
        <w:jc w:val="both"/>
        <w:rPr>
          <w:rFonts w:hint="default" w:ascii="Arial" w:hAnsi="Arial" w:eastAsia="宋体" w:cs="Arial"/>
          <w:b/>
          <w:bCs/>
          <w:color w:val="auto"/>
          <w:sz w:val="24"/>
          <w:szCs w:val="24"/>
          <w:lang w:val="en-US" w:eastAsia="zh-CN"/>
        </w:rPr>
      </w:pPr>
      <w:r>
        <w:rPr>
          <w:rFonts w:hint="default" w:ascii="Arial" w:hAnsi="Arial" w:eastAsia="宋体" w:cs="Arial"/>
          <w:b/>
          <w:bCs/>
          <w:color w:val="auto"/>
          <w:sz w:val="24"/>
          <w:szCs w:val="24"/>
          <w:lang w:val="en-US" w:eastAsia="zh-CN"/>
        </w:rPr>
        <w:t>1、废水</w:t>
      </w:r>
    </w:p>
    <w:p w14:paraId="12ECA9DD">
      <w:pPr>
        <w:pStyle w:val="76"/>
        <w:spacing w:line="360" w:lineRule="auto"/>
        <w:ind w:left="105" w:leftChars="50" w:right="105" w:rightChars="50" w:firstLine="480"/>
        <w:rPr>
          <w:rFonts w:hint="default" w:ascii="Arial" w:hAnsi="Arial" w:eastAsia="宋体" w:cs="Arial"/>
          <w:color w:val="000000" w:themeColor="text1"/>
          <w:sz w:val="24"/>
          <w:szCs w:val="24"/>
          <w:highlight w:val="none"/>
          <w14:textFill>
            <w14:solidFill>
              <w14:schemeClr w14:val="tx1"/>
            </w14:solidFill>
          </w14:textFill>
        </w:rPr>
      </w:pPr>
      <w:r>
        <w:rPr>
          <w:rFonts w:hint="default" w:ascii="Arial" w:hAnsi="Arial" w:eastAsia="宋体" w:cs="Arial"/>
          <w:bCs/>
          <w:sz w:val="24"/>
          <w:szCs w:val="24"/>
        </w:rPr>
        <w:t>企业</w:t>
      </w:r>
      <w:r>
        <w:rPr>
          <w:rFonts w:hint="default" w:ascii="Arial" w:hAnsi="Arial" w:eastAsia="宋体" w:cs="Arial"/>
          <w:bCs/>
          <w:sz w:val="24"/>
          <w:szCs w:val="24"/>
          <w:lang w:val="en-US" w:eastAsia="zh-CN"/>
        </w:rPr>
        <w:t>清洗废水作为危废处置，</w:t>
      </w:r>
      <w:r>
        <w:rPr>
          <w:rFonts w:hint="default" w:ascii="Arial" w:hAnsi="Arial" w:eastAsia="宋体" w:cs="Arial"/>
          <w:bCs/>
          <w:sz w:val="24"/>
          <w:szCs w:val="24"/>
        </w:rPr>
        <w:t>现有工程</w:t>
      </w:r>
      <w:r>
        <w:rPr>
          <w:rFonts w:hint="default" w:ascii="Arial" w:hAnsi="Arial" w:eastAsia="宋体" w:cs="Arial"/>
          <w:bCs/>
          <w:sz w:val="24"/>
          <w:szCs w:val="24"/>
          <w:lang w:val="en-US" w:eastAsia="zh-CN"/>
        </w:rPr>
        <w:t>仅产生生活污水，原环评核定职工人数为420人，现有工程</w:t>
      </w:r>
      <w:r>
        <w:rPr>
          <w:rFonts w:hint="default" w:ascii="Arial" w:hAnsi="Arial" w:eastAsia="宋体" w:cs="Arial"/>
          <w:bCs/>
          <w:color w:val="000000" w:themeColor="text1"/>
          <w:sz w:val="24"/>
          <w:szCs w:val="24"/>
          <w:lang w:val="en-US" w:eastAsia="zh-CN"/>
          <w14:textFill>
            <w14:solidFill>
              <w14:schemeClr w14:val="tx1"/>
            </w14:solidFill>
          </w14:textFill>
        </w:rPr>
        <w:t>职工人数为350人，</w:t>
      </w:r>
      <w:r>
        <w:rPr>
          <w:rFonts w:hint="default" w:ascii="Arial" w:hAnsi="Arial" w:eastAsia="宋体" w:cs="Arial"/>
          <w:bCs/>
          <w:color w:val="000000" w:themeColor="text1"/>
          <w:sz w:val="24"/>
          <w:szCs w:val="24"/>
          <w14:textFill>
            <w14:solidFill>
              <w14:schemeClr w14:val="tx1"/>
            </w14:solidFill>
          </w14:textFill>
        </w:rPr>
        <w:t>202</w:t>
      </w:r>
      <w:r>
        <w:rPr>
          <w:rFonts w:hint="default" w:ascii="Arial" w:hAnsi="Arial" w:eastAsia="宋体" w:cs="Arial"/>
          <w:bCs/>
          <w:color w:val="000000" w:themeColor="text1"/>
          <w:sz w:val="24"/>
          <w:szCs w:val="24"/>
          <w:lang w:val="en-US" w:eastAsia="zh-CN"/>
          <w14:textFill>
            <w14:solidFill>
              <w14:schemeClr w14:val="tx1"/>
            </w14:solidFill>
          </w14:textFill>
        </w:rPr>
        <w:t>4</w:t>
      </w:r>
      <w:r>
        <w:rPr>
          <w:rFonts w:hint="default" w:ascii="Arial" w:hAnsi="Arial" w:eastAsia="宋体" w:cs="Arial"/>
          <w:bCs/>
          <w:color w:val="000000" w:themeColor="text1"/>
          <w:sz w:val="24"/>
          <w:szCs w:val="24"/>
          <w14:textFill>
            <w14:solidFill>
              <w14:schemeClr w14:val="tx1"/>
            </w14:solidFill>
          </w14:textFill>
        </w:rPr>
        <w:t>生活污水产</w:t>
      </w:r>
      <w:r>
        <w:rPr>
          <w:rFonts w:hint="default" w:ascii="Arial" w:hAnsi="Arial" w:eastAsia="宋体" w:cs="Arial"/>
          <w:bCs/>
          <w:color w:val="000000" w:themeColor="text1"/>
          <w:sz w:val="24"/>
          <w:szCs w:val="24"/>
          <w:highlight w:val="none"/>
          <w14:textFill>
            <w14:solidFill>
              <w14:schemeClr w14:val="tx1"/>
            </w14:solidFill>
          </w14:textFill>
        </w:rPr>
        <w:t>生量约</w:t>
      </w:r>
      <w:r>
        <w:rPr>
          <w:rFonts w:hint="default" w:ascii="Arial" w:hAnsi="Arial" w:eastAsia="宋体" w:cs="Arial"/>
          <w:bCs/>
          <w:color w:val="000000" w:themeColor="text1"/>
          <w:sz w:val="24"/>
          <w:szCs w:val="24"/>
          <w:highlight w:val="none"/>
          <w:lang w:val="en-US" w:eastAsia="zh-CN"/>
          <w14:textFill>
            <w14:solidFill>
              <w14:schemeClr w14:val="tx1"/>
            </w14:solidFill>
          </w14:textFill>
        </w:rPr>
        <w:t>4000</w:t>
      </w:r>
      <w:r>
        <w:rPr>
          <w:rFonts w:hint="default" w:ascii="Arial" w:hAnsi="Arial" w:eastAsia="宋体" w:cs="Arial"/>
          <w:bCs/>
          <w:color w:val="000000" w:themeColor="text1"/>
          <w:sz w:val="24"/>
          <w:szCs w:val="24"/>
          <w:highlight w:val="none"/>
          <w14:textFill>
            <w14:solidFill>
              <w14:schemeClr w14:val="tx1"/>
            </w14:solidFill>
          </w14:textFill>
        </w:rPr>
        <w:t>t</w:t>
      </w:r>
      <w:r>
        <w:rPr>
          <w:rFonts w:hint="default" w:ascii="Arial" w:hAnsi="Arial" w:eastAsia="宋体" w:cs="Arial"/>
          <w:bCs/>
          <w:color w:val="000000" w:themeColor="text1"/>
          <w:sz w:val="24"/>
          <w:szCs w:val="24"/>
          <w:highlight w:val="none"/>
          <w:lang w:eastAsia="zh-CN"/>
          <w14:textFill>
            <w14:solidFill>
              <w14:schemeClr w14:val="tx1"/>
            </w14:solidFill>
          </w14:textFill>
        </w:rPr>
        <w:t>，</w:t>
      </w:r>
      <w:r>
        <w:rPr>
          <w:rFonts w:hint="default" w:ascii="Arial" w:hAnsi="Arial" w:eastAsia="宋体" w:cs="Arial"/>
          <w:color w:val="000000" w:themeColor="text1"/>
          <w:sz w:val="24"/>
          <w:szCs w:val="24"/>
          <w:highlight w:val="none"/>
          <w14:textFill>
            <w14:solidFill>
              <w14:schemeClr w14:val="tx1"/>
            </w14:solidFill>
          </w14:textFill>
        </w:rPr>
        <w:t>废水污染源强见下表。</w:t>
      </w:r>
    </w:p>
    <w:p w14:paraId="4B7D5C79">
      <w:pPr>
        <w:pStyle w:val="76"/>
        <w:numPr>
          <w:ilvl w:val="3"/>
          <w:numId w:val="4"/>
        </w:numPr>
        <w:spacing w:line="360" w:lineRule="auto"/>
        <w:ind w:firstLineChars="0"/>
        <w:jc w:val="center"/>
        <w:outlineLvl w:val="3"/>
        <w:rPr>
          <w:rFonts w:hint="default" w:ascii="Arial" w:hAnsi="Arial" w:eastAsia="宋体" w:cs="Arial"/>
          <w:b/>
          <w:bCs/>
          <w:color w:val="000000" w:themeColor="text1"/>
          <w:sz w:val="24"/>
          <w:szCs w:val="24"/>
          <w:highlight w:val="none"/>
          <w14:textFill>
            <w14:solidFill>
              <w14:schemeClr w14:val="tx1"/>
            </w14:solidFill>
          </w14:textFill>
        </w:rPr>
      </w:pPr>
      <w:r>
        <w:rPr>
          <w:rFonts w:hint="default" w:ascii="Arial" w:hAnsi="Arial" w:eastAsia="宋体" w:cs="Arial"/>
          <w:b/>
          <w:bCs/>
          <w:color w:val="000000" w:themeColor="text1"/>
          <w:sz w:val="24"/>
          <w:szCs w:val="24"/>
          <w:highlight w:val="none"/>
          <w14:textFill>
            <w14:solidFill>
              <w14:schemeClr w14:val="tx1"/>
            </w14:solidFill>
          </w14:textFill>
        </w:rPr>
        <w:t xml:space="preserve">  现有工程废水污染源强（202</w:t>
      </w:r>
      <w:r>
        <w:rPr>
          <w:rFonts w:hint="default" w:ascii="Arial" w:hAnsi="Arial" w:eastAsia="宋体" w:cs="Arial"/>
          <w:b/>
          <w:bCs/>
          <w:color w:val="000000" w:themeColor="text1"/>
          <w:sz w:val="24"/>
          <w:szCs w:val="24"/>
          <w:highlight w:val="none"/>
          <w:lang w:val="en-US" w:eastAsia="zh-CN"/>
          <w14:textFill>
            <w14:solidFill>
              <w14:schemeClr w14:val="tx1"/>
            </w14:solidFill>
          </w14:textFill>
        </w:rPr>
        <w:t>4</w:t>
      </w:r>
      <w:r>
        <w:rPr>
          <w:rFonts w:hint="default" w:ascii="Arial" w:hAnsi="Arial" w:eastAsia="宋体" w:cs="Arial"/>
          <w:b/>
          <w:bCs/>
          <w:color w:val="000000" w:themeColor="text1"/>
          <w:sz w:val="24"/>
          <w:szCs w:val="24"/>
          <w:highlight w:val="none"/>
          <w14:textFill>
            <w14:solidFill>
              <w14:schemeClr w14:val="tx1"/>
            </w14:solidFill>
          </w14:textFill>
        </w:rPr>
        <w:t>年）</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343"/>
        <w:gridCol w:w="2626"/>
        <w:gridCol w:w="2627"/>
      </w:tblGrid>
      <w:tr w14:paraId="541C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2" w:type="dxa"/>
            <w:tcBorders>
              <w:top w:val="single" w:color="auto" w:sz="4" w:space="0"/>
              <w:left w:val="single" w:color="auto" w:sz="4" w:space="0"/>
              <w:right w:val="single" w:color="auto" w:sz="4" w:space="0"/>
            </w:tcBorders>
            <w:noWrap w:val="0"/>
            <w:vAlign w:val="center"/>
          </w:tcPr>
          <w:p w14:paraId="06D05573">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污染物</w:t>
            </w:r>
          </w:p>
        </w:tc>
        <w:tc>
          <w:tcPr>
            <w:tcW w:w="1343" w:type="dxa"/>
            <w:tcBorders>
              <w:top w:val="single" w:color="auto" w:sz="4" w:space="0"/>
              <w:left w:val="single" w:color="auto" w:sz="4" w:space="0"/>
              <w:bottom w:val="single" w:color="auto" w:sz="4" w:space="0"/>
              <w:right w:val="single" w:color="auto" w:sz="4" w:space="0"/>
            </w:tcBorders>
            <w:noWrap w:val="0"/>
            <w:vAlign w:val="center"/>
          </w:tcPr>
          <w:p w14:paraId="15B6273E">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污染因子</w:t>
            </w:r>
          </w:p>
        </w:tc>
        <w:tc>
          <w:tcPr>
            <w:tcW w:w="2626" w:type="dxa"/>
            <w:tcBorders>
              <w:top w:val="single" w:color="auto" w:sz="4" w:space="0"/>
              <w:left w:val="single" w:color="auto" w:sz="4" w:space="0"/>
              <w:bottom w:val="single" w:color="auto" w:sz="4" w:space="0"/>
              <w:right w:val="single" w:color="auto" w:sz="4" w:space="0"/>
            </w:tcBorders>
            <w:noWrap w:val="0"/>
            <w:vAlign w:val="center"/>
          </w:tcPr>
          <w:p w14:paraId="3708EE21">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202</w:t>
            </w:r>
            <w:r>
              <w:rPr>
                <w:rFonts w:hint="default" w:ascii="Arial" w:hAnsi="Arial" w:eastAsia="宋体" w:cs="Arial"/>
                <w:color w:val="000000" w:themeColor="text1"/>
                <w:sz w:val="21"/>
                <w:szCs w:val="21"/>
                <w:highlight w:val="none"/>
                <w:lang w:val="en-US" w:eastAsia="zh-CN"/>
                <w14:textFill>
                  <w14:solidFill>
                    <w14:schemeClr w14:val="tx1"/>
                  </w14:solidFill>
                </w14:textFill>
              </w:rPr>
              <w:t>4</w:t>
            </w:r>
            <w:r>
              <w:rPr>
                <w:rFonts w:hint="default" w:ascii="Arial" w:hAnsi="Arial" w:eastAsia="宋体" w:cs="Arial"/>
                <w:color w:val="000000" w:themeColor="text1"/>
                <w:sz w:val="21"/>
                <w:szCs w:val="21"/>
                <w:highlight w:val="none"/>
                <w14:textFill>
                  <w14:solidFill>
                    <w14:schemeClr w14:val="tx1"/>
                  </w14:solidFill>
                </w14:textFill>
              </w:rPr>
              <w:t>年排放量（t/a）</w:t>
            </w:r>
          </w:p>
        </w:tc>
        <w:tc>
          <w:tcPr>
            <w:tcW w:w="2627" w:type="dxa"/>
            <w:tcBorders>
              <w:top w:val="single" w:color="auto" w:sz="4" w:space="0"/>
              <w:left w:val="single" w:color="auto" w:sz="4" w:space="0"/>
              <w:bottom w:val="single" w:color="auto" w:sz="4" w:space="0"/>
              <w:right w:val="single" w:color="auto" w:sz="4" w:space="0"/>
            </w:tcBorders>
            <w:noWrap w:val="0"/>
            <w:vAlign w:val="center"/>
          </w:tcPr>
          <w:p w14:paraId="5AD2736E">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折算达产后排量（t/a）</w:t>
            </w:r>
          </w:p>
        </w:tc>
      </w:tr>
      <w:tr w14:paraId="25B5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2" w:type="dxa"/>
            <w:vMerge w:val="restart"/>
            <w:tcBorders>
              <w:top w:val="single" w:color="auto" w:sz="4" w:space="0"/>
              <w:left w:val="single" w:color="auto" w:sz="4" w:space="0"/>
              <w:right w:val="single" w:color="auto" w:sz="4" w:space="0"/>
            </w:tcBorders>
            <w:noWrap w:val="0"/>
            <w:vAlign w:val="center"/>
          </w:tcPr>
          <w:p w14:paraId="772F3DA9">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生活污水</w:t>
            </w:r>
          </w:p>
        </w:tc>
        <w:tc>
          <w:tcPr>
            <w:tcW w:w="1343" w:type="dxa"/>
            <w:tcBorders>
              <w:top w:val="single" w:color="auto" w:sz="4" w:space="0"/>
              <w:left w:val="single" w:color="auto" w:sz="4" w:space="0"/>
              <w:bottom w:val="single" w:color="auto" w:sz="4" w:space="0"/>
              <w:right w:val="single" w:color="auto" w:sz="4" w:space="0"/>
            </w:tcBorders>
            <w:noWrap w:val="0"/>
            <w:vAlign w:val="center"/>
          </w:tcPr>
          <w:p w14:paraId="2548A223">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废水量</w:t>
            </w:r>
          </w:p>
        </w:tc>
        <w:tc>
          <w:tcPr>
            <w:tcW w:w="2626" w:type="dxa"/>
            <w:tcBorders>
              <w:top w:val="single" w:color="auto" w:sz="4" w:space="0"/>
              <w:left w:val="single" w:color="auto" w:sz="4" w:space="0"/>
              <w:bottom w:val="single" w:color="auto" w:sz="4" w:space="0"/>
              <w:right w:val="single" w:color="auto" w:sz="4" w:space="0"/>
            </w:tcBorders>
            <w:noWrap w:val="0"/>
            <w:vAlign w:val="center"/>
          </w:tcPr>
          <w:p w14:paraId="6B625863">
            <w:pPr>
              <w:pStyle w:val="834"/>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default" w:ascii="Arial" w:hAnsi="Arial" w:eastAsia="宋体" w:cs="Arial"/>
                <w:color w:val="000000" w:themeColor="text1"/>
                <w:sz w:val="21"/>
                <w:szCs w:val="21"/>
                <w:highlight w:val="none"/>
                <w:lang w:val="en-US" w:eastAsia="zh-CN"/>
                <w14:textFill>
                  <w14:solidFill>
                    <w14:schemeClr w14:val="tx1"/>
                  </w14:solidFill>
                </w14:textFill>
              </w:rPr>
              <w:t>4000</w:t>
            </w:r>
          </w:p>
        </w:tc>
        <w:tc>
          <w:tcPr>
            <w:tcW w:w="2627" w:type="dxa"/>
            <w:tcBorders>
              <w:top w:val="single" w:color="auto" w:sz="4" w:space="0"/>
              <w:left w:val="single" w:color="auto" w:sz="4" w:space="0"/>
              <w:bottom w:val="single" w:color="auto" w:sz="4" w:space="0"/>
              <w:right w:val="single" w:color="auto" w:sz="4" w:space="0"/>
            </w:tcBorders>
            <w:noWrap w:val="0"/>
            <w:vAlign w:val="center"/>
          </w:tcPr>
          <w:p w14:paraId="722B6526">
            <w:pPr>
              <w:pStyle w:val="834"/>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default" w:ascii="Arial" w:hAnsi="Arial" w:eastAsia="宋体" w:cs="Arial"/>
                <w:color w:val="000000" w:themeColor="text1"/>
                <w:sz w:val="21"/>
                <w:szCs w:val="21"/>
                <w:highlight w:val="none"/>
                <w:lang w:val="en-US" w:eastAsia="zh-CN"/>
                <w14:textFill>
                  <w14:solidFill>
                    <w14:schemeClr w14:val="tx1"/>
                  </w14:solidFill>
                </w14:textFill>
              </w:rPr>
              <w:t>4800</w:t>
            </w:r>
          </w:p>
        </w:tc>
      </w:tr>
      <w:tr w14:paraId="687B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2" w:type="dxa"/>
            <w:vMerge w:val="continue"/>
            <w:tcBorders>
              <w:left w:val="single" w:color="auto" w:sz="4" w:space="0"/>
              <w:right w:val="single" w:color="auto" w:sz="4" w:space="0"/>
            </w:tcBorders>
            <w:noWrap w:val="0"/>
            <w:vAlign w:val="center"/>
          </w:tcPr>
          <w:p w14:paraId="588B86BB">
            <w:pPr>
              <w:pStyle w:val="834"/>
              <w:jc w:val="center"/>
              <w:rPr>
                <w:rFonts w:hint="default" w:ascii="Arial" w:hAnsi="Arial" w:eastAsia="宋体" w:cs="Arial"/>
                <w:color w:val="000000" w:themeColor="text1"/>
                <w:sz w:val="21"/>
                <w:szCs w:val="21"/>
                <w:highlight w:val="none"/>
                <w14:textFill>
                  <w14:solidFill>
                    <w14:schemeClr w14:val="tx1"/>
                  </w14:solidFill>
                </w14:textFill>
              </w:rPr>
            </w:pPr>
          </w:p>
        </w:tc>
        <w:tc>
          <w:tcPr>
            <w:tcW w:w="1343" w:type="dxa"/>
            <w:tcBorders>
              <w:top w:val="single" w:color="auto" w:sz="4" w:space="0"/>
              <w:left w:val="single" w:color="auto" w:sz="4" w:space="0"/>
              <w:bottom w:val="single" w:color="auto" w:sz="4" w:space="0"/>
              <w:right w:val="single" w:color="auto" w:sz="4" w:space="0"/>
            </w:tcBorders>
            <w:noWrap w:val="0"/>
            <w:vAlign w:val="center"/>
          </w:tcPr>
          <w:p w14:paraId="7CA10C6E">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COD</w:t>
            </w:r>
            <w:r>
              <w:rPr>
                <w:rFonts w:hint="default" w:ascii="Arial" w:hAnsi="Arial" w:eastAsia="宋体" w:cs="Arial"/>
                <w:color w:val="000000" w:themeColor="text1"/>
                <w:sz w:val="21"/>
                <w:szCs w:val="21"/>
                <w:highlight w:val="none"/>
                <w:vertAlign w:val="subscript"/>
                <w14:textFill>
                  <w14:solidFill>
                    <w14:schemeClr w14:val="tx1"/>
                  </w14:solidFill>
                </w14:textFill>
              </w:rPr>
              <w:t>Cr</w:t>
            </w:r>
          </w:p>
        </w:tc>
        <w:tc>
          <w:tcPr>
            <w:tcW w:w="2626" w:type="dxa"/>
            <w:tcBorders>
              <w:top w:val="single" w:color="auto" w:sz="4" w:space="0"/>
              <w:left w:val="single" w:color="auto" w:sz="4" w:space="0"/>
              <w:bottom w:val="single" w:color="auto" w:sz="4" w:space="0"/>
              <w:right w:val="single" w:color="auto" w:sz="4" w:space="0"/>
            </w:tcBorders>
            <w:noWrap w:val="0"/>
            <w:vAlign w:val="center"/>
          </w:tcPr>
          <w:p w14:paraId="1BC1D1CA">
            <w:pPr>
              <w:pStyle w:val="834"/>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0.1</w:t>
            </w:r>
            <w:r>
              <w:rPr>
                <w:rFonts w:hint="default" w:ascii="Arial" w:hAnsi="Arial" w:eastAsia="宋体" w:cs="Arial"/>
                <w:color w:val="000000" w:themeColor="text1"/>
                <w:sz w:val="21"/>
                <w:szCs w:val="21"/>
                <w:highlight w:val="none"/>
                <w:lang w:val="en-US" w:eastAsia="zh-CN"/>
                <w14:textFill>
                  <w14:solidFill>
                    <w14:schemeClr w14:val="tx1"/>
                  </w14:solidFill>
                </w14:textFill>
              </w:rPr>
              <w:t>60</w:t>
            </w:r>
          </w:p>
        </w:tc>
        <w:tc>
          <w:tcPr>
            <w:tcW w:w="2627" w:type="dxa"/>
            <w:tcBorders>
              <w:top w:val="single" w:color="auto" w:sz="4" w:space="0"/>
              <w:left w:val="single" w:color="auto" w:sz="4" w:space="0"/>
              <w:bottom w:val="single" w:color="auto" w:sz="4" w:space="0"/>
              <w:right w:val="single" w:color="auto" w:sz="4" w:space="0"/>
            </w:tcBorders>
            <w:noWrap w:val="0"/>
            <w:vAlign w:val="center"/>
          </w:tcPr>
          <w:p w14:paraId="1218F0C0">
            <w:pPr>
              <w:pStyle w:val="834"/>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0.1</w:t>
            </w:r>
            <w:r>
              <w:rPr>
                <w:rFonts w:hint="default" w:ascii="Arial" w:hAnsi="Arial" w:eastAsia="宋体" w:cs="Arial"/>
                <w:color w:val="000000" w:themeColor="text1"/>
                <w:sz w:val="21"/>
                <w:szCs w:val="21"/>
                <w:highlight w:val="none"/>
                <w:lang w:val="en-US" w:eastAsia="zh-CN"/>
                <w14:textFill>
                  <w14:solidFill>
                    <w14:schemeClr w14:val="tx1"/>
                  </w14:solidFill>
                </w14:textFill>
              </w:rPr>
              <w:t>92</w:t>
            </w:r>
          </w:p>
        </w:tc>
      </w:tr>
      <w:tr w14:paraId="223A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2" w:type="dxa"/>
            <w:vMerge w:val="continue"/>
            <w:tcBorders>
              <w:left w:val="single" w:color="auto" w:sz="4" w:space="0"/>
              <w:right w:val="single" w:color="auto" w:sz="4" w:space="0"/>
            </w:tcBorders>
            <w:noWrap w:val="0"/>
            <w:vAlign w:val="center"/>
          </w:tcPr>
          <w:p w14:paraId="2E04ED30">
            <w:pPr>
              <w:pStyle w:val="834"/>
              <w:jc w:val="center"/>
              <w:rPr>
                <w:rFonts w:hint="default" w:ascii="Arial" w:hAnsi="Arial" w:eastAsia="宋体" w:cs="Arial"/>
                <w:color w:val="000000" w:themeColor="text1"/>
                <w:sz w:val="21"/>
                <w:szCs w:val="21"/>
                <w:highlight w:val="none"/>
                <w14:textFill>
                  <w14:solidFill>
                    <w14:schemeClr w14:val="tx1"/>
                  </w14:solidFill>
                </w14:textFill>
              </w:rPr>
            </w:pPr>
          </w:p>
        </w:tc>
        <w:tc>
          <w:tcPr>
            <w:tcW w:w="1343" w:type="dxa"/>
            <w:tcBorders>
              <w:top w:val="single" w:color="auto" w:sz="4" w:space="0"/>
              <w:left w:val="single" w:color="auto" w:sz="4" w:space="0"/>
              <w:bottom w:val="single" w:color="auto" w:sz="4" w:space="0"/>
              <w:right w:val="single" w:color="auto" w:sz="4" w:space="0"/>
            </w:tcBorders>
            <w:noWrap w:val="0"/>
            <w:vAlign w:val="center"/>
          </w:tcPr>
          <w:p w14:paraId="40E5346D">
            <w:pPr>
              <w:pStyle w:val="834"/>
              <w:jc w:val="center"/>
              <w:rPr>
                <w:rFonts w:hint="default" w:ascii="Arial" w:hAnsi="Arial" w:eastAsia="宋体" w:cs="Arial"/>
                <w:color w:val="000000" w:themeColor="text1"/>
                <w:sz w:val="21"/>
                <w:szCs w:val="21"/>
                <w:highlight w:val="none"/>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NH</w:t>
            </w:r>
            <w:r>
              <w:rPr>
                <w:rFonts w:hint="default" w:ascii="Arial" w:hAnsi="Arial" w:eastAsia="宋体" w:cs="Arial"/>
                <w:color w:val="000000" w:themeColor="text1"/>
                <w:sz w:val="21"/>
                <w:szCs w:val="21"/>
                <w:highlight w:val="none"/>
                <w:vertAlign w:val="subscript"/>
                <w14:textFill>
                  <w14:solidFill>
                    <w14:schemeClr w14:val="tx1"/>
                  </w14:solidFill>
                </w14:textFill>
              </w:rPr>
              <w:t>3</w:t>
            </w:r>
            <w:r>
              <w:rPr>
                <w:rFonts w:hint="default" w:ascii="Arial" w:hAnsi="Arial" w:eastAsia="宋体" w:cs="Arial"/>
                <w:color w:val="000000" w:themeColor="text1"/>
                <w:sz w:val="21"/>
                <w:szCs w:val="21"/>
                <w:highlight w:val="none"/>
                <w14:textFill>
                  <w14:solidFill>
                    <w14:schemeClr w14:val="tx1"/>
                  </w14:solidFill>
                </w14:textFill>
              </w:rPr>
              <w:t>-N</w:t>
            </w:r>
          </w:p>
        </w:tc>
        <w:tc>
          <w:tcPr>
            <w:tcW w:w="2626" w:type="dxa"/>
            <w:tcBorders>
              <w:top w:val="single" w:color="auto" w:sz="4" w:space="0"/>
              <w:left w:val="single" w:color="auto" w:sz="4" w:space="0"/>
              <w:bottom w:val="single" w:color="auto" w:sz="4" w:space="0"/>
              <w:right w:val="single" w:color="auto" w:sz="4" w:space="0"/>
            </w:tcBorders>
            <w:noWrap w:val="0"/>
            <w:vAlign w:val="center"/>
          </w:tcPr>
          <w:p w14:paraId="2E42D239">
            <w:pPr>
              <w:pStyle w:val="834"/>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0.00</w:t>
            </w:r>
            <w:r>
              <w:rPr>
                <w:rFonts w:hint="default" w:ascii="Arial" w:hAnsi="Arial" w:eastAsia="宋体" w:cs="Arial"/>
                <w:color w:val="000000" w:themeColor="text1"/>
                <w:sz w:val="21"/>
                <w:szCs w:val="21"/>
                <w:highlight w:val="none"/>
                <w:lang w:val="en-US" w:eastAsia="zh-CN"/>
                <w14:textFill>
                  <w14:solidFill>
                    <w14:schemeClr w14:val="tx1"/>
                  </w14:solidFill>
                </w14:textFill>
              </w:rPr>
              <w:t>8</w:t>
            </w:r>
          </w:p>
        </w:tc>
        <w:tc>
          <w:tcPr>
            <w:tcW w:w="2627" w:type="dxa"/>
            <w:tcBorders>
              <w:top w:val="single" w:color="auto" w:sz="4" w:space="0"/>
              <w:left w:val="single" w:color="auto" w:sz="4" w:space="0"/>
              <w:bottom w:val="single" w:color="auto" w:sz="4" w:space="0"/>
              <w:right w:val="single" w:color="auto" w:sz="4" w:space="0"/>
            </w:tcBorders>
            <w:noWrap w:val="0"/>
            <w:vAlign w:val="center"/>
          </w:tcPr>
          <w:p w14:paraId="3E521534">
            <w:pPr>
              <w:pStyle w:val="834"/>
              <w:jc w:val="center"/>
              <w:rPr>
                <w:rFonts w:hint="default" w:ascii="Arial" w:hAnsi="Arial" w:eastAsia="宋体" w:cs="Arial"/>
                <w:color w:val="000000" w:themeColor="text1"/>
                <w:sz w:val="21"/>
                <w:szCs w:val="21"/>
                <w:highlight w:val="none"/>
                <w:lang w:val="en-US" w:eastAsia="zh-CN"/>
                <w14:textFill>
                  <w14:solidFill>
                    <w14:schemeClr w14:val="tx1"/>
                  </w14:solidFill>
                </w14:textFill>
              </w:rPr>
            </w:pPr>
            <w:r>
              <w:rPr>
                <w:rFonts w:hint="default" w:ascii="Arial" w:hAnsi="Arial" w:eastAsia="宋体" w:cs="Arial"/>
                <w:color w:val="000000" w:themeColor="text1"/>
                <w:sz w:val="21"/>
                <w:szCs w:val="21"/>
                <w:highlight w:val="none"/>
                <w14:textFill>
                  <w14:solidFill>
                    <w14:schemeClr w14:val="tx1"/>
                  </w14:solidFill>
                </w14:textFill>
              </w:rPr>
              <w:t>0.0</w:t>
            </w:r>
            <w:r>
              <w:rPr>
                <w:rFonts w:hint="default" w:ascii="Arial" w:hAnsi="Arial" w:eastAsia="宋体" w:cs="Arial"/>
                <w:color w:val="000000" w:themeColor="text1"/>
                <w:sz w:val="21"/>
                <w:szCs w:val="21"/>
                <w:highlight w:val="none"/>
                <w:lang w:val="en-US" w:eastAsia="zh-CN"/>
                <w14:textFill>
                  <w14:solidFill>
                    <w14:schemeClr w14:val="tx1"/>
                  </w14:solidFill>
                </w14:textFill>
              </w:rPr>
              <w:t>10</w:t>
            </w:r>
          </w:p>
        </w:tc>
      </w:tr>
    </w:tbl>
    <w:p w14:paraId="266899E6">
      <w:pPr>
        <w:pStyle w:val="76"/>
        <w:numPr>
          <w:ilvl w:val="0"/>
          <w:numId w:val="8"/>
        </w:numPr>
        <w:spacing w:line="360" w:lineRule="auto"/>
        <w:ind w:left="105" w:leftChars="50" w:right="105" w:rightChars="50" w:firstLine="482"/>
        <w:rPr>
          <w:rFonts w:hint="default" w:ascii="Arial" w:hAnsi="Arial" w:eastAsia="宋体" w:cs="Arial"/>
          <w:b/>
          <w:color w:val="000000" w:themeColor="text1"/>
          <w:sz w:val="24"/>
          <w:szCs w:val="24"/>
          <w14:textFill>
            <w14:solidFill>
              <w14:schemeClr w14:val="tx1"/>
            </w14:solidFill>
          </w14:textFill>
        </w:rPr>
      </w:pPr>
      <w:r>
        <w:rPr>
          <w:rFonts w:hint="default" w:ascii="Arial" w:hAnsi="Arial" w:eastAsia="宋体" w:cs="Arial"/>
          <w:b/>
          <w:color w:val="000000" w:themeColor="text1"/>
          <w:sz w:val="24"/>
          <w:szCs w:val="24"/>
          <w14:textFill>
            <w14:solidFill>
              <w14:schemeClr w14:val="tx1"/>
            </w14:solidFill>
          </w14:textFill>
        </w:rPr>
        <w:t>废气</w:t>
      </w:r>
    </w:p>
    <w:p w14:paraId="24341CD9">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50" w:right="105" w:rightChars="50" w:firstLine="480" w:firstLineChars="200"/>
        <w:textAlignment w:val="auto"/>
        <w:rPr>
          <w:rFonts w:hint="default" w:ascii="Arial" w:hAnsi="Arial" w:eastAsia="宋体" w:cs="Arial"/>
          <w:b w:val="0"/>
          <w:bCs/>
          <w:color w:val="000000" w:themeColor="text1"/>
          <w:sz w:val="24"/>
          <w:szCs w:val="24"/>
          <w:lang w:val="en-US" w:eastAsia="zh-CN"/>
          <w14:textFill>
            <w14:solidFill>
              <w14:schemeClr w14:val="tx1"/>
            </w14:solidFill>
          </w14:textFill>
        </w:rPr>
      </w:pPr>
      <w:r>
        <w:rPr>
          <w:rFonts w:hint="default" w:ascii="Arial" w:hAnsi="Arial" w:eastAsia="宋体" w:cs="Arial"/>
          <w:b w:val="0"/>
          <w:bCs/>
          <w:color w:val="000000" w:themeColor="text1"/>
          <w:sz w:val="24"/>
          <w:szCs w:val="24"/>
          <w:lang w:val="en-US" w:eastAsia="zh-CN"/>
          <w14:textFill>
            <w14:solidFill>
              <w14:schemeClr w14:val="tx1"/>
            </w14:solidFill>
          </w14:textFill>
        </w:rPr>
        <w:t>企业废气均为无组织排放，</w:t>
      </w:r>
      <w:r>
        <w:rPr>
          <w:rFonts w:hint="default" w:ascii="Arial" w:hAnsi="Arial" w:eastAsia="宋体" w:cs="Arial"/>
          <w:b w:val="0"/>
          <w:bCs/>
          <w:color w:val="000000" w:themeColor="text1"/>
          <w:sz w:val="24"/>
          <w:szCs w:val="24"/>
          <w14:textFill>
            <w14:solidFill>
              <w14:schemeClr w14:val="tx1"/>
            </w14:solidFill>
          </w14:textFill>
        </w:rPr>
        <w:t>企业现有工程各厂界外的颗粒物、非甲烷总烃的监测浓度符合</w:t>
      </w:r>
      <w:r>
        <w:rPr>
          <w:rFonts w:hint="default" w:ascii="Arial" w:hAnsi="Arial" w:eastAsia="宋体" w:cs="Arial"/>
          <w:b w:val="0"/>
          <w:bCs/>
          <w:color w:val="000000" w:themeColor="text1"/>
          <w:sz w:val="24"/>
          <w:szCs w:val="24"/>
          <w:lang w:eastAsia="zh-CN"/>
          <w14:textFill>
            <w14:solidFill>
              <w14:schemeClr w14:val="tx1"/>
            </w14:solidFill>
          </w14:textFill>
        </w:rPr>
        <w:t>《大气污染物综合排放标准》(C816297-1996)表2中无组织监控浓度限值。</w:t>
      </w:r>
    </w:p>
    <w:p w14:paraId="2B84781B">
      <w:pPr>
        <w:pStyle w:val="76"/>
        <w:spacing w:line="360" w:lineRule="auto"/>
        <w:ind w:left="105" w:leftChars="50" w:right="105" w:rightChars="50" w:firstLine="48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3、固废</w:t>
      </w:r>
    </w:p>
    <w:p w14:paraId="7E44B10C">
      <w:pPr>
        <w:pStyle w:val="76"/>
        <w:spacing w:line="360" w:lineRule="auto"/>
        <w:ind w:left="105" w:leftChars="50" w:right="105" w:rightChars="50" w:firstLine="480"/>
        <w:rPr>
          <w:rFonts w:hint="default" w:ascii="Arial" w:hAnsi="Arial" w:eastAsia="宋体" w:cs="Arial"/>
          <w:sz w:val="24"/>
          <w:szCs w:val="24"/>
        </w:rPr>
      </w:pPr>
      <w:bookmarkStart w:id="7" w:name="_Hlk166433663"/>
      <w:r>
        <w:rPr>
          <w:rFonts w:hint="default" w:ascii="Arial" w:hAnsi="Arial" w:eastAsia="宋体" w:cs="Arial"/>
          <w:sz w:val="24"/>
          <w:szCs w:val="24"/>
        </w:rPr>
        <w:t>现企业</w:t>
      </w:r>
      <w:r>
        <w:rPr>
          <w:rFonts w:hint="default" w:ascii="Arial" w:hAnsi="Arial" w:eastAsia="宋体" w:cs="Arial"/>
          <w:sz w:val="24"/>
          <w:szCs w:val="24"/>
          <w:lang w:val="en-US" w:eastAsia="zh-CN"/>
        </w:rPr>
        <w:t>4#车间内</w:t>
      </w:r>
      <w:r>
        <w:rPr>
          <w:rFonts w:hint="default" w:ascii="Arial" w:hAnsi="Arial" w:eastAsia="宋体" w:cs="Arial"/>
          <w:kern w:val="0"/>
          <w:sz w:val="24"/>
          <w:szCs w:val="24"/>
        </w:rPr>
        <w:t>设有一间</w:t>
      </w:r>
      <w:r>
        <w:rPr>
          <w:rFonts w:hint="default" w:ascii="Arial" w:hAnsi="Arial" w:eastAsia="宋体" w:cs="Arial"/>
          <w:kern w:val="0"/>
          <w:sz w:val="24"/>
          <w:szCs w:val="24"/>
          <w:lang w:val="en-US" w:eastAsia="zh-CN"/>
        </w:rPr>
        <w:t>15</w:t>
      </w:r>
      <w:r>
        <w:rPr>
          <w:rFonts w:hint="eastAsia" w:ascii="Arial" w:hAnsi="Arial" w:eastAsia="宋体" w:cs="Arial"/>
          <w:kern w:val="0"/>
          <w:sz w:val="24"/>
          <w:szCs w:val="24"/>
          <w:lang w:val="en-US" w:eastAsia="zh-CN"/>
        </w:rPr>
        <w:t>m</w:t>
      </w:r>
      <w:r>
        <w:rPr>
          <w:rFonts w:hint="eastAsia" w:ascii="Arial" w:hAnsi="Arial" w:eastAsia="宋体" w:cs="Arial"/>
          <w:kern w:val="0"/>
          <w:sz w:val="24"/>
          <w:szCs w:val="24"/>
          <w:vertAlign w:val="superscript"/>
          <w:lang w:val="en-US" w:eastAsia="zh-CN"/>
        </w:rPr>
        <w:t>2</w:t>
      </w:r>
      <w:r>
        <w:rPr>
          <w:rFonts w:hint="default" w:ascii="Arial" w:hAnsi="Arial" w:eastAsia="宋体" w:cs="Arial"/>
          <w:kern w:val="0"/>
          <w:sz w:val="24"/>
          <w:szCs w:val="24"/>
        </w:rPr>
        <w:t>的危废暂存库和一间</w:t>
      </w:r>
      <w:r>
        <w:rPr>
          <w:rFonts w:hint="default" w:ascii="Arial" w:hAnsi="Arial" w:eastAsia="宋体" w:cs="Arial"/>
          <w:kern w:val="0"/>
          <w:sz w:val="24"/>
          <w:szCs w:val="24"/>
          <w:lang w:val="en-US" w:eastAsia="zh-CN"/>
        </w:rPr>
        <w:t>300</w:t>
      </w:r>
      <w:r>
        <w:rPr>
          <w:rFonts w:hint="eastAsia" w:ascii="Arial" w:hAnsi="Arial" w:eastAsia="宋体" w:cs="Arial"/>
          <w:kern w:val="0"/>
          <w:sz w:val="24"/>
          <w:szCs w:val="24"/>
          <w:lang w:val="en-US" w:eastAsia="zh-CN"/>
        </w:rPr>
        <w:t>m</w:t>
      </w:r>
      <w:r>
        <w:rPr>
          <w:rFonts w:hint="eastAsia" w:ascii="Arial" w:hAnsi="Arial" w:eastAsia="宋体" w:cs="Arial"/>
          <w:kern w:val="0"/>
          <w:sz w:val="24"/>
          <w:szCs w:val="24"/>
          <w:vertAlign w:val="superscript"/>
          <w:lang w:val="en-US" w:eastAsia="zh-CN"/>
        </w:rPr>
        <w:t>2</w:t>
      </w:r>
      <w:r>
        <w:rPr>
          <w:rFonts w:hint="default" w:ascii="Arial" w:hAnsi="Arial" w:eastAsia="宋体" w:cs="Arial"/>
          <w:kern w:val="0"/>
          <w:sz w:val="24"/>
          <w:szCs w:val="24"/>
        </w:rPr>
        <w:t>的一般固废暂存库。</w:t>
      </w:r>
      <w:r>
        <w:rPr>
          <w:rFonts w:hint="default" w:ascii="Arial" w:hAnsi="Arial" w:eastAsia="宋体" w:cs="Arial"/>
          <w:sz w:val="24"/>
          <w:szCs w:val="24"/>
        </w:rPr>
        <w:t>危废暂存库地面已按照危废暂存库标准要求落实了防腐、防渗措施暂存库四周设有集液沟，防止废液外流。根据企业提供的浙江省固废平台数据统计，企业现有工程已建项目202</w:t>
      </w:r>
      <w:r>
        <w:rPr>
          <w:rFonts w:hint="default" w:ascii="Arial" w:hAnsi="Arial" w:eastAsia="宋体" w:cs="Arial"/>
          <w:sz w:val="24"/>
          <w:szCs w:val="24"/>
          <w:lang w:val="en-US" w:eastAsia="zh-CN"/>
        </w:rPr>
        <w:t>4</w:t>
      </w:r>
      <w:r>
        <w:rPr>
          <w:rFonts w:hint="default" w:ascii="Arial" w:hAnsi="Arial" w:eastAsia="宋体" w:cs="Arial"/>
          <w:sz w:val="24"/>
          <w:szCs w:val="24"/>
        </w:rPr>
        <w:t>年固体废物产排情况见下表。</w:t>
      </w:r>
    </w:p>
    <w:p w14:paraId="130209E5">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现有工程固体废物污染源强（202</w:t>
      </w:r>
      <w:r>
        <w:rPr>
          <w:rFonts w:hint="default" w:ascii="Arial" w:hAnsi="Arial" w:eastAsia="宋体" w:cs="Arial"/>
          <w:b/>
          <w:bCs/>
          <w:sz w:val="24"/>
          <w:szCs w:val="24"/>
          <w:lang w:val="en-US" w:eastAsia="zh-CN"/>
        </w:rPr>
        <w:t>4</w:t>
      </w:r>
      <w:r>
        <w:rPr>
          <w:rFonts w:hint="default" w:ascii="Arial" w:hAnsi="Arial" w:eastAsia="宋体" w:cs="Arial"/>
          <w:b/>
          <w:bCs/>
          <w:sz w:val="24"/>
          <w:szCs w:val="24"/>
        </w:rPr>
        <w:t>年）</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445"/>
        <w:gridCol w:w="1561"/>
        <w:gridCol w:w="925"/>
        <w:gridCol w:w="932"/>
        <w:gridCol w:w="1083"/>
        <w:gridCol w:w="774"/>
        <w:gridCol w:w="1407"/>
        <w:gridCol w:w="810"/>
      </w:tblGrid>
      <w:tr w14:paraId="6015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blHeader/>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4B2E73D">
            <w:pPr>
              <w:pStyle w:val="834"/>
              <w:jc w:val="center"/>
              <w:rPr>
                <w:rFonts w:hint="default" w:ascii="Arial" w:hAnsi="Arial" w:eastAsia="宋体" w:cs="Arial"/>
                <w:sz w:val="21"/>
                <w:szCs w:val="21"/>
              </w:rPr>
            </w:pPr>
            <w:r>
              <w:rPr>
                <w:rFonts w:hint="default" w:ascii="Arial" w:hAnsi="Arial" w:eastAsia="宋体" w:cs="Arial"/>
                <w:sz w:val="21"/>
                <w:szCs w:val="21"/>
              </w:rPr>
              <w:t>序号</w:t>
            </w:r>
          </w:p>
        </w:tc>
        <w:tc>
          <w:tcPr>
            <w:tcW w:w="156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A621254">
            <w:pPr>
              <w:pStyle w:val="834"/>
              <w:jc w:val="center"/>
              <w:rPr>
                <w:rFonts w:hint="default" w:ascii="Arial" w:hAnsi="Arial" w:eastAsia="宋体" w:cs="Arial"/>
                <w:sz w:val="21"/>
                <w:szCs w:val="21"/>
              </w:rPr>
            </w:pPr>
            <w:r>
              <w:rPr>
                <w:rFonts w:hint="default" w:ascii="Arial" w:hAnsi="Arial" w:eastAsia="宋体" w:cs="Arial"/>
                <w:sz w:val="21"/>
                <w:szCs w:val="21"/>
              </w:rPr>
              <w:t>固废名称</w:t>
            </w:r>
          </w:p>
        </w:tc>
        <w:tc>
          <w:tcPr>
            <w:tcW w:w="92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EDE28A8">
            <w:pPr>
              <w:pStyle w:val="834"/>
              <w:jc w:val="center"/>
              <w:rPr>
                <w:rFonts w:hint="default" w:ascii="Arial" w:hAnsi="Arial" w:eastAsia="宋体" w:cs="Arial"/>
                <w:sz w:val="21"/>
                <w:szCs w:val="21"/>
              </w:rPr>
            </w:pPr>
            <w:r>
              <w:rPr>
                <w:rFonts w:hint="default" w:ascii="Arial" w:hAnsi="Arial" w:eastAsia="宋体" w:cs="Arial"/>
                <w:sz w:val="21"/>
                <w:szCs w:val="21"/>
              </w:rPr>
              <w:t>产生工序</w:t>
            </w:r>
          </w:p>
        </w:tc>
        <w:tc>
          <w:tcPr>
            <w:tcW w:w="93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5224742">
            <w:pPr>
              <w:pStyle w:val="834"/>
              <w:jc w:val="center"/>
              <w:rPr>
                <w:rFonts w:hint="default" w:ascii="Arial" w:hAnsi="Arial" w:eastAsia="宋体" w:cs="Arial"/>
                <w:sz w:val="21"/>
                <w:szCs w:val="21"/>
              </w:rPr>
            </w:pPr>
            <w:r>
              <w:rPr>
                <w:rFonts w:hint="default" w:ascii="Arial" w:hAnsi="Arial" w:eastAsia="宋体" w:cs="Arial"/>
                <w:sz w:val="21"/>
                <w:szCs w:val="21"/>
              </w:rPr>
              <w:t>属性</w:t>
            </w:r>
          </w:p>
        </w:tc>
        <w:tc>
          <w:tcPr>
            <w:tcW w:w="108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74F5813">
            <w:pPr>
              <w:pStyle w:val="834"/>
              <w:jc w:val="center"/>
              <w:rPr>
                <w:rFonts w:hint="default" w:ascii="Arial" w:hAnsi="Arial" w:eastAsia="宋体" w:cs="Arial"/>
                <w:sz w:val="21"/>
                <w:szCs w:val="21"/>
              </w:rPr>
            </w:pPr>
            <w:r>
              <w:rPr>
                <w:rFonts w:hint="default" w:ascii="Arial" w:hAnsi="Arial" w:eastAsia="宋体" w:cs="Arial"/>
                <w:sz w:val="21"/>
                <w:szCs w:val="21"/>
              </w:rPr>
              <w:t>废物代码</w:t>
            </w:r>
          </w:p>
        </w:tc>
        <w:tc>
          <w:tcPr>
            <w:tcW w:w="77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1023F95">
            <w:pPr>
              <w:pStyle w:val="834"/>
              <w:jc w:val="center"/>
              <w:rPr>
                <w:rFonts w:hint="default" w:ascii="Arial" w:hAnsi="Arial" w:eastAsia="宋体" w:cs="Arial"/>
                <w:sz w:val="21"/>
                <w:szCs w:val="21"/>
              </w:rPr>
            </w:pPr>
            <w:r>
              <w:rPr>
                <w:rFonts w:hint="default" w:ascii="Arial" w:hAnsi="Arial" w:eastAsia="宋体" w:cs="Arial"/>
                <w:sz w:val="21"/>
                <w:szCs w:val="21"/>
              </w:rPr>
              <w:t>产生量（t/a）</w:t>
            </w:r>
          </w:p>
        </w:tc>
        <w:tc>
          <w:tcPr>
            <w:tcW w:w="1407"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4FA2D11">
            <w:pPr>
              <w:pStyle w:val="834"/>
              <w:jc w:val="center"/>
              <w:rPr>
                <w:rFonts w:hint="default" w:ascii="Arial" w:hAnsi="Arial" w:eastAsia="宋体" w:cs="Arial"/>
                <w:sz w:val="21"/>
                <w:szCs w:val="21"/>
              </w:rPr>
            </w:pPr>
            <w:r>
              <w:rPr>
                <w:rFonts w:hint="default" w:ascii="Arial" w:hAnsi="Arial" w:eastAsia="宋体" w:cs="Arial"/>
                <w:sz w:val="21"/>
                <w:szCs w:val="21"/>
              </w:rPr>
              <w:t>利用处置方式</w:t>
            </w: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635BCE5">
            <w:pPr>
              <w:pStyle w:val="834"/>
              <w:jc w:val="center"/>
              <w:rPr>
                <w:rFonts w:hint="default" w:ascii="Arial" w:hAnsi="Arial" w:eastAsia="宋体" w:cs="Arial"/>
                <w:sz w:val="21"/>
                <w:szCs w:val="21"/>
              </w:rPr>
            </w:pPr>
            <w:r>
              <w:rPr>
                <w:rFonts w:hint="default" w:ascii="Arial" w:hAnsi="Arial" w:eastAsia="宋体" w:cs="Arial"/>
                <w:sz w:val="21"/>
                <w:szCs w:val="21"/>
              </w:rPr>
              <w:t>排放量（t/a）</w:t>
            </w:r>
          </w:p>
        </w:tc>
      </w:tr>
      <w:tr w14:paraId="086C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13E23A8">
            <w:pPr>
              <w:pStyle w:val="834"/>
              <w:jc w:val="center"/>
              <w:rPr>
                <w:rFonts w:hint="default" w:ascii="Arial" w:hAnsi="Arial" w:eastAsia="宋体" w:cs="Arial"/>
                <w:sz w:val="21"/>
                <w:szCs w:val="21"/>
              </w:rPr>
            </w:pPr>
            <w:r>
              <w:rPr>
                <w:rFonts w:hint="default" w:ascii="Arial" w:hAnsi="Arial" w:eastAsia="宋体" w:cs="Arial"/>
                <w:sz w:val="21"/>
                <w:szCs w:val="21"/>
              </w:rPr>
              <w:t>1</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69080849">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废包装桶</w:t>
            </w:r>
          </w:p>
        </w:tc>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026AFBB8">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原料使用</w:t>
            </w:r>
          </w:p>
        </w:tc>
        <w:tc>
          <w:tcPr>
            <w:tcW w:w="93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71D5DE8E">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危险废物</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1FDC84F9">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900-041-49</w:t>
            </w:r>
          </w:p>
        </w:tc>
        <w:tc>
          <w:tcPr>
            <w:tcW w:w="77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12CD2050">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28.04</w:t>
            </w:r>
          </w:p>
        </w:tc>
        <w:tc>
          <w:tcPr>
            <w:tcW w:w="1407" w:type="dxa"/>
            <w:vMerge w:val="restart"/>
            <w:tcBorders>
              <w:top w:val="nil"/>
              <w:left w:val="single" w:color="auto" w:sz="4" w:space="0"/>
              <w:right w:val="single" w:color="auto" w:sz="4" w:space="0"/>
            </w:tcBorders>
            <w:noWrap w:val="0"/>
            <w:tcMar>
              <w:top w:w="0" w:type="dxa"/>
              <w:left w:w="28" w:type="dxa"/>
              <w:bottom w:w="0" w:type="dxa"/>
              <w:right w:w="28" w:type="dxa"/>
            </w:tcMar>
            <w:vAlign w:val="center"/>
          </w:tcPr>
          <w:p w14:paraId="7774F59B">
            <w:pPr>
              <w:pStyle w:val="834"/>
              <w:jc w:val="center"/>
              <w:rPr>
                <w:rFonts w:hint="default" w:ascii="Arial" w:hAnsi="Arial" w:eastAsia="宋体" w:cs="Arial"/>
                <w:sz w:val="21"/>
                <w:szCs w:val="21"/>
              </w:rPr>
            </w:pPr>
            <w:r>
              <w:rPr>
                <w:rFonts w:hint="default" w:ascii="Arial" w:hAnsi="Arial" w:eastAsia="宋体" w:cs="Arial"/>
                <w:sz w:val="21"/>
                <w:szCs w:val="21"/>
              </w:rPr>
              <w:t>委托危废处置单位进行处理</w:t>
            </w: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BC6B0FD">
            <w:pPr>
              <w:pStyle w:val="834"/>
              <w:jc w:val="center"/>
              <w:rPr>
                <w:rFonts w:hint="default" w:ascii="Arial" w:hAnsi="Arial" w:eastAsia="宋体" w:cs="Arial"/>
                <w:sz w:val="21"/>
                <w:szCs w:val="21"/>
              </w:rPr>
            </w:pPr>
            <w:r>
              <w:rPr>
                <w:rFonts w:hint="default" w:ascii="Arial" w:hAnsi="Arial" w:eastAsia="宋体" w:cs="Arial"/>
                <w:sz w:val="21"/>
                <w:szCs w:val="21"/>
              </w:rPr>
              <w:t>0</w:t>
            </w:r>
          </w:p>
        </w:tc>
      </w:tr>
      <w:tr w14:paraId="3870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1C376C8">
            <w:pPr>
              <w:pStyle w:val="834"/>
              <w:jc w:val="center"/>
              <w:rPr>
                <w:rFonts w:hint="default" w:ascii="Arial" w:hAnsi="Arial" w:eastAsia="宋体" w:cs="Arial"/>
                <w:sz w:val="21"/>
                <w:szCs w:val="21"/>
              </w:rPr>
            </w:pPr>
            <w:r>
              <w:rPr>
                <w:rFonts w:hint="default" w:ascii="Arial" w:hAnsi="Arial" w:eastAsia="宋体" w:cs="Arial"/>
                <w:sz w:val="21"/>
                <w:szCs w:val="21"/>
              </w:rPr>
              <w:t>2</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79160701">
            <w:pPr>
              <w:pStyle w:val="834"/>
              <w:jc w:val="center"/>
              <w:rPr>
                <w:rFonts w:hint="eastAsia" w:ascii="Arial" w:hAnsi="Arial" w:eastAsia="宋体" w:cs="Arial"/>
                <w:kern w:val="2"/>
                <w:sz w:val="21"/>
                <w:szCs w:val="21"/>
                <w:lang w:val="en-US" w:eastAsia="zh-CN" w:bidi="ar-SA"/>
              </w:rPr>
            </w:pPr>
            <w:r>
              <w:rPr>
                <w:rFonts w:hint="default" w:ascii="Arial" w:hAnsi="Arial" w:eastAsia="宋体" w:cs="Arial"/>
                <w:sz w:val="21"/>
                <w:szCs w:val="21"/>
              </w:rPr>
              <w:t>废淬火</w:t>
            </w:r>
            <w:r>
              <w:rPr>
                <w:rFonts w:hint="eastAsia" w:cs="Arial"/>
                <w:sz w:val="21"/>
                <w:szCs w:val="21"/>
                <w:lang w:val="en-US" w:eastAsia="zh-CN"/>
              </w:rPr>
              <w:t>油</w:t>
            </w:r>
          </w:p>
        </w:tc>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4EC6522A">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淬火</w:t>
            </w:r>
          </w:p>
        </w:tc>
        <w:tc>
          <w:tcPr>
            <w:tcW w:w="93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6D3A9C4F">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危险废物</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276ABEBB">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900-</w:t>
            </w:r>
            <w:r>
              <w:rPr>
                <w:rFonts w:hint="default" w:ascii="Arial" w:hAnsi="Arial" w:eastAsia="宋体" w:cs="Arial"/>
                <w:sz w:val="21"/>
                <w:szCs w:val="21"/>
                <w:lang w:val="en-US" w:eastAsia="zh-CN"/>
              </w:rPr>
              <w:t>007-09</w:t>
            </w:r>
          </w:p>
        </w:tc>
        <w:tc>
          <w:tcPr>
            <w:tcW w:w="77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577B5A40">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2.0</w:t>
            </w:r>
          </w:p>
        </w:tc>
        <w:tc>
          <w:tcPr>
            <w:tcW w:w="1407"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16470773">
            <w:pPr>
              <w:pStyle w:val="834"/>
              <w:jc w:val="center"/>
              <w:rPr>
                <w:rFonts w:hint="default" w:ascii="Arial" w:hAnsi="Arial" w:eastAsia="宋体" w:cs="Arial"/>
                <w:sz w:val="21"/>
                <w:szCs w:val="21"/>
              </w:rPr>
            </w:pP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5082B7B">
            <w:pPr>
              <w:pStyle w:val="834"/>
              <w:jc w:val="center"/>
              <w:rPr>
                <w:rFonts w:hint="default" w:ascii="Arial" w:hAnsi="Arial" w:eastAsia="宋体" w:cs="Arial"/>
                <w:sz w:val="21"/>
                <w:szCs w:val="21"/>
              </w:rPr>
            </w:pPr>
            <w:r>
              <w:rPr>
                <w:rFonts w:hint="default" w:ascii="Arial" w:hAnsi="Arial" w:eastAsia="宋体" w:cs="Arial"/>
                <w:sz w:val="21"/>
                <w:szCs w:val="21"/>
              </w:rPr>
              <w:t>0</w:t>
            </w:r>
          </w:p>
        </w:tc>
      </w:tr>
      <w:tr w14:paraId="2A3B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20AE950">
            <w:pPr>
              <w:pStyle w:val="834"/>
              <w:jc w:val="center"/>
              <w:rPr>
                <w:rFonts w:hint="default" w:ascii="Arial" w:hAnsi="Arial" w:eastAsia="宋体" w:cs="Arial"/>
                <w:sz w:val="21"/>
                <w:szCs w:val="21"/>
              </w:rPr>
            </w:pPr>
            <w:r>
              <w:rPr>
                <w:rFonts w:hint="default" w:ascii="Arial" w:hAnsi="Arial" w:eastAsia="宋体" w:cs="Arial"/>
                <w:sz w:val="21"/>
                <w:szCs w:val="21"/>
              </w:rPr>
              <w:t>3</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44C095F8">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废</w:t>
            </w:r>
            <w:r>
              <w:rPr>
                <w:rFonts w:hint="default" w:ascii="Arial" w:hAnsi="Arial" w:eastAsia="宋体" w:cs="Arial"/>
                <w:sz w:val="21"/>
                <w:szCs w:val="21"/>
                <w:lang w:val="en-US" w:eastAsia="zh-CN"/>
              </w:rPr>
              <w:t>切削油</w:t>
            </w:r>
          </w:p>
        </w:tc>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17CB7DE3">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机加工</w:t>
            </w:r>
          </w:p>
        </w:tc>
        <w:tc>
          <w:tcPr>
            <w:tcW w:w="93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3AFD1A8F">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危险废物</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3279F6EF">
            <w:pPr>
              <w:pStyle w:val="834"/>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900-</w:t>
            </w:r>
            <w:r>
              <w:rPr>
                <w:rFonts w:hint="default" w:ascii="Arial" w:hAnsi="Arial" w:eastAsia="宋体" w:cs="Arial"/>
                <w:sz w:val="21"/>
                <w:szCs w:val="21"/>
                <w:lang w:val="en-US" w:eastAsia="zh-CN"/>
              </w:rPr>
              <w:t>006-09</w:t>
            </w:r>
          </w:p>
        </w:tc>
        <w:tc>
          <w:tcPr>
            <w:tcW w:w="77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262B7A9E">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4.52</w:t>
            </w:r>
          </w:p>
        </w:tc>
        <w:tc>
          <w:tcPr>
            <w:tcW w:w="1407"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129C0017">
            <w:pPr>
              <w:pStyle w:val="834"/>
              <w:jc w:val="center"/>
              <w:rPr>
                <w:rFonts w:hint="default" w:ascii="Arial" w:hAnsi="Arial" w:eastAsia="宋体" w:cs="Arial"/>
                <w:sz w:val="21"/>
                <w:szCs w:val="21"/>
              </w:rPr>
            </w:pP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A208E2D">
            <w:pPr>
              <w:pStyle w:val="834"/>
              <w:jc w:val="center"/>
              <w:rPr>
                <w:rFonts w:hint="default" w:ascii="Arial" w:hAnsi="Arial" w:eastAsia="宋体" w:cs="Arial"/>
                <w:sz w:val="21"/>
                <w:szCs w:val="21"/>
              </w:rPr>
            </w:pPr>
            <w:r>
              <w:rPr>
                <w:rFonts w:hint="default" w:ascii="Arial" w:hAnsi="Arial" w:eastAsia="宋体" w:cs="Arial"/>
                <w:sz w:val="21"/>
                <w:szCs w:val="21"/>
              </w:rPr>
              <w:t>0</w:t>
            </w:r>
          </w:p>
        </w:tc>
      </w:tr>
      <w:tr w14:paraId="1477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8EE8738">
            <w:pPr>
              <w:pStyle w:val="834"/>
              <w:jc w:val="center"/>
              <w:rPr>
                <w:rFonts w:hint="default" w:ascii="Arial" w:hAnsi="Arial" w:eastAsia="宋体" w:cs="Arial"/>
                <w:sz w:val="21"/>
                <w:szCs w:val="21"/>
              </w:rPr>
            </w:pPr>
            <w:r>
              <w:rPr>
                <w:rFonts w:hint="default" w:ascii="Arial" w:hAnsi="Arial" w:eastAsia="宋体" w:cs="Arial"/>
                <w:sz w:val="21"/>
                <w:szCs w:val="21"/>
              </w:rPr>
              <w:t>4</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2B0E9CA4">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清洗废液</w:t>
            </w:r>
          </w:p>
        </w:tc>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2A18F1CB">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清洗</w:t>
            </w:r>
          </w:p>
        </w:tc>
        <w:tc>
          <w:tcPr>
            <w:tcW w:w="93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4A2C901C">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危险废物</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11B8FE04">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900-007-09</w:t>
            </w:r>
          </w:p>
        </w:tc>
        <w:tc>
          <w:tcPr>
            <w:tcW w:w="77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78A190E8">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60</w:t>
            </w:r>
          </w:p>
        </w:tc>
        <w:tc>
          <w:tcPr>
            <w:tcW w:w="1407"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780EA78A">
            <w:pPr>
              <w:pStyle w:val="834"/>
              <w:jc w:val="center"/>
              <w:rPr>
                <w:rFonts w:hint="default" w:ascii="Arial" w:hAnsi="Arial" w:eastAsia="宋体" w:cs="Arial"/>
                <w:sz w:val="21"/>
                <w:szCs w:val="21"/>
              </w:rPr>
            </w:pP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FF05CDB">
            <w:pPr>
              <w:pStyle w:val="834"/>
              <w:jc w:val="center"/>
              <w:rPr>
                <w:rFonts w:hint="default" w:ascii="Arial" w:hAnsi="Arial" w:eastAsia="宋体" w:cs="Arial"/>
                <w:sz w:val="21"/>
                <w:szCs w:val="21"/>
              </w:rPr>
            </w:pPr>
            <w:r>
              <w:rPr>
                <w:rFonts w:hint="default" w:ascii="Arial" w:hAnsi="Arial" w:eastAsia="宋体" w:cs="Arial"/>
                <w:sz w:val="21"/>
                <w:szCs w:val="21"/>
              </w:rPr>
              <w:t>0</w:t>
            </w:r>
          </w:p>
        </w:tc>
      </w:tr>
      <w:tr w14:paraId="6420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A2F2017">
            <w:pPr>
              <w:pStyle w:val="834"/>
              <w:jc w:val="center"/>
              <w:rPr>
                <w:rFonts w:hint="default" w:ascii="Arial" w:hAnsi="Arial" w:eastAsia="宋体" w:cs="Arial"/>
                <w:sz w:val="21"/>
                <w:szCs w:val="21"/>
              </w:rPr>
            </w:pPr>
            <w:r>
              <w:rPr>
                <w:rFonts w:hint="default" w:ascii="Arial" w:hAnsi="Arial" w:eastAsia="宋体" w:cs="Arial"/>
                <w:sz w:val="21"/>
                <w:szCs w:val="21"/>
              </w:rPr>
              <w:t>5</w:t>
            </w:r>
          </w:p>
        </w:tc>
        <w:tc>
          <w:tcPr>
            <w:tcW w:w="1561"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2EFB3DCF">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废机油</w:t>
            </w:r>
          </w:p>
        </w:tc>
        <w:tc>
          <w:tcPr>
            <w:tcW w:w="925"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4B0A8E21">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设备维护</w:t>
            </w:r>
          </w:p>
        </w:tc>
        <w:tc>
          <w:tcPr>
            <w:tcW w:w="932"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7889D3AA">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危险废物</w:t>
            </w:r>
          </w:p>
        </w:tc>
        <w:tc>
          <w:tcPr>
            <w:tcW w:w="1083"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52EE2B90">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900-214-08</w:t>
            </w:r>
          </w:p>
        </w:tc>
        <w:tc>
          <w:tcPr>
            <w:tcW w:w="774" w:type="dxa"/>
            <w:tcBorders>
              <w:top w:val="single" w:color="auto" w:sz="4" w:space="0"/>
              <w:left w:val="single" w:color="auto" w:sz="4" w:space="0"/>
              <w:bottom w:val="single" w:color="auto" w:sz="4" w:space="0"/>
              <w:right w:val="single" w:color="auto" w:sz="4" w:space="0"/>
            </w:tcBorders>
            <w:shd w:val="clear" w:color="auto" w:fill="auto"/>
            <w:noWrap w:val="0"/>
            <w:tcMar>
              <w:top w:w="0" w:type="dxa"/>
              <w:left w:w="28" w:type="dxa"/>
              <w:bottom w:w="0" w:type="dxa"/>
              <w:right w:w="28" w:type="dxa"/>
            </w:tcMar>
            <w:vAlign w:val="center"/>
          </w:tcPr>
          <w:p w14:paraId="7DEEC988">
            <w:pPr>
              <w:pStyle w:val="834"/>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0</w:t>
            </w:r>
          </w:p>
        </w:tc>
        <w:tc>
          <w:tcPr>
            <w:tcW w:w="1407"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3344AEBC">
            <w:pPr>
              <w:pStyle w:val="834"/>
              <w:jc w:val="center"/>
              <w:rPr>
                <w:rFonts w:hint="default" w:ascii="Arial" w:hAnsi="Arial" w:eastAsia="宋体" w:cs="Arial"/>
                <w:sz w:val="21"/>
                <w:szCs w:val="21"/>
              </w:rPr>
            </w:pP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108EB3B">
            <w:pPr>
              <w:pStyle w:val="834"/>
              <w:jc w:val="center"/>
              <w:rPr>
                <w:rFonts w:hint="default" w:ascii="Arial" w:hAnsi="Arial" w:eastAsia="宋体" w:cs="Arial"/>
                <w:sz w:val="21"/>
                <w:szCs w:val="21"/>
              </w:rPr>
            </w:pPr>
            <w:r>
              <w:rPr>
                <w:rFonts w:hint="default" w:ascii="Arial" w:hAnsi="Arial" w:eastAsia="宋体" w:cs="Arial"/>
                <w:sz w:val="21"/>
                <w:szCs w:val="21"/>
              </w:rPr>
              <w:t>0</w:t>
            </w:r>
          </w:p>
        </w:tc>
      </w:tr>
      <w:tr w14:paraId="480F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F9755CC">
            <w:pPr>
              <w:pStyle w:val="834"/>
              <w:jc w:val="center"/>
              <w:rPr>
                <w:rFonts w:hint="default" w:ascii="Arial" w:hAnsi="Arial" w:eastAsia="宋体" w:cs="Arial"/>
                <w:sz w:val="21"/>
                <w:szCs w:val="21"/>
              </w:rPr>
            </w:pPr>
            <w:r>
              <w:rPr>
                <w:rFonts w:hint="default" w:ascii="Arial" w:hAnsi="Arial" w:eastAsia="宋体" w:cs="Arial"/>
                <w:sz w:val="21"/>
                <w:szCs w:val="21"/>
              </w:rPr>
              <w:t>6</w:t>
            </w:r>
          </w:p>
        </w:tc>
        <w:tc>
          <w:tcPr>
            <w:tcW w:w="156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A851A06">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一般废包装材料</w:t>
            </w:r>
          </w:p>
        </w:tc>
        <w:tc>
          <w:tcPr>
            <w:tcW w:w="92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12631C74">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原料使用</w:t>
            </w:r>
          </w:p>
        </w:tc>
        <w:tc>
          <w:tcPr>
            <w:tcW w:w="93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D4A8278">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一般固废</w:t>
            </w:r>
          </w:p>
        </w:tc>
        <w:tc>
          <w:tcPr>
            <w:tcW w:w="108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A1AF142">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w:t>
            </w:r>
          </w:p>
        </w:tc>
        <w:tc>
          <w:tcPr>
            <w:tcW w:w="77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358805C">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3</w:t>
            </w:r>
          </w:p>
        </w:tc>
        <w:tc>
          <w:tcPr>
            <w:tcW w:w="1407" w:type="dxa"/>
            <w:vMerge w:val="restart"/>
            <w:tcBorders>
              <w:top w:val="nil"/>
              <w:left w:val="single" w:color="auto" w:sz="4" w:space="0"/>
              <w:right w:val="single" w:color="auto" w:sz="4" w:space="0"/>
            </w:tcBorders>
            <w:noWrap w:val="0"/>
            <w:tcMar>
              <w:top w:w="0" w:type="dxa"/>
              <w:left w:w="28" w:type="dxa"/>
              <w:bottom w:w="0" w:type="dxa"/>
              <w:right w:w="28" w:type="dxa"/>
            </w:tcMar>
            <w:vAlign w:val="center"/>
          </w:tcPr>
          <w:p w14:paraId="0BAB941F">
            <w:pPr>
              <w:pStyle w:val="834"/>
              <w:jc w:val="center"/>
              <w:rPr>
                <w:rFonts w:hint="default" w:ascii="Arial" w:hAnsi="Arial" w:eastAsia="宋体" w:cs="Arial"/>
                <w:sz w:val="21"/>
                <w:szCs w:val="21"/>
              </w:rPr>
            </w:pPr>
            <w:r>
              <w:rPr>
                <w:rFonts w:hint="default" w:ascii="Arial" w:hAnsi="Arial" w:eastAsia="宋体" w:cs="Arial"/>
                <w:sz w:val="21"/>
                <w:szCs w:val="21"/>
              </w:rPr>
              <w:t>出售给回收公司综合利用</w:t>
            </w: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D7B3120">
            <w:pPr>
              <w:pStyle w:val="834"/>
              <w:jc w:val="center"/>
              <w:rPr>
                <w:rFonts w:hint="default" w:ascii="Arial" w:hAnsi="Arial" w:eastAsia="宋体" w:cs="Arial"/>
                <w:sz w:val="21"/>
                <w:szCs w:val="21"/>
              </w:rPr>
            </w:pPr>
            <w:r>
              <w:rPr>
                <w:rFonts w:hint="default" w:ascii="Arial" w:hAnsi="Arial" w:eastAsia="宋体" w:cs="Arial"/>
                <w:sz w:val="21"/>
                <w:szCs w:val="21"/>
              </w:rPr>
              <w:t>0</w:t>
            </w:r>
          </w:p>
        </w:tc>
      </w:tr>
      <w:tr w14:paraId="0FD4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3C1B445">
            <w:pPr>
              <w:pStyle w:val="834"/>
              <w:jc w:val="center"/>
              <w:rPr>
                <w:rFonts w:hint="default" w:ascii="Arial" w:hAnsi="Arial" w:eastAsia="宋体" w:cs="Arial"/>
                <w:sz w:val="21"/>
                <w:szCs w:val="21"/>
              </w:rPr>
            </w:pPr>
            <w:r>
              <w:rPr>
                <w:rFonts w:hint="default" w:ascii="Arial" w:hAnsi="Arial" w:eastAsia="宋体" w:cs="Arial"/>
                <w:sz w:val="21"/>
                <w:szCs w:val="21"/>
              </w:rPr>
              <w:t>7</w:t>
            </w:r>
          </w:p>
        </w:tc>
        <w:tc>
          <w:tcPr>
            <w:tcW w:w="156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2206670">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金属边角料</w:t>
            </w:r>
          </w:p>
        </w:tc>
        <w:tc>
          <w:tcPr>
            <w:tcW w:w="92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1581121">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机加工</w:t>
            </w:r>
          </w:p>
        </w:tc>
        <w:tc>
          <w:tcPr>
            <w:tcW w:w="93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AC52367">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一般固废</w:t>
            </w:r>
          </w:p>
        </w:tc>
        <w:tc>
          <w:tcPr>
            <w:tcW w:w="108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6D6C222B">
            <w:pPr>
              <w:pStyle w:val="834"/>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w:t>
            </w:r>
          </w:p>
        </w:tc>
        <w:tc>
          <w:tcPr>
            <w:tcW w:w="77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A3D58D5">
            <w:pPr>
              <w:pStyle w:val="834"/>
              <w:jc w:val="center"/>
              <w:rPr>
                <w:rFonts w:hint="default" w:ascii="Arial" w:hAnsi="Arial" w:eastAsia="宋体" w:cs="Arial"/>
                <w:sz w:val="21"/>
                <w:szCs w:val="21"/>
                <w:lang w:val="en-US" w:eastAsia="zh-CN"/>
              </w:rPr>
            </w:pPr>
            <w:r>
              <w:rPr>
                <w:rFonts w:hint="default" w:ascii="Arial" w:hAnsi="Arial" w:cs="Arial"/>
                <w:sz w:val="21"/>
                <w:szCs w:val="21"/>
                <w:lang w:val="en-US" w:eastAsia="zh-CN"/>
              </w:rPr>
              <w:t>200</w:t>
            </w:r>
          </w:p>
        </w:tc>
        <w:tc>
          <w:tcPr>
            <w:tcW w:w="1407" w:type="dxa"/>
            <w:vMerge w:val="continue"/>
            <w:tcBorders>
              <w:left w:val="single" w:color="auto" w:sz="4" w:space="0"/>
              <w:right w:val="single" w:color="auto" w:sz="4" w:space="0"/>
            </w:tcBorders>
            <w:noWrap w:val="0"/>
            <w:tcMar>
              <w:top w:w="0" w:type="dxa"/>
              <w:left w:w="28" w:type="dxa"/>
              <w:bottom w:w="0" w:type="dxa"/>
              <w:right w:w="28" w:type="dxa"/>
            </w:tcMar>
            <w:vAlign w:val="center"/>
          </w:tcPr>
          <w:p w14:paraId="2B3FBA6C">
            <w:pPr>
              <w:pStyle w:val="834"/>
              <w:jc w:val="center"/>
              <w:rPr>
                <w:rFonts w:hint="default" w:ascii="Arial" w:hAnsi="Arial" w:eastAsia="宋体" w:cs="Arial"/>
                <w:sz w:val="21"/>
                <w:szCs w:val="21"/>
              </w:rPr>
            </w:pP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A706B9A">
            <w:pPr>
              <w:pStyle w:val="834"/>
              <w:jc w:val="center"/>
              <w:rPr>
                <w:rFonts w:hint="default" w:ascii="Arial" w:hAnsi="Arial" w:eastAsia="宋体" w:cs="Arial"/>
                <w:sz w:val="21"/>
                <w:szCs w:val="21"/>
              </w:rPr>
            </w:pPr>
            <w:r>
              <w:rPr>
                <w:rFonts w:hint="default" w:ascii="Arial" w:hAnsi="Arial" w:eastAsia="宋体" w:cs="Arial"/>
                <w:sz w:val="21"/>
                <w:szCs w:val="21"/>
              </w:rPr>
              <w:t>0</w:t>
            </w:r>
          </w:p>
        </w:tc>
      </w:tr>
      <w:tr w14:paraId="34B2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306B1BE">
            <w:pPr>
              <w:pStyle w:val="834"/>
              <w:jc w:val="center"/>
              <w:rPr>
                <w:rFonts w:hint="default" w:ascii="Arial" w:hAnsi="Arial" w:eastAsia="宋体" w:cs="Arial"/>
                <w:sz w:val="21"/>
                <w:szCs w:val="21"/>
              </w:rPr>
            </w:pPr>
            <w:r>
              <w:rPr>
                <w:rFonts w:hint="default" w:ascii="Arial" w:hAnsi="Arial" w:eastAsia="宋体" w:cs="Arial"/>
                <w:sz w:val="21"/>
                <w:szCs w:val="21"/>
              </w:rPr>
              <w:t>--</w:t>
            </w:r>
          </w:p>
        </w:tc>
        <w:tc>
          <w:tcPr>
            <w:tcW w:w="4501" w:type="dxa"/>
            <w:gridSpan w:val="4"/>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796F9ED">
            <w:pPr>
              <w:pStyle w:val="834"/>
              <w:jc w:val="center"/>
              <w:rPr>
                <w:rFonts w:hint="default" w:ascii="Arial" w:hAnsi="Arial" w:eastAsia="宋体" w:cs="Arial"/>
                <w:sz w:val="21"/>
                <w:szCs w:val="21"/>
              </w:rPr>
            </w:pPr>
            <w:r>
              <w:rPr>
                <w:rFonts w:hint="default" w:ascii="Arial" w:hAnsi="Arial" w:eastAsia="宋体" w:cs="Arial"/>
                <w:sz w:val="21"/>
                <w:szCs w:val="21"/>
              </w:rPr>
              <w:t>工业固废小计</w:t>
            </w:r>
          </w:p>
        </w:tc>
        <w:tc>
          <w:tcPr>
            <w:tcW w:w="77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3AD5BF1A">
            <w:pPr>
              <w:pStyle w:val="834"/>
              <w:jc w:val="center"/>
              <w:rPr>
                <w:rFonts w:hint="default" w:ascii="Arial" w:hAnsi="Arial" w:eastAsia="宋体" w:cs="Arial"/>
                <w:sz w:val="21"/>
                <w:szCs w:val="21"/>
                <w:lang w:val="en-US" w:eastAsia="zh-CN"/>
              </w:rPr>
            </w:pPr>
            <w:r>
              <w:rPr>
                <w:rFonts w:hint="eastAsia" w:cs="Arial"/>
                <w:sz w:val="21"/>
                <w:szCs w:val="21"/>
                <w:lang w:val="en-US" w:eastAsia="zh-CN"/>
              </w:rPr>
              <w:t>302.56</w:t>
            </w:r>
          </w:p>
        </w:tc>
        <w:tc>
          <w:tcPr>
            <w:tcW w:w="1407"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EA01059">
            <w:pPr>
              <w:pStyle w:val="834"/>
              <w:jc w:val="center"/>
              <w:rPr>
                <w:rFonts w:hint="default" w:ascii="Arial" w:hAnsi="Arial" w:eastAsia="宋体" w:cs="Arial"/>
                <w:sz w:val="21"/>
                <w:szCs w:val="21"/>
              </w:rPr>
            </w:pPr>
            <w:r>
              <w:rPr>
                <w:rFonts w:hint="default" w:ascii="Arial" w:hAnsi="Arial" w:eastAsia="宋体" w:cs="Arial"/>
                <w:sz w:val="21"/>
                <w:szCs w:val="21"/>
              </w:rPr>
              <w:t>--</w:t>
            </w: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37E6458">
            <w:pPr>
              <w:pStyle w:val="834"/>
              <w:jc w:val="center"/>
              <w:rPr>
                <w:rFonts w:hint="default" w:ascii="Arial" w:hAnsi="Arial" w:eastAsia="宋体" w:cs="Arial"/>
                <w:sz w:val="21"/>
                <w:szCs w:val="21"/>
              </w:rPr>
            </w:pPr>
            <w:r>
              <w:rPr>
                <w:rFonts w:hint="default" w:ascii="Arial" w:hAnsi="Arial" w:eastAsia="宋体" w:cs="Arial"/>
                <w:sz w:val="21"/>
                <w:szCs w:val="21"/>
              </w:rPr>
              <w:t>0</w:t>
            </w:r>
          </w:p>
        </w:tc>
      </w:tr>
      <w:tr w14:paraId="7CA7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jc w:val="center"/>
        </w:trPr>
        <w:tc>
          <w:tcPr>
            <w:tcW w:w="44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17CF99A">
            <w:pPr>
              <w:pStyle w:val="834"/>
              <w:jc w:val="center"/>
              <w:rPr>
                <w:rFonts w:hint="default" w:ascii="Arial" w:hAnsi="Arial" w:eastAsia="宋体" w:cs="Arial"/>
                <w:sz w:val="21"/>
                <w:szCs w:val="21"/>
                <w:lang w:val="en-US" w:eastAsia="zh-CN"/>
              </w:rPr>
            </w:pPr>
            <w:r>
              <w:rPr>
                <w:rFonts w:hint="eastAsia" w:cs="Arial"/>
                <w:sz w:val="21"/>
                <w:szCs w:val="21"/>
                <w:lang w:val="en-US" w:eastAsia="zh-CN"/>
              </w:rPr>
              <w:t>8</w:t>
            </w:r>
          </w:p>
        </w:tc>
        <w:tc>
          <w:tcPr>
            <w:tcW w:w="1561"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27B65942">
            <w:pPr>
              <w:pStyle w:val="834"/>
              <w:jc w:val="center"/>
              <w:rPr>
                <w:rFonts w:hint="default" w:ascii="Arial" w:hAnsi="Arial" w:eastAsia="宋体" w:cs="Arial"/>
                <w:sz w:val="21"/>
                <w:szCs w:val="21"/>
              </w:rPr>
            </w:pPr>
            <w:r>
              <w:rPr>
                <w:rFonts w:hint="default" w:ascii="Arial" w:hAnsi="Arial" w:eastAsia="宋体" w:cs="Arial"/>
                <w:sz w:val="21"/>
                <w:szCs w:val="21"/>
              </w:rPr>
              <w:t>生活垃圾</w:t>
            </w:r>
          </w:p>
        </w:tc>
        <w:tc>
          <w:tcPr>
            <w:tcW w:w="925"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A11425C">
            <w:pPr>
              <w:pStyle w:val="834"/>
              <w:jc w:val="center"/>
              <w:rPr>
                <w:rFonts w:hint="default" w:ascii="Arial" w:hAnsi="Arial" w:eastAsia="宋体" w:cs="Arial"/>
                <w:sz w:val="21"/>
                <w:szCs w:val="21"/>
              </w:rPr>
            </w:pPr>
            <w:r>
              <w:rPr>
                <w:rFonts w:hint="default" w:ascii="Arial" w:hAnsi="Arial" w:eastAsia="宋体" w:cs="Arial"/>
                <w:sz w:val="21"/>
                <w:szCs w:val="21"/>
              </w:rPr>
              <w:t>职工生活</w:t>
            </w:r>
          </w:p>
        </w:tc>
        <w:tc>
          <w:tcPr>
            <w:tcW w:w="932"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75967FE0">
            <w:pPr>
              <w:pStyle w:val="834"/>
              <w:jc w:val="center"/>
              <w:rPr>
                <w:rFonts w:hint="default" w:ascii="Arial" w:hAnsi="Arial" w:eastAsia="宋体" w:cs="Arial"/>
                <w:sz w:val="21"/>
                <w:szCs w:val="21"/>
              </w:rPr>
            </w:pPr>
            <w:r>
              <w:rPr>
                <w:rFonts w:hint="default" w:ascii="Arial" w:hAnsi="Arial" w:eastAsia="宋体" w:cs="Arial"/>
                <w:sz w:val="21"/>
                <w:szCs w:val="21"/>
              </w:rPr>
              <w:t>--</w:t>
            </w:r>
          </w:p>
        </w:tc>
        <w:tc>
          <w:tcPr>
            <w:tcW w:w="1083"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4EDD1538">
            <w:pPr>
              <w:pStyle w:val="834"/>
              <w:jc w:val="center"/>
              <w:rPr>
                <w:rFonts w:hint="default" w:ascii="Arial" w:hAnsi="Arial" w:eastAsia="宋体" w:cs="Arial"/>
                <w:sz w:val="21"/>
                <w:szCs w:val="21"/>
              </w:rPr>
            </w:pPr>
            <w:r>
              <w:rPr>
                <w:rFonts w:hint="default" w:ascii="Arial" w:hAnsi="Arial" w:eastAsia="宋体" w:cs="Arial"/>
                <w:sz w:val="21"/>
                <w:szCs w:val="21"/>
              </w:rPr>
              <w:t>--</w:t>
            </w:r>
          </w:p>
        </w:tc>
        <w:tc>
          <w:tcPr>
            <w:tcW w:w="774"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C2A608C">
            <w:pPr>
              <w:pStyle w:val="834"/>
              <w:jc w:val="center"/>
              <w:rPr>
                <w:rFonts w:hint="default" w:ascii="Arial" w:hAnsi="Arial" w:eastAsia="宋体" w:cs="Arial"/>
                <w:sz w:val="21"/>
                <w:szCs w:val="21"/>
              </w:rPr>
            </w:pPr>
            <w:r>
              <w:rPr>
                <w:rFonts w:hint="default" w:ascii="Arial" w:hAnsi="Arial" w:eastAsia="宋体" w:cs="Arial"/>
                <w:sz w:val="21"/>
                <w:szCs w:val="21"/>
              </w:rPr>
              <w:t>35</w:t>
            </w:r>
          </w:p>
        </w:tc>
        <w:tc>
          <w:tcPr>
            <w:tcW w:w="1407"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09F611B6">
            <w:pPr>
              <w:pStyle w:val="834"/>
              <w:jc w:val="center"/>
              <w:rPr>
                <w:rFonts w:hint="default" w:ascii="Arial" w:hAnsi="Arial" w:eastAsia="宋体" w:cs="Arial"/>
                <w:sz w:val="21"/>
                <w:szCs w:val="21"/>
              </w:rPr>
            </w:pPr>
            <w:r>
              <w:rPr>
                <w:rFonts w:hint="default" w:ascii="Arial" w:hAnsi="Arial" w:eastAsia="宋体" w:cs="Arial"/>
                <w:sz w:val="21"/>
                <w:szCs w:val="21"/>
              </w:rPr>
              <w:t>环卫清运</w:t>
            </w:r>
          </w:p>
        </w:tc>
        <w:tc>
          <w:tcPr>
            <w:tcW w:w="810" w:type="dxa"/>
            <w:tcBorders>
              <w:top w:val="single" w:color="auto" w:sz="4" w:space="0"/>
              <w:left w:val="single" w:color="auto" w:sz="4" w:space="0"/>
              <w:bottom w:val="single" w:color="auto" w:sz="4" w:space="0"/>
              <w:right w:val="single" w:color="auto" w:sz="4" w:space="0"/>
            </w:tcBorders>
            <w:noWrap w:val="0"/>
            <w:tcMar>
              <w:top w:w="0" w:type="dxa"/>
              <w:left w:w="28" w:type="dxa"/>
              <w:bottom w:w="0" w:type="dxa"/>
              <w:right w:w="28" w:type="dxa"/>
            </w:tcMar>
            <w:vAlign w:val="center"/>
          </w:tcPr>
          <w:p w14:paraId="595B5E04">
            <w:pPr>
              <w:pStyle w:val="834"/>
              <w:jc w:val="center"/>
              <w:rPr>
                <w:rFonts w:hint="default" w:ascii="Arial" w:hAnsi="Arial" w:eastAsia="宋体" w:cs="Arial"/>
                <w:sz w:val="21"/>
                <w:szCs w:val="21"/>
              </w:rPr>
            </w:pPr>
            <w:r>
              <w:rPr>
                <w:rFonts w:hint="default" w:ascii="Arial" w:hAnsi="Arial" w:eastAsia="宋体" w:cs="Arial"/>
                <w:sz w:val="21"/>
                <w:szCs w:val="21"/>
              </w:rPr>
              <w:t>0</w:t>
            </w:r>
          </w:p>
        </w:tc>
      </w:tr>
      <w:bookmarkEnd w:id="7"/>
    </w:tbl>
    <w:p w14:paraId="6D72E9F2">
      <w:pPr>
        <w:pStyle w:val="76"/>
        <w:numPr>
          <w:ilvl w:val="2"/>
          <w:numId w:val="4"/>
        </w:numPr>
        <w:spacing w:line="360" w:lineRule="auto"/>
        <w:ind w:left="568" w:hanging="284" w:firstLineChars="0"/>
        <w:outlineLvl w:val="2"/>
        <w:rPr>
          <w:rFonts w:hint="default" w:ascii="Arial" w:hAnsi="Arial" w:eastAsia="宋体" w:cs="Arial"/>
          <w:b/>
          <w:bCs/>
          <w:sz w:val="24"/>
          <w:szCs w:val="24"/>
        </w:rPr>
      </w:pPr>
      <w:bookmarkStart w:id="8" w:name="_Hlk166437608"/>
      <w:r>
        <w:rPr>
          <w:rFonts w:hint="default" w:ascii="Arial" w:hAnsi="Arial" w:eastAsia="宋体" w:cs="Arial"/>
          <w:b/>
          <w:bCs/>
          <w:sz w:val="24"/>
          <w:szCs w:val="24"/>
        </w:rPr>
        <w:t>现有工程污染源强汇总</w:t>
      </w:r>
    </w:p>
    <w:p w14:paraId="1D227273">
      <w:pPr>
        <w:pStyle w:val="76"/>
        <w:spacing w:line="360" w:lineRule="auto"/>
        <w:ind w:left="105" w:leftChars="50" w:right="105" w:rightChars="50" w:firstLine="480"/>
        <w:rPr>
          <w:rFonts w:hint="default" w:ascii="Arial" w:hAnsi="Arial" w:eastAsia="宋体" w:cs="Arial"/>
          <w:sz w:val="24"/>
          <w:szCs w:val="24"/>
        </w:rPr>
      </w:pPr>
      <w:r>
        <w:rPr>
          <w:rFonts w:hint="default" w:ascii="Arial" w:hAnsi="Arial" w:eastAsia="宋体" w:cs="Arial"/>
          <w:sz w:val="24"/>
          <w:szCs w:val="24"/>
        </w:rPr>
        <w:t>企业</w:t>
      </w:r>
      <w:r>
        <w:rPr>
          <w:rFonts w:hint="default" w:ascii="Arial" w:hAnsi="Arial" w:eastAsia="宋体" w:cs="Arial"/>
          <w:bCs/>
          <w:sz w:val="24"/>
          <w:szCs w:val="24"/>
        </w:rPr>
        <w:t>现有工程</w:t>
      </w:r>
      <w:r>
        <w:rPr>
          <w:rFonts w:hint="default" w:ascii="Arial" w:hAnsi="Arial" w:eastAsia="宋体" w:cs="Arial"/>
          <w:sz w:val="24"/>
          <w:szCs w:val="24"/>
        </w:rPr>
        <w:t>核</w:t>
      </w:r>
      <w:r>
        <w:rPr>
          <w:rFonts w:hint="default" w:ascii="Arial" w:hAnsi="Arial" w:eastAsia="宋体" w:cs="Arial"/>
          <w:color w:val="000000" w:themeColor="text1"/>
          <w:sz w:val="24"/>
          <w:szCs w:val="24"/>
          <w14:textFill>
            <w14:solidFill>
              <w14:schemeClr w14:val="tx1"/>
            </w14:solidFill>
          </w14:textFill>
        </w:rPr>
        <w:t>定的污染物总量控制指标为：废水量</w:t>
      </w:r>
      <w:r>
        <w:rPr>
          <w:rFonts w:hint="default" w:ascii="Arial" w:hAnsi="Arial" w:eastAsia="宋体" w:cs="Arial"/>
          <w:color w:val="000000" w:themeColor="text1"/>
          <w:sz w:val="24"/>
          <w:szCs w:val="24"/>
          <w:lang w:val="en-US" w:eastAsia="zh-CN"/>
          <w14:textFill>
            <w14:solidFill>
              <w14:schemeClr w14:val="tx1"/>
            </w14:solidFill>
          </w14:textFill>
        </w:rPr>
        <w:t>9000</w:t>
      </w:r>
      <w:r>
        <w:rPr>
          <w:rFonts w:hint="default" w:ascii="Arial" w:hAnsi="Arial" w:eastAsia="宋体" w:cs="Arial"/>
          <w:color w:val="000000" w:themeColor="text1"/>
          <w:sz w:val="24"/>
          <w:szCs w:val="24"/>
          <w14:textFill>
            <w14:solidFill>
              <w14:schemeClr w14:val="tx1"/>
            </w14:solidFill>
          </w14:textFill>
        </w:rPr>
        <w:t>t/a、COD</w:t>
      </w:r>
      <w:r>
        <w:rPr>
          <w:rFonts w:hint="default" w:ascii="Arial" w:hAnsi="Arial" w:eastAsia="宋体" w:cs="Arial"/>
          <w:color w:val="000000" w:themeColor="text1"/>
          <w:sz w:val="24"/>
          <w:szCs w:val="24"/>
          <w:vertAlign w:val="subscript"/>
          <w14:textFill>
            <w14:solidFill>
              <w14:schemeClr w14:val="tx1"/>
            </w14:solidFill>
          </w14:textFill>
        </w:rPr>
        <w:t>Cr</w:t>
      </w:r>
      <w:r>
        <w:rPr>
          <w:rFonts w:hint="default" w:ascii="Arial" w:hAnsi="Arial" w:eastAsia="宋体" w:cs="Arial"/>
          <w:color w:val="000000" w:themeColor="text1"/>
          <w:sz w:val="24"/>
          <w:szCs w:val="24"/>
          <w14:textFill>
            <w14:solidFill>
              <w14:schemeClr w14:val="tx1"/>
            </w14:solidFill>
          </w14:textFill>
        </w:rPr>
        <w:t>0.</w:t>
      </w:r>
      <w:r>
        <w:rPr>
          <w:rFonts w:hint="default" w:ascii="Arial" w:hAnsi="Arial" w:eastAsia="宋体" w:cs="Arial"/>
          <w:color w:val="000000" w:themeColor="text1"/>
          <w:sz w:val="24"/>
          <w:szCs w:val="24"/>
          <w:lang w:val="en-US" w:eastAsia="zh-CN"/>
          <w14:textFill>
            <w14:solidFill>
              <w14:schemeClr w14:val="tx1"/>
            </w14:solidFill>
          </w14:textFill>
        </w:rPr>
        <w:t>360</w:t>
      </w:r>
      <w:r>
        <w:rPr>
          <w:rFonts w:hint="default" w:ascii="Arial" w:hAnsi="Arial" w:eastAsia="宋体" w:cs="Arial"/>
          <w:color w:val="000000" w:themeColor="text1"/>
          <w:sz w:val="24"/>
          <w:szCs w:val="24"/>
          <w14:textFill>
            <w14:solidFill>
              <w14:schemeClr w14:val="tx1"/>
            </w14:solidFill>
          </w14:textFill>
        </w:rPr>
        <w:t>t/a、NH</w:t>
      </w:r>
      <w:r>
        <w:rPr>
          <w:rFonts w:hint="default" w:ascii="Arial" w:hAnsi="Arial" w:eastAsia="宋体" w:cs="Arial"/>
          <w:color w:val="000000" w:themeColor="text1"/>
          <w:sz w:val="24"/>
          <w:szCs w:val="24"/>
          <w:vertAlign w:val="subscript"/>
          <w14:textFill>
            <w14:solidFill>
              <w14:schemeClr w14:val="tx1"/>
            </w14:solidFill>
          </w14:textFill>
        </w:rPr>
        <w:t>3</w:t>
      </w:r>
      <w:r>
        <w:rPr>
          <w:rFonts w:hint="default" w:ascii="Arial" w:hAnsi="Arial" w:eastAsia="宋体" w:cs="Arial"/>
          <w:color w:val="000000" w:themeColor="text1"/>
          <w:sz w:val="24"/>
          <w:szCs w:val="24"/>
          <w14:textFill>
            <w14:solidFill>
              <w14:schemeClr w14:val="tx1"/>
            </w14:solidFill>
          </w14:textFill>
        </w:rPr>
        <w:t>-N0.0</w:t>
      </w:r>
      <w:r>
        <w:rPr>
          <w:rFonts w:hint="default" w:ascii="Arial" w:hAnsi="Arial" w:eastAsia="宋体" w:cs="Arial"/>
          <w:color w:val="000000" w:themeColor="text1"/>
          <w:sz w:val="24"/>
          <w:szCs w:val="24"/>
          <w:lang w:val="en-US" w:eastAsia="zh-CN"/>
          <w14:textFill>
            <w14:solidFill>
              <w14:schemeClr w14:val="tx1"/>
            </w14:solidFill>
          </w14:textFill>
        </w:rPr>
        <w:t>18</w:t>
      </w:r>
      <w:r>
        <w:rPr>
          <w:rFonts w:hint="default" w:ascii="Arial" w:hAnsi="Arial" w:eastAsia="宋体" w:cs="Arial"/>
          <w:color w:val="000000" w:themeColor="text1"/>
          <w:sz w:val="24"/>
          <w:szCs w:val="24"/>
          <w14:textFill>
            <w14:solidFill>
              <w14:schemeClr w14:val="tx1"/>
            </w14:solidFill>
          </w14:textFill>
        </w:rPr>
        <w:t>t/a。</w:t>
      </w:r>
      <w:r>
        <w:rPr>
          <w:rFonts w:hint="default" w:ascii="Arial" w:hAnsi="Arial" w:eastAsia="宋体" w:cs="Arial"/>
          <w:color w:val="000000" w:themeColor="text1"/>
          <w:sz w:val="24"/>
          <w:szCs w:val="24"/>
          <w:highlight w:val="none"/>
          <w14:textFill>
            <w14:solidFill>
              <w14:schemeClr w14:val="tx1"/>
            </w14:solidFill>
          </w14:textFill>
        </w:rPr>
        <w:t>由表2-</w:t>
      </w:r>
      <w:r>
        <w:rPr>
          <w:rFonts w:hint="eastAsia" w:ascii="Arial" w:hAnsi="Arial" w:eastAsia="宋体" w:cs="Arial"/>
          <w:color w:val="000000" w:themeColor="text1"/>
          <w:sz w:val="24"/>
          <w:szCs w:val="24"/>
          <w:highlight w:val="none"/>
          <w:lang w:val="en-US" w:eastAsia="zh-CN"/>
          <w14:textFill>
            <w14:solidFill>
              <w14:schemeClr w14:val="tx1"/>
            </w14:solidFill>
          </w14:textFill>
        </w:rPr>
        <w:t>20</w:t>
      </w:r>
      <w:r>
        <w:rPr>
          <w:rFonts w:hint="default" w:ascii="Arial" w:hAnsi="Arial" w:eastAsia="宋体" w:cs="Arial"/>
          <w:color w:val="000000" w:themeColor="text1"/>
          <w:sz w:val="24"/>
          <w:szCs w:val="24"/>
          <w14:textFill>
            <w14:solidFill>
              <w14:schemeClr w14:val="tx1"/>
            </w14:solidFill>
          </w14:textFill>
        </w:rPr>
        <w:t>可见，现企业已建工程达产后生产废水、COD</w:t>
      </w:r>
      <w:r>
        <w:rPr>
          <w:rFonts w:hint="default" w:ascii="Arial" w:hAnsi="Arial" w:eastAsia="宋体" w:cs="Arial"/>
          <w:color w:val="000000" w:themeColor="text1"/>
          <w:sz w:val="24"/>
          <w:szCs w:val="24"/>
          <w:vertAlign w:val="subscript"/>
          <w14:textFill>
            <w14:solidFill>
              <w14:schemeClr w14:val="tx1"/>
            </w14:solidFill>
          </w14:textFill>
        </w:rPr>
        <w:t>Cr</w:t>
      </w:r>
      <w:r>
        <w:rPr>
          <w:rFonts w:hint="default" w:ascii="Arial" w:hAnsi="Arial" w:eastAsia="宋体" w:cs="Arial"/>
          <w:color w:val="000000" w:themeColor="text1"/>
          <w:sz w:val="24"/>
          <w:szCs w:val="24"/>
          <w14:textFill>
            <w14:solidFill>
              <w14:schemeClr w14:val="tx1"/>
            </w14:solidFill>
          </w14:textFill>
        </w:rPr>
        <w:t>、NH</w:t>
      </w:r>
      <w:r>
        <w:rPr>
          <w:rFonts w:hint="default" w:ascii="Arial" w:hAnsi="Arial" w:eastAsia="宋体" w:cs="Arial"/>
          <w:color w:val="000000" w:themeColor="text1"/>
          <w:sz w:val="24"/>
          <w:szCs w:val="24"/>
          <w:vertAlign w:val="subscript"/>
          <w14:textFill>
            <w14:solidFill>
              <w14:schemeClr w14:val="tx1"/>
            </w14:solidFill>
          </w14:textFill>
        </w:rPr>
        <w:t>3</w:t>
      </w:r>
      <w:r>
        <w:rPr>
          <w:rFonts w:hint="default" w:ascii="Arial" w:hAnsi="Arial" w:eastAsia="宋体" w:cs="Arial"/>
          <w:color w:val="000000" w:themeColor="text1"/>
          <w:sz w:val="24"/>
          <w:szCs w:val="24"/>
          <w14:textFill>
            <w14:solidFill>
              <w14:schemeClr w14:val="tx1"/>
            </w14:solidFill>
          </w14:textFill>
        </w:rPr>
        <w:t>-N的环境排放量均在原环评的核定范围内。企业现有工程已建生产设备数量和原辅材用量在原环评核定范围内，生产工艺与</w:t>
      </w:r>
      <w:r>
        <w:rPr>
          <w:rFonts w:hint="default" w:ascii="Arial" w:hAnsi="Arial" w:eastAsia="宋体" w:cs="Arial"/>
          <w:color w:val="000000" w:themeColor="text1"/>
          <w:sz w:val="24"/>
          <w:szCs w:val="24"/>
          <w:lang w:val="en-US" w:eastAsia="zh-CN"/>
          <w14:textFill>
            <w14:solidFill>
              <w14:schemeClr w14:val="tx1"/>
            </w14:solidFill>
          </w14:textFill>
        </w:rPr>
        <w:t>验</w:t>
      </w:r>
      <w:r>
        <w:rPr>
          <w:rFonts w:hint="eastAsia" w:ascii="Arial" w:hAnsi="Arial" w:eastAsia="宋体" w:cs="Arial"/>
          <w:color w:val="000000" w:themeColor="text1"/>
          <w:sz w:val="24"/>
          <w:szCs w:val="24"/>
          <w:lang w:val="en-US" w:eastAsia="zh-CN"/>
          <w14:textFill>
            <w14:solidFill>
              <w14:schemeClr w14:val="tx1"/>
            </w14:solidFill>
          </w14:textFill>
        </w:rPr>
        <w:t>收相比减少焊接、下料工序，不涉及重大</w:t>
      </w:r>
      <w:r>
        <w:rPr>
          <w:rFonts w:hint="eastAsia" w:ascii="Arial" w:hAnsi="Arial" w:eastAsia="宋体" w:cs="Arial"/>
          <w:sz w:val="24"/>
          <w:szCs w:val="24"/>
          <w:lang w:val="en-US" w:eastAsia="zh-CN"/>
        </w:rPr>
        <w:t>变更</w:t>
      </w:r>
      <w:r>
        <w:rPr>
          <w:rFonts w:hint="default" w:ascii="Arial" w:hAnsi="Arial" w:eastAsia="宋体" w:cs="Arial"/>
          <w:sz w:val="24"/>
          <w:szCs w:val="24"/>
        </w:rPr>
        <w:t>。</w:t>
      </w:r>
      <w:bookmarkEnd w:id="8"/>
    </w:p>
    <w:p w14:paraId="5BDDF9AA">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现有工程污染源强汇总</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34"/>
        <w:gridCol w:w="1308"/>
        <w:gridCol w:w="2240"/>
        <w:gridCol w:w="2130"/>
      </w:tblGrid>
      <w:tr w14:paraId="0D8B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blHeader/>
          <w:jc w:val="center"/>
        </w:trPr>
        <w:tc>
          <w:tcPr>
            <w:tcW w:w="1126" w:type="dxa"/>
            <w:noWrap w:val="0"/>
            <w:vAlign w:val="center"/>
          </w:tcPr>
          <w:p w14:paraId="183FE4A5">
            <w:pPr>
              <w:pStyle w:val="834"/>
              <w:jc w:val="center"/>
              <w:rPr>
                <w:rFonts w:hint="default" w:ascii="Arial" w:hAnsi="Arial" w:eastAsia="宋体" w:cs="Arial"/>
                <w:sz w:val="21"/>
                <w:szCs w:val="21"/>
              </w:rPr>
            </w:pPr>
            <w:r>
              <w:rPr>
                <w:rFonts w:hint="default" w:ascii="Arial" w:hAnsi="Arial" w:eastAsia="宋体" w:cs="Arial"/>
                <w:sz w:val="21"/>
                <w:szCs w:val="21"/>
              </w:rPr>
              <w:t>污染类别</w:t>
            </w:r>
          </w:p>
        </w:tc>
        <w:tc>
          <w:tcPr>
            <w:tcW w:w="2442" w:type="dxa"/>
            <w:gridSpan w:val="2"/>
            <w:noWrap w:val="0"/>
            <w:vAlign w:val="center"/>
          </w:tcPr>
          <w:p w14:paraId="311D6532">
            <w:pPr>
              <w:pStyle w:val="834"/>
              <w:jc w:val="center"/>
              <w:rPr>
                <w:rFonts w:hint="default" w:ascii="Arial" w:hAnsi="Arial" w:eastAsia="宋体" w:cs="Arial"/>
                <w:sz w:val="21"/>
                <w:szCs w:val="21"/>
              </w:rPr>
            </w:pPr>
            <w:r>
              <w:rPr>
                <w:rFonts w:hint="default" w:ascii="Arial" w:hAnsi="Arial" w:eastAsia="宋体" w:cs="Arial"/>
                <w:sz w:val="21"/>
                <w:szCs w:val="21"/>
              </w:rPr>
              <w:t>污染物名称</w:t>
            </w:r>
          </w:p>
        </w:tc>
        <w:tc>
          <w:tcPr>
            <w:tcW w:w="2240" w:type="dxa"/>
            <w:noWrap w:val="0"/>
            <w:vAlign w:val="center"/>
          </w:tcPr>
          <w:p w14:paraId="5236D216">
            <w:pPr>
              <w:pStyle w:val="834"/>
              <w:jc w:val="center"/>
              <w:rPr>
                <w:rFonts w:hint="default" w:ascii="Arial" w:hAnsi="Arial" w:eastAsia="宋体" w:cs="Arial"/>
                <w:sz w:val="21"/>
                <w:szCs w:val="21"/>
              </w:rPr>
            </w:pPr>
            <w:r>
              <w:rPr>
                <w:rFonts w:hint="default" w:ascii="Arial" w:hAnsi="Arial" w:eastAsia="宋体" w:cs="Arial"/>
                <w:sz w:val="21"/>
                <w:szCs w:val="21"/>
              </w:rPr>
              <w:t>现有工程达产后排放量（t/a）</w:t>
            </w:r>
          </w:p>
        </w:tc>
        <w:tc>
          <w:tcPr>
            <w:tcW w:w="2130" w:type="dxa"/>
            <w:noWrap w:val="0"/>
            <w:vAlign w:val="center"/>
          </w:tcPr>
          <w:p w14:paraId="7F79B260">
            <w:pPr>
              <w:pStyle w:val="834"/>
              <w:jc w:val="center"/>
              <w:rPr>
                <w:rFonts w:hint="default" w:ascii="Arial" w:hAnsi="Arial" w:eastAsia="宋体" w:cs="Arial"/>
                <w:sz w:val="21"/>
                <w:szCs w:val="21"/>
              </w:rPr>
            </w:pPr>
            <w:r>
              <w:rPr>
                <w:rFonts w:hint="default" w:ascii="Arial" w:hAnsi="Arial" w:eastAsia="宋体" w:cs="Arial"/>
                <w:sz w:val="21"/>
                <w:szCs w:val="21"/>
              </w:rPr>
              <w:t>原环评核定量（t/a）</w:t>
            </w:r>
          </w:p>
        </w:tc>
      </w:tr>
      <w:tr w14:paraId="6585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6" w:type="dxa"/>
            <w:vMerge w:val="restart"/>
            <w:noWrap w:val="0"/>
            <w:vAlign w:val="center"/>
          </w:tcPr>
          <w:p w14:paraId="067680C6">
            <w:pPr>
              <w:pStyle w:val="834"/>
              <w:jc w:val="center"/>
              <w:rPr>
                <w:rFonts w:hint="default" w:ascii="Arial" w:hAnsi="Arial" w:eastAsia="宋体" w:cs="Arial"/>
                <w:sz w:val="21"/>
                <w:szCs w:val="21"/>
              </w:rPr>
            </w:pPr>
            <w:r>
              <w:rPr>
                <w:rFonts w:hint="default" w:ascii="Arial" w:hAnsi="Arial" w:eastAsia="宋体" w:cs="Arial"/>
                <w:sz w:val="21"/>
                <w:szCs w:val="21"/>
              </w:rPr>
              <w:t>废水</w:t>
            </w:r>
          </w:p>
        </w:tc>
        <w:tc>
          <w:tcPr>
            <w:tcW w:w="1134" w:type="dxa"/>
            <w:vMerge w:val="restart"/>
            <w:noWrap w:val="0"/>
            <w:vAlign w:val="center"/>
          </w:tcPr>
          <w:p w14:paraId="376798B2">
            <w:pPr>
              <w:pStyle w:val="834"/>
              <w:jc w:val="center"/>
              <w:rPr>
                <w:rFonts w:hint="default" w:ascii="Arial" w:hAnsi="Arial" w:eastAsia="宋体" w:cs="Arial"/>
                <w:sz w:val="21"/>
                <w:szCs w:val="21"/>
              </w:rPr>
            </w:pPr>
            <w:r>
              <w:rPr>
                <w:rFonts w:hint="default" w:ascii="Arial" w:hAnsi="Arial" w:eastAsia="宋体" w:cs="Arial"/>
                <w:sz w:val="21"/>
                <w:szCs w:val="21"/>
              </w:rPr>
              <w:t>生活污水</w:t>
            </w:r>
          </w:p>
        </w:tc>
        <w:tc>
          <w:tcPr>
            <w:tcW w:w="1308" w:type="dxa"/>
            <w:noWrap w:val="0"/>
            <w:vAlign w:val="center"/>
          </w:tcPr>
          <w:p w14:paraId="45739AA7">
            <w:pPr>
              <w:pStyle w:val="834"/>
              <w:jc w:val="center"/>
              <w:rPr>
                <w:rFonts w:hint="default" w:ascii="Arial" w:hAnsi="Arial" w:eastAsia="宋体" w:cs="Arial"/>
                <w:sz w:val="21"/>
                <w:szCs w:val="21"/>
              </w:rPr>
            </w:pPr>
            <w:r>
              <w:rPr>
                <w:rFonts w:hint="default" w:ascii="Arial" w:hAnsi="Arial" w:eastAsia="宋体" w:cs="Arial"/>
                <w:sz w:val="21"/>
                <w:szCs w:val="21"/>
              </w:rPr>
              <w:t>废水量</w:t>
            </w:r>
          </w:p>
        </w:tc>
        <w:tc>
          <w:tcPr>
            <w:tcW w:w="2240" w:type="dxa"/>
            <w:noWrap w:val="0"/>
            <w:vAlign w:val="center"/>
          </w:tcPr>
          <w:p w14:paraId="7BEF0EEB">
            <w:pPr>
              <w:pStyle w:val="834"/>
              <w:jc w:val="center"/>
              <w:rPr>
                <w:rFonts w:hint="default" w:ascii="Arial" w:hAnsi="Arial" w:eastAsia="宋体" w:cs="Arial"/>
                <w:sz w:val="21"/>
                <w:szCs w:val="21"/>
              </w:rPr>
            </w:pPr>
            <w:r>
              <w:rPr>
                <w:rFonts w:hint="default" w:ascii="Arial" w:hAnsi="Arial" w:eastAsia="宋体" w:cs="Arial"/>
                <w:sz w:val="21"/>
                <w:szCs w:val="21"/>
                <w:highlight w:val="none"/>
                <w:lang w:val="en-US" w:eastAsia="zh-CN"/>
              </w:rPr>
              <w:t>4800</w:t>
            </w:r>
          </w:p>
        </w:tc>
        <w:tc>
          <w:tcPr>
            <w:tcW w:w="2130" w:type="dxa"/>
            <w:noWrap w:val="0"/>
            <w:vAlign w:val="center"/>
          </w:tcPr>
          <w:p w14:paraId="4A31DFD4">
            <w:pPr>
              <w:pStyle w:val="834"/>
              <w:jc w:val="center"/>
              <w:rPr>
                <w:rFonts w:hint="default" w:ascii="Arial" w:hAnsi="Arial" w:eastAsia="宋体" w:cs="Arial"/>
                <w:sz w:val="21"/>
                <w:szCs w:val="21"/>
                <w:lang w:val="en-US" w:eastAsia="zh-CN"/>
              </w:rPr>
            </w:pPr>
            <w:r>
              <w:rPr>
                <w:rFonts w:hint="default" w:ascii="Arial" w:hAnsi="Arial" w:cs="Arial"/>
                <w:sz w:val="21"/>
                <w:szCs w:val="21"/>
                <w:lang w:val="en-US" w:eastAsia="zh-CN"/>
              </w:rPr>
              <w:t>5040</w:t>
            </w:r>
          </w:p>
        </w:tc>
      </w:tr>
      <w:tr w14:paraId="4302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6" w:type="dxa"/>
            <w:vMerge w:val="continue"/>
            <w:noWrap w:val="0"/>
            <w:vAlign w:val="center"/>
          </w:tcPr>
          <w:p w14:paraId="4BC1F1B5">
            <w:pPr>
              <w:pStyle w:val="834"/>
              <w:jc w:val="center"/>
              <w:rPr>
                <w:rFonts w:hint="default" w:ascii="Arial" w:hAnsi="Arial" w:eastAsia="宋体" w:cs="Arial"/>
                <w:sz w:val="21"/>
                <w:szCs w:val="21"/>
              </w:rPr>
            </w:pPr>
          </w:p>
        </w:tc>
        <w:tc>
          <w:tcPr>
            <w:tcW w:w="1134" w:type="dxa"/>
            <w:vMerge w:val="continue"/>
            <w:noWrap w:val="0"/>
            <w:vAlign w:val="center"/>
          </w:tcPr>
          <w:p w14:paraId="3DE3B440">
            <w:pPr>
              <w:pStyle w:val="834"/>
              <w:jc w:val="center"/>
              <w:rPr>
                <w:rFonts w:hint="default" w:ascii="Arial" w:hAnsi="Arial" w:eastAsia="宋体" w:cs="Arial"/>
                <w:sz w:val="21"/>
                <w:szCs w:val="21"/>
              </w:rPr>
            </w:pPr>
          </w:p>
        </w:tc>
        <w:tc>
          <w:tcPr>
            <w:tcW w:w="1308" w:type="dxa"/>
            <w:noWrap w:val="0"/>
            <w:vAlign w:val="center"/>
          </w:tcPr>
          <w:p w14:paraId="173CB843">
            <w:pPr>
              <w:pStyle w:val="834"/>
              <w:jc w:val="center"/>
              <w:rPr>
                <w:rFonts w:hint="default" w:ascii="Arial" w:hAnsi="Arial" w:eastAsia="宋体" w:cs="Arial"/>
                <w:sz w:val="21"/>
                <w:szCs w:val="21"/>
              </w:rPr>
            </w:pPr>
            <w:r>
              <w:rPr>
                <w:rFonts w:hint="default" w:ascii="Arial" w:hAnsi="Arial" w:eastAsia="宋体" w:cs="Arial"/>
                <w:sz w:val="21"/>
                <w:szCs w:val="21"/>
              </w:rPr>
              <w:t>COD</w:t>
            </w:r>
            <w:r>
              <w:rPr>
                <w:rFonts w:hint="default" w:ascii="Arial" w:hAnsi="Arial" w:eastAsia="宋体" w:cs="Arial"/>
                <w:sz w:val="21"/>
                <w:szCs w:val="21"/>
                <w:vertAlign w:val="subscript"/>
              </w:rPr>
              <w:t>Cr</w:t>
            </w:r>
          </w:p>
        </w:tc>
        <w:tc>
          <w:tcPr>
            <w:tcW w:w="2240" w:type="dxa"/>
            <w:noWrap w:val="0"/>
            <w:vAlign w:val="center"/>
          </w:tcPr>
          <w:p w14:paraId="7261B347">
            <w:pPr>
              <w:pStyle w:val="834"/>
              <w:jc w:val="center"/>
              <w:rPr>
                <w:rFonts w:hint="default" w:ascii="Arial" w:hAnsi="Arial" w:eastAsia="宋体" w:cs="Arial"/>
                <w:sz w:val="21"/>
                <w:szCs w:val="21"/>
              </w:rPr>
            </w:pPr>
            <w:r>
              <w:rPr>
                <w:rFonts w:hint="default" w:ascii="Arial" w:hAnsi="Arial" w:eastAsia="宋体" w:cs="Arial"/>
                <w:sz w:val="21"/>
                <w:szCs w:val="21"/>
                <w:highlight w:val="none"/>
              </w:rPr>
              <w:t>0.1</w:t>
            </w:r>
            <w:r>
              <w:rPr>
                <w:rFonts w:hint="default" w:ascii="Arial" w:hAnsi="Arial" w:eastAsia="宋体" w:cs="Arial"/>
                <w:sz w:val="21"/>
                <w:szCs w:val="21"/>
                <w:highlight w:val="none"/>
                <w:lang w:val="en-US" w:eastAsia="zh-CN"/>
              </w:rPr>
              <w:t>92</w:t>
            </w:r>
          </w:p>
        </w:tc>
        <w:tc>
          <w:tcPr>
            <w:tcW w:w="2130" w:type="dxa"/>
            <w:noWrap w:val="0"/>
            <w:vAlign w:val="center"/>
          </w:tcPr>
          <w:p w14:paraId="7FEDF4E4">
            <w:pPr>
              <w:keepNext w:val="0"/>
              <w:keepLines w:val="0"/>
              <w:widowControl/>
              <w:suppressLineNumbers w:val="0"/>
              <w:jc w:val="center"/>
              <w:textAlignment w:val="center"/>
              <w:rPr>
                <w:rFonts w:hint="default" w:ascii="Arial" w:hAnsi="Arial" w:eastAsia="宋体" w:cs="Arial"/>
                <w:sz w:val="21"/>
                <w:szCs w:val="21"/>
              </w:rPr>
            </w:pPr>
            <w:r>
              <w:rPr>
                <w:rFonts w:hint="default" w:ascii="Arial" w:hAnsi="Arial" w:eastAsia="宋体" w:cs="Arial"/>
                <w:i w:val="0"/>
                <w:iCs w:val="0"/>
                <w:color w:val="000000"/>
                <w:kern w:val="0"/>
                <w:sz w:val="21"/>
                <w:szCs w:val="21"/>
                <w:u w:val="none"/>
                <w:lang w:val="en-US" w:eastAsia="zh-CN" w:bidi="ar"/>
              </w:rPr>
              <w:t>0.202</w:t>
            </w:r>
          </w:p>
        </w:tc>
      </w:tr>
      <w:tr w14:paraId="4B52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6" w:type="dxa"/>
            <w:vMerge w:val="continue"/>
            <w:noWrap w:val="0"/>
            <w:vAlign w:val="center"/>
          </w:tcPr>
          <w:p w14:paraId="4436002A">
            <w:pPr>
              <w:pStyle w:val="834"/>
              <w:jc w:val="center"/>
              <w:rPr>
                <w:rFonts w:hint="default" w:ascii="Arial" w:hAnsi="Arial" w:eastAsia="宋体" w:cs="Arial"/>
                <w:sz w:val="21"/>
                <w:szCs w:val="21"/>
              </w:rPr>
            </w:pPr>
          </w:p>
        </w:tc>
        <w:tc>
          <w:tcPr>
            <w:tcW w:w="1134" w:type="dxa"/>
            <w:vMerge w:val="continue"/>
            <w:noWrap w:val="0"/>
            <w:vAlign w:val="center"/>
          </w:tcPr>
          <w:p w14:paraId="2DAC6AF1">
            <w:pPr>
              <w:pStyle w:val="834"/>
              <w:jc w:val="center"/>
              <w:rPr>
                <w:rFonts w:hint="default" w:ascii="Arial" w:hAnsi="Arial" w:eastAsia="宋体" w:cs="Arial"/>
                <w:sz w:val="21"/>
                <w:szCs w:val="21"/>
              </w:rPr>
            </w:pPr>
          </w:p>
        </w:tc>
        <w:tc>
          <w:tcPr>
            <w:tcW w:w="1308" w:type="dxa"/>
            <w:noWrap w:val="0"/>
            <w:vAlign w:val="center"/>
          </w:tcPr>
          <w:p w14:paraId="67B4E2F0">
            <w:pPr>
              <w:pStyle w:val="834"/>
              <w:jc w:val="center"/>
              <w:rPr>
                <w:rFonts w:hint="default" w:ascii="Arial" w:hAnsi="Arial" w:eastAsia="宋体" w:cs="Arial"/>
                <w:sz w:val="21"/>
                <w:szCs w:val="21"/>
              </w:rPr>
            </w:pPr>
            <w:r>
              <w:rPr>
                <w:rFonts w:hint="default" w:ascii="Arial" w:hAnsi="Arial" w:eastAsia="宋体" w:cs="Arial"/>
                <w:sz w:val="21"/>
                <w:szCs w:val="21"/>
              </w:rPr>
              <w:t>NH</w:t>
            </w:r>
            <w:r>
              <w:rPr>
                <w:rFonts w:hint="default" w:ascii="Arial" w:hAnsi="Arial" w:eastAsia="宋体" w:cs="Arial"/>
                <w:sz w:val="21"/>
                <w:szCs w:val="21"/>
                <w:vertAlign w:val="subscript"/>
              </w:rPr>
              <w:t>3</w:t>
            </w:r>
            <w:r>
              <w:rPr>
                <w:rFonts w:hint="default" w:ascii="Arial" w:hAnsi="Arial" w:eastAsia="宋体" w:cs="Arial"/>
                <w:sz w:val="21"/>
                <w:szCs w:val="21"/>
              </w:rPr>
              <w:t>-N</w:t>
            </w:r>
          </w:p>
        </w:tc>
        <w:tc>
          <w:tcPr>
            <w:tcW w:w="2240" w:type="dxa"/>
            <w:noWrap w:val="0"/>
            <w:vAlign w:val="center"/>
          </w:tcPr>
          <w:p w14:paraId="7809E2CA">
            <w:pPr>
              <w:pStyle w:val="834"/>
              <w:jc w:val="center"/>
              <w:rPr>
                <w:rFonts w:hint="default" w:ascii="Arial" w:hAnsi="Arial" w:eastAsia="宋体" w:cs="Arial"/>
                <w:sz w:val="21"/>
                <w:szCs w:val="21"/>
              </w:rPr>
            </w:pPr>
            <w:r>
              <w:rPr>
                <w:rFonts w:hint="default" w:ascii="Arial" w:hAnsi="Arial" w:eastAsia="宋体" w:cs="Arial"/>
                <w:sz w:val="21"/>
                <w:szCs w:val="21"/>
                <w:highlight w:val="none"/>
              </w:rPr>
              <w:t>0.0</w:t>
            </w:r>
            <w:r>
              <w:rPr>
                <w:rFonts w:hint="default" w:ascii="Arial" w:hAnsi="Arial" w:eastAsia="宋体" w:cs="Arial"/>
                <w:sz w:val="21"/>
                <w:szCs w:val="21"/>
                <w:highlight w:val="none"/>
                <w:lang w:val="en-US" w:eastAsia="zh-CN"/>
              </w:rPr>
              <w:t>10</w:t>
            </w:r>
          </w:p>
        </w:tc>
        <w:tc>
          <w:tcPr>
            <w:tcW w:w="2130" w:type="dxa"/>
            <w:noWrap w:val="0"/>
            <w:vAlign w:val="center"/>
          </w:tcPr>
          <w:p w14:paraId="1C677E7A">
            <w:pPr>
              <w:keepNext w:val="0"/>
              <w:keepLines w:val="0"/>
              <w:widowControl/>
              <w:suppressLineNumbers w:val="0"/>
              <w:jc w:val="center"/>
              <w:textAlignment w:val="center"/>
              <w:rPr>
                <w:rFonts w:hint="default" w:ascii="Arial" w:hAnsi="Arial" w:eastAsia="宋体" w:cs="Arial"/>
                <w:sz w:val="21"/>
                <w:szCs w:val="21"/>
              </w:rPr>
            </w:pPr>
            <w:r>
              <w:rPr>
                <w:rFonts w:hint="default" w:ascii="Arial" w:hAnsi="Arial" w:eastAsia="宋体" w:cs="Arial"/>
                <w:i w:val="0"/>
                <w:iCs w:val="0"/>
                <w:color w:val="000000"/>
                <w:kern w:val="0"/>
                <w:sz w:val="21"/>
                <w:szCs w:val="21"/>
                <w:u w:val="none"/>
                <w:lang w:val="en-US" w:eastAsia="zh-CN" w:bidi="ar"/>
              </w:rPr>
              <w:t>0.010</w:t>
            </w:r>
          </w:p>
        </w:tc>
      </w:tr>
      <w:tr w14:paraId="1E409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26" w:type="dxa"/>
            <w:vMerge w:val="restart"/>
            <w:noWrap w:val="0"/>
            <w:vAlign w:val="center"/>
          </w:tcPr>
          <w:p w14:paraId="05C78FD1">
            <w:pPr>
              <w:pStyle w:val="834"/>
              <w:jc w:val="center"/>
              <w:rPr>
                <w:rFonts w:hint="default" w:ascii="Arial" w:hAnsi="Arial" w:eastAsia="宋体" w:cs="Arial"/>
                <w:sz w:val="21"/>
                <w:szCs w:val="21"/>
              </w:rPr>
            </w:pPr>
            <w:r>
              <w:rPr>
                <w:rFonts w:hint="default" w:ascii="Arial" w:hAnsi="Arial" w:eastAsia="宋体" w:cs="Arial"/>
                <w:sz w:val="21"/>
                <w:szCs w:val="21"/>
              </w:rPr>
              <w:t>固废</w:t>
            </w:r>
          </w:p>
        </w:tc>
        <w:tc>
          <w:tcPr>
            <w:tcW w:w="2442" w:type="dxa"/>
            <w:gridSpan w:val="2"/>
            <w:noWrap w:val="0"/>
            <w:vAlign w:val="center"/>
          </w:tcPr>
          <w:p w14:paraId="39C4E2F4">
            <w:pPr>
              <w:pStyle w:val="834"/>
              <w:ind w:left="-27" w:hanging="80"/>
              <w:jc w:val="center"/>
              <w:rPr>
                <w:rFonts w:hint="default" w:ascii="Arial" w:hAnsi="Arial" w:eastAsia="宋体" w:cs="Arial"/>
                <w:sz w:val="21"/>
                <w:szCs w:val="21"/>
                <w:highlight w:val="none"/>
              </w:rPr>
            </w:pPr>
            <w:r>
              <w:rPr>
                <w:rFonts w:hint="default" w:ascii="Arial" w:hAnsi="Arial" w:eastAsia="宋体" w:cs="Arial"/>
                <w:sz w:val="21"/>
                <w:szCs w:val="21"/>
                <w:highlight w:val="none"/>
              </w:rPr>
              <w:t>工业固废</w:t>
            </w:r>
          </w:p>
        </w:tc>
        <w:tc>
          <w:tcPr>
            <w:tcW w:w="2240" w:type="dxa"/>
            <w:noWrap w:val="0"/>
            <w:vAlign w:val="center"/>
          </w:tcPr>
          <w:p w14:paraId="50E9C0A8">
            <w:pPr>
              <w:pStyle w:val="834"/>
              <w:ind w:left="-27" w:hanging="80"/>
              <w:jc w:val="center"/>
              <w:rPr>
                <w:rFonts w:hint="default" w:ascii="Arial" w:hAnsi="Arial" w:eastAsia="宋体" w:cs="Arial"/>
                <w:sz w:val="21"/>
                <w:szCs w:val="21"/>
                <w:highlight w:val="none"/>
              </w:rPr>
            </w:pPr>
            <w:r>
              <w:rPr>
                <w:rFonts w:hint="default" w:ascii="Arial" w:hAnsi="Arial" w:eastAsia="宋体" w:cs="Arial"/>
                <w:sz w:val="21"/>
                <w:szCs w:val="21"/>
                <w:highlight w:val="none"/>
              </w:rPr>
              <w:t>0（</w:t>
            </w:r>
            <w:r>
              <w:rPr>
                <w:rFonts w:hint="eastAsia" w:cs="Arial"/>
                <w:sz w:val="21"/>
                <w:szCs w:val="21"/>
                <w:highlight w:val="none"/>
                <w:lang w:val="en-US" w:eastAsia="zh-CN"/>
              </w:rPr>
              <w:t>302</w:t>
            </w:r>
            <w:r>
              <w:rPr>
                <w:rFonts w:hint="default" w:ascii="Arial" w:hAnsi="Arial" w:cs="Arial"/>
                <w:sz w:val="21"/>
                <w:szCs w:val="21"/>
                <w:highlight w:val="none"/>
                <w:lang w:val="en-US" w:eastAsia="zh-CN"/>
              </w:rPr>
              <w:t>.56</w:t>
            </w:r>
            <w:r>
              <w:rPr>
                <w:rFonts w:hint="default" w:ascii="Arial" w:hAnsi="Arial" w:eastAsia="宋体" w:cs="Arial"/>
                <w:sz w:val="21"/>
                <w:szCs w:val="21"/>
                <w:highlight w:val="none"/>
              </w:rPr>
              <w:t>）</w:t>
            </w:r>
          </w:p>
        </w:tc>
        <w:tc>
          <w:tcPr>
            <w:tcW w:w="2130" w:type="dxa"/>
            <w:noWrap w:val="0"/>
            <w:vAlign w:val="center"/>
          </w:tcPr>
          <w:p w14:paraId="6C2CAED2">
            <w:pPr>
              <w:pStyle w:val="834"/>
              <w:ind w:left="-27" w:hanging="80"/>
              <w:jc w:val="center"/>
              <w:rPr>
                <w:rFonts w:hint="default" w:ascii="Arial" w:hAnsi="Arial" w:eastAsia="宋体" w:cs="Arial"/>
                <w:sz w:val="21"/>
                <w:szCs w:val="21"/>
                <w:highlight w:val="none"/>
                <w:lang w:eastAsia="zh-CN"/>
              </w:rPr>
            </w:pPr>
            <w:r>
              <w:rPr>
                <w:rFonts w:hint="default" w:ascii="Arial" w:hAnsi="Arial" w:eastAsia="宋体" w:cs="Arial"/>
                <w:sz w:val="21"/>
                <w:szCs w:val="21"/>
                <w:highlight w:val="none"/>
              </w:rPr>
              <w:t>0</w:t>
            </w:r>
            <w:r>
              <w:rPr>
                <w:rFonts w:hint="default" w:ascii="Arial" w:hAnsi="Arial" w:cs="Arial"/>
                <w:sz w:val="21"/>
                <w:szCs w:val="21"/>
                <w:highlight w:val="none"/>
                <w:lang w:eastAsia="zh-CN"/>
              </w:rPr>
              <w:t>（</w:t>
            </w:r>
            <w:r>
              <w:rPr>
                <w:rFonts w:hint="default" w:ascii="Arial" w:hAnsi="Arial" w:cs="Arial"/>
                <w:sz w:val="21"/>
                <w:szCs w:val="21"/>
                <w:highlight w:val="none"/>
                <w:lang w:val="en-US" w:eastAsia="zh-CN"/>
              </w:rPr>
              <w:t>346.7</w:t>
            </w:r>
            <w:r>
              <w:rPr>
                <w:rFonts w:hint="default" w:ascii="Arial" w:hAnsi="Arial" w:cs="Arial"/>
                <w:sz w:val="21"/>
                <w:szCs w:val="21"/>
                <w:highlight w:val="none"/>
                <w:lang w:eastAsia="zh-CN"/>
              </w:rPr>
              <w:t>）</w:t>
            </w:r>
          </w:p>
        </w:tc>
      </w:tr>
      <w:tr w14:paraId="73E1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126" w:type="dxa"/>
            <w:vMerge w:val="continue"/>
            <w:noWrap w:val="0"/>
            <w:vAlign w:val="center"/>
          </w:tcPr>
          <w:p w14:paraId="7652797D">
            <w:pPr>
              <w:pStyle w:val="834"/>
              <w:ind w:left="-27" w:hanging="80"/>
              <w:jc w:val="center"/>
              <w:rPr>
                <w:rFonts w:hint="default" w:ascii="Arial" w:hAnsi="Arial" w:eastAsia="宋体" w:cs="Arial"/>
                <w:sz w:val="21"/>
                <w:szCs w:val="21"/>
              </w:rPr>
            </w:pPr>
          </w:p>
        </w:tc>
        <w:tc>
          <w:tcPr>
            <w:tcW w:w="2442" w:type="dxa"/>
            <w:gridSpan w:val="2"/>
            <w:noWrap w:val="0"/>
            <w:vAlign w:val="center"/>
          </w:tcPr>
          <w:p w14:paraId="4ED6C396">
            <w:pPr>
              <w:pStyle w:val="834"/>
              <w:ind w:left="-27" w:hanging="80"/>
              <w:jc w:val="center"/>
              <w:rPr>
                <w:rFonts w:hint="default" w:ascii="Arial" w:hAnsi="Arial" w:eastAsia="宋体" w:cs="Arial"/>
                <w:sz w:val="21"/>
                <w:szCs w:val="21"/>
              </w:rPr>
            </w:pPr>
            <w:r>
              <w:rPr>
                <w:rFonts w:hint="default" w:ascii="Arial" w:hAnsi="Arial" w:eastAsia="宋体" w:cs="Arial"/>
                <w:sz w:val="21"/>
                <w:szCs w:val="21"/>
              </w:rPr>
              <w:t>生活垃圾</w:t>
            </w:r>
          </w:p>
        </w:tc>
        <w:tc>
          <w:tcPr>
            <w:tcW w:w="2240" w:type="dxa"/>
            <w:noWrap w:val="0"/>
            <w:vAlign w:val="center"/>
          </w:tcPr>
          <w:p w14:paraId="0C9AAA16">
            <w:pPr>
              <w:pStyle w:val="834"/>
              <w:ind w:left="-27" w:hanging="80"/>
              <w:jc w:val="center"/>
              <w:rPr>
                <w:rFonts w:hint="default" w:ascii="Arial" w:hAnsi="Arial" w:eastAsia="宋体" w:cs="Arial"/>
                <w:sz w:val="21"/>
                <w:szCs w:val="21"/>
              </w:rPr>
            </w:pPr>
            <w:r>
              <w:rPr>
                <w:rFonts w:hint="default" w:ascii="Arial" w:hAnsi="Arial" w:eastAsia="宋体" w:cs="Arial"/>
                <w:sz w:val="21"/>
                <w:szCs w:val="21"/>
              </w:rPr>
              <w:t>0（35）</w:t>
            </w:r>
          </w:p>
        </w:tc>
        <w:tc>
          <w:tcPr>
            <w:tcW w:w="2130" w:type="dxa"/>
            <w:noWrap w:val="0"/>
            <w:vAlign w:val="center"/>
          </w:tcPr>
          <w:p w14:paraId="6F32BA1C">
            <w:pPr>
              <w:pStyle w:val="834"/>
              <w:ind w:left="-27" w:hanging="80"/>
              <w:jc w:val="center"/>
              <w:rPr>
                <w:rFonts w:hint="default" w:ascii="Arial" w:hAnsi="Arial" w:eastAsia="宋体" w:cs="Arial"/>
                <w:sz w:val="21"/>
                <w:szCs w:val="21"/>
                <w:lang w:eastAsia="zh-CN"/>
              </w:rPr>
            </w:pPr>
            <w:r>
              <w:rPr>
                <w:rFonts w:hint="default" w:ascii="Arial" w:hAnsi="Arial" w:eastAsia="宋体" w:cs="Arial"/>
                <w:sz w:val="21"/>
                <w:szCs w:val="21"/>
              </w:rPr>
              <w:t>0</w:t>
            </w:r>
            <w:r>
              <w:rPr>
                <w:rFonts w:hint="default" w:ascii="Arial" w:hAnsi="Arial" w:cs="Arial"/>
                <w:sz w:val="21"/>
                <w:szCs w:val="21"/>
                <w:lang w:eastAsia="zh-CN"/>
              </w:rPr>
              <w:t>（</w:t>
            </w:r>
            <w:r>
              <w:rPr>
                <w:rFonts w:hint="default" w:ascii="Arial" w:hAnsi="Arial" w:cs="Arial"/>
                <w:sz w:val="21"/>
                <w:szCs w:val="21"/>
                <w:lang w:val="en-US" w:eastAsia="zh-CN"/>
              </w:rPr>
              <w:t>63</w:t>
            </w:r>
            <w:r>
              <w:rPr>
                <w:rFonts w:hint="default" w:ascii="Arial" w:hAnsi="Arial" w:cs="Arial"/>
                <w:sz w:val="21"/>
                <w:szCs w:val="21"/>
                <w:lang w:eastAsia="zh-CN"/>
              </w:rPr>
              <w:t>）</w:t>
            </w:r>
          </w:p>
        </w:tc>
      </w:tr>
    </w:tbl>
    <w:p w14:paraId="58FDC618">
      <w:pPr>
        <w:pStyle w:val="76"/>
        <w:numPr>
          <w:ilvl w:val="2"/>
          <w:numId w:val="4"/>
        </w:numPr>
        <w:spacing w:line="360" w:lineRule="auto"/>
        <w:ind w:left="568" w:hanging="284" w:firstLineChars="0"/>
        <w:outlineLvl w:val="2"/>
        <w:rPr>
          <w:rFonts w:hint="default" w:ascii="Arial" w:hAnsi="Arial" w:eastAsia="宋体" w:cs="Arial"/>
          <w:b/>
          <w:bCs/>
          <w:sz w:val="24"/>
          <w:szCs w:val="24"/>
        </w:rPr>
      </w:pPr>
      <w:r>
        <w:rPr>
          <w:rFonts w:hint="default" w:ascii="Arial" w:hAnsi="Arial" w:eastAsia="宋体" w:cs="Arial"/>
          <w:b/>
          <w:bCs/>
          <w:sz w:val="24"/>
          <w:szCs w:val="24"/>
        </w:rPr>
        <w:t>现有工程存在问题及整改措施</w:t>
      </w:r>
    </w:p>
    <w:p w14:paraId="0CCAA88D">
      <w:pPr>
        <w:pStyle w:val="76"/>
        <w:numPr>
          <w:ilvl w:val="3"/>
          <w:numId w:val="4"/>
        </w:numPr>
        <w:spacing w:line="360" w:lineRule="auto"/>
        <w:jc w:val="center"/>
        <w:outlineLvl w:val="3"/>
        <w:rPr>
          <w:rFonts w:hint="eastAsia" w:ascii="仿宋" w:hAnsi="仿宋" w:eastAsia="仿宋" w:cs="Times New Roman"/>
          <w:b/>
          <w:bCs/>
          <w:color w:val="auto"/>
          <w:sz w:val="24"/>
          <w:szCs w:val="24"/>
          <w:lang w:val="en-US" w:eastAsia="zh-CN"/>
        </w:rPr>
      </w:pPr>
      <w:r>
        <w:rPr>
          <w:rFonts w:hint="eastAsia" w:ascii="仿宋" w:hAnsi="仿宋" w:eastAsia="仿宋" w:cs="Times New Roman"/>
          <w:b/>
          <w:bCs/>
          <w:color w:val="auto"/>
          <w:sz w:val="24"/>
          <w:szCs w:val="24"/>
          <w:lang w:val="en-US" w:eastAsia="zh-CN"/>
        </w:rPr>
        <w:t xml:space="preserve">  自行监测落实情况</w:t>
      </w:r>
    </w:p>
    <w:tbl>
      <w:tblPr>
        <w:tblStyle w:val="52"/>
        <w:tblW w:w="48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7"/>
        <w:gridCol w:w="548"/>
        <w:gridCol w:w="848"/>
        <w:gridCol w:w="951"/>
        <w:gridCol w:w="1318"/>
        <w:gridCol w:w="650"/>
        <w:gridCol w:w="680"/>
        <w:gridCol w:w="840"/>
        <w:gridCol w:w="1128"/>
        <w:gridCol w:w="742"/>
      </w:tblGrid>
      <w:tr w14:paraId="2BAA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387" w:type="dxa"/>
            <w:vMerge w:val="restart"/>
            <w:noWrap w:val="0"/>
            <w:vAlign w:val="center"/>
          </w:tcPr>
          <w:p w14:paraId="42ACCA0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序号</w:t>
            </w:r>
          </w:p>
        </w:tc>
        <w:tc>
          <w:tcPr>
            <w:tcW w:w="1396" w:type="dxa"/>
            <w:gridSpan w:val="2"/>
            <w:vMerge w:val="restart"/>
            <w:noWrap w:val="0"/>
            <w:vAlign w:val="center"/>
          </w:tcPr>
          <w:p w14:paraId="7134D02F">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要素</w:t>
            </w:r>
          </w:p>
        </w:tc>
        <w:tc>
          <w:tcPr>
            <w:tcW w:w="4439" w:type="dxa"/>
            <w:gridSpan w:val="5"/>
            <w:noWrap w:val="0"/>
            <w:vAlign w:val="center"/>
          </w:tcPr>
          <w:p w14:paraId="696B232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eastAsia="zh-CN"/>
                <w14:textFill>
                  <w14:solidFill>
                    <w14:schemeClr w14:val="tx1"/>
                  </w14:solidFill>
                </w14:textFill>
              </w:rPr>
              <w:t>要求</w:t>
            </w:r>
          </w:p>
        </w:tc>
        <w:tc>
          <w:tcPr>
            <w:tcW w:w="1128" w:type="dxa"/>
            <w:noWrap w:val="0"/>
            <w:vAlign w:val="center"/>
          </w:tcPr>
          <w:p w14:paraId="2E4301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2024年执行情况</w:t>
            </w:r>
          </w:p>
        </w:tc>
        <w:tc>
          <w:tcPr>
            <w:tcW w:w="742" w:type="dxa"/>
            <w:vMerge w:val="restart"/>
            <w:noWrap w:val="0"/>
            <w:vAlign w:val="center"/>
          </w:tcPr>
          <w:p w14:paraId="29B651E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备注</w:t>
            </w:r>
          </w:p>
        </w:tc>
      </w:tr>
      <w:tr w14:paraId="5B83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387" w:type="dxa"/>
            <w:vMerge w:val="continue"/>
            <w:noWrap w:val="0"/>
            <w:vAlign w:val="center"/>
          </w:tcPr>
          <w:p w14:paraId="2B1D3D3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p>
        </w:tc>
        <w:tc>
          <w:tcPr>
            <w:tcW w:w="1396" w:type="dxa"/>
            <w:gridSpan w:val="2"/>
            <w:vMerge w:val="continue"/>
            <w:noWrap w:val="0"/>
            <w:vAlign w:val="center"/>
          </w:tcPr>
          <w:p w14:paraId="7F2EDDA9">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p>
        </w:tc>
        <w:tc>
          <w:tcPr>
            <w:tcW w:w="951" w:type="dxa"/>
            <w:noWrap w:val="0"/>
            <w:vAlign w:val="center"/>
          </w:tcPr>
          <w:p w14:paraId="7E182AD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排放口名称/监测点位名称</w:t>
            </w:r>
          </w:p>
        </w:tc>
        <w:tc>
          <w:tcPr>
            <w:tcW w:w="1318" w:type="dxa"/>
            <w:noWrap w:val="0"/>
            <w:vAlign w:val="center"/>
          </w:tcPr>
          <w:p w14:paraId="6867F55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污染物名称</w:t>
            </w:r>
          </w:p>
        </w:tc>
        <w:tc>
          <w:tcPr>
            <w:tcW w:w="650" w:type="dxa"/>
            <w:noWrap w:val="0"/>
            <w:vAlign w:val="center"/>
          </w:tcPr>
          <w:p w14:paraId="7B5A154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监测设施</w:t>
            </w:r>
          </w:p>
        </w:tc>
        <w:tc>
          <w:tcPr>
            <w:tcW w:w="680" w:type="dxa"/>
            <w:noWrap w:val="0"/>
            <w:vAlign w:val="center"/>
          </w:tcPr>
          <w:p w14:paraId="3924C3C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自动监测是否联网</w:t>
            </w:r>
          </w:p>
        </w:tc>
        <w:tc>
          <w:tcPr>
            <w:tcW w:w="840" w:type="dxa"/>
            <w:noWrap w:val="0"/>
            <w:vAlign w:val="center"/>
          </w:tcPr>
          <w:p w14:paraId="599E5A2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手工监测频次</w:t>
            </w:r>
          </w:p>
        </w:tc>
        <w:tc>
          <w:tcPr>
            <w:tcW w:w="1128" w:type="dxa"/>
            <w:noWrap w:val="0"/>
            <w:vAlign w:val="center"/>
          </w:tcPr>
          <w:p w14:paraId="51AC004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监测频次</w:t>
            </w:r>
          </w:p>
        </w:tc>
        <w:tc>
          <w:tcPr>
            <w:tcW w:w="742" w:type="dxa"/>
            <w:vMerge w:val="continue"/>
            <w:noWrap w:val="0"/>
            <w:vAlign w:val="center"/>
          </w:tcPr>
          <w:p w14:paraId="1D62A26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p>
        </w:tc>
      </w:tr>
      <w:tr w14:paraId="0F8C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87" w:type="dxa"/>
            <w:noWrap w:val="0"/>
            <w:vAlign w:val="center"/>
          </w:tcPr>
          <w:p w14:paraId="05D71DD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1</w:t>
            </w:r>
          </w:p>
        </w:tc>
        <w:tc>
          <w:tcPr>
            <w:tcW w:w="548" w:type="dxa"/>
            <w:vMerge w:val="restart"/>
            <w:noWrap w:val="0"/>
            <w:vAlign w:val="center"/>
          </w:tcPr>
          <w:p w14:paraId="4935CCBB">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废气</w:t>
            </w:r>
          </w:p>
        </w:tc>
        <w:tc>
          <w:tcPr>
            <w:tcW w:w="1799" w:type="dxa"/>
            <w:gridSpan w:val="2"/>
            <w:vMerge w:val="restart"/>
            <w:noWrap w:val="0"/>
            <w:vAlign w:val="center"/>
          </w:tcPr>
          <w:p w14:paraId="2371DAE4">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厂界</w:t>
            </w:r>
          </w:p>
        </w:tc>
        <w:tc>
          <w:tcPr>
            <w:tcW w:w="1318" w:type="dxa"/>
            <w:shd w:val="clear" w:color="auto" w:fill="auto"/>
            <w:noWrap w:val="0"/>
            <w:vAlign w:val="center"/>
          </w:tcPr>
          <w:p w14:paraId="768A51B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非甲烷总烃</w:t>
            </w:r>
          </w:p>
        </w:tc>
        <w:tc>
          <w:tcPr>
            <w:tcW w:w="650" w:type="dxa"/>
            <w:shd w:val="clear" w:color="auto" w:fill="auto"/>
            <w:noWrap w:val="0"/>
            <w:vAlign w:val="center"/>
          </w:tcPr>
          <w:p w14:paraId="6A7A47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shd w:val="clear" w:color="auto" w:fill="auto"/>
            <w:noWrap w:val="0"/>
            <w:vAlign w:val="center"/>
          </w:tcPr>
          <w:p w14:paraId="4A062E8E">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shd w:val="clear" w:color="auto" w:fill="auto"/>
            <w:noWrap w:val="0"/>
            <w:vAlign w:val="center"/>
          </w:tcPr>
          <w:p w14:paraId="13A5E1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1128" w:type="dxa"/>
            <w:shd w:val="clear" w:color="auto" w:fill="auto"/>
            <w:noWrap w:val="0"/>
            <w:vAlign w:val="center"/>
          </w:tcPr>
          <w:p w14:paraId="7C459AD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t>/</w:t>
            </w:r>
          </w:p>
        </w:tc>
        <w:tc>
          <w:tcPr>
            <w:tcW w:w="742" w:type="dxa"/>
            <w:shd w:val="clear" w:color="auto" w:fill="auto"/>
            <w:noWrap w:val="0"/>
            <w:vAlign w:val="center"/>
          </w:tcPr>
          <w:p w14:paraId="64C91C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不符合</w:t>
            </w:r>
          </w:p>
        </w:tc>
      </w:tr>
      <w:tr w14:paraId="1FBB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dxa"/>
            <w:shd w:val="clear" w:color="auto" w:fill="auto"/>
            <w:noWrap w:val="0"/>
            <w:vAlign w:val="center"/>
          </w:tcPr>
          <w:p w14:paraId="78F39B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t>2</w:t>
            </w:r>
          </w:p>
        </w:tc>
        <w:tc>
          <w:tcPr>
            <w:tcW w:w="548" w:type="dxa"/>
            <w:vMerge w:val="continue"/>
            <w:noWrap w:val="0"/>
            <w:vAlign w:val="center"/>
          </w:tcPr>
          <w:p w14:paraId="1BE4CF4F">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1799" w:type="dxa"/>
            <w:gridSpan w:val="2"/>
            <w:vMerge w:val="continue"/>
            <w:noWrap w:val="0"/>
            <w:vAlign w:val="center"/>
          </w:tcPr>
          <w:p w14:paraId="2D98562A">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1318" w:type="dxa"/>
            <w:shd w:val="clear" w:color="auto" w:fill="auto"/>
            <w:noWrap w:val="0"/>
            <w:vAlign w:val="center"/>
          </w:tcPr>
          <w:p w14:paraId="0E6D04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颗粒物</w:t>
            </w:r>
          </w:p>
        </w:tc>
        <w:tc>
          <w:tcPr>
            <w:tcW w:w="650" w:type="dxa"/>
            <w:shd w:val="clear" w:color="auto" w:fill="auto"/>
            <w:noWrap w:val="0"/>
            <w:vAlign w:val="center"/>
          </w:tcPr>
          <w:p w14:paraId="6EA6D66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shd w:val="clear" w:color="auto" w:fill="auto"/>
            <w:noWrap w:val="0"/>
            <w:vAlign w:val="center"/>
          </w:tcPr>
          <w:p w14:paraId="18B4A9A1">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shd w:val="clear" w:color="auto" w:fill="auto"/>
            <w:noWrap w:val="0"/>
            <w:vAlign w:val="center"/>
          </w:tcPr>
          <w:p w14:paraId="223C2DC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1128" w:type="dxa"/>
            <w:shd w:val="clear" w:color="auto" w:fill="auto"/>
            <w:noWrap w:val="0"/>
            <w:vAlign w:val="center"/>
          </w:tcPr>
          <w:p w14:paraId="452ED7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t>/</w:t>
            </w:r>
          </w:p>
        </w:tc>
        <w:tc>
          <w:tcPr>
            <w:tcW w:w="742" w:type="dxa"/>
            <w:shd w:val="clear" w:color="auto" w:fill="auto"/>
            <w:noWrap w:val="0"/>
            <w:vAlign w:val="center"/>
          </w:tcPr>
          <w:p w14:paraId="71377F6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不符合</w:t>
            </w:r>
          </w:p>
        </w:tc>
      </w:tr>
      <w:tr w14:paraId="146B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dxa"/>
            <w:shd w:val="clear" w:color="auto" w:fill="auto"/>
            <w:noWrap w:val="0"/>
            <w:vAlign w:val="center"/>
          </w:tcPr>
          <w:p w14:paraId="6180AF8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t>3</w:t>
            </w:r>
          </w:p>
        </w:tc>
        <w:tc>
          <w:tcPr>
            <w:tcW w:w="548" w:type="dxa"/>
            <w:vMerge w:val="restart"/>
            <w:noWrap w:val="0"/>
            <w:vAlign w:val="center"/>
          </w:tcPr>
          <w:p w14:paraId="3560E02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废水</w:t>
            </w:r>
          </w:p>
        </w:tc>
        <w:tc>
          <w:tcPr>
            <w:tcW w:w="848" w:type="dxa"/>
            <w:vMerge w:val="restart"/>
            <w:noWrap w:val="0"/>
            <w:vAlign w:val="center"/>
          </w:tcPr>
          <w:p w14:paraId="72E4590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DW001</w:t>
            </w:r>
          </w:p>
        </w:tc>
        <w:tc>
          <w:tcPr>
            <w:tcW w:w="951" w:type="dxa"/>
            <w:vMerge w:val="restart"/>
            <w:noWrap w:val="0"/>
            <w:vAlign w:val="center"/>
          </w:tcPr>
          <w:p w14:paraId="0E202D8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废水总排口</w:t>
            </w:r>
          </w:p>
        </w:tc>
        <w:tc>
          <w:tcPr>
            <w:tcW w:w="1318" w:type="dxa"/>
            <w:noWrap w:val="0"/>
            <w:vAlign w:val="center"/>
          </w:tcPr>
          <w:p w14:paraId="4C6CD4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pH值</w:t>
            </w:r>
          </w:p>
        </w:tc>
        <w:tc>
          <w:tcPr>
            <w:tcW w:w="650" w:type="dxa"/>
            <w:noWrap w:val="0"/>
            <w:vAlign w:val="center"/>
          </w:tcPr>
          <w:p w14:paraId="533F5E1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noWrap w:val="0"/>
            <w:vAlign w:val="center"/>
          </w:tcPr>
          <w:p w14:paraId="75EDDCB1">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noWrap w:val="0"/>
            <w:vAlign w:val="center"/>
          </w:tcPr>
          <w:p w14:paraId="38DA64C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1128" w:type="dxa"/>
            <w:noWrap w:val="0"/>
            <w:vAlign w:val="center"/>
          </w:tcPr>
          <w:p w14:paraId="7AFCF0F2">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742" w:type="dxa"/>
            <w:noWrap w:val="0"/>
            <w:vAlign w:val="center"/>
          </w:tcPr>
          <w:p w14:paraId="3842206F">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符合</w:t>
            </w:r>
          </w:p>
        </w:tc>
      </w:tr>
      <w:tr w14:paraId="2884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dxa"/>
            <w:shd w:val="clear" w:color="auto" w:fill="auto"/>
            <w:noWrap w:val="0"/>
            <w:vAlign w:val="center"/>
          </w:tcPr>
          <w:p w14:paraId="6F275B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t>4</w:t>
            </w:r>
          </w:p>
        </w:tc>
        <w:tc>
          <w:tcPr>
            <w:tcW w:w="548" w:type="dxa"/>
            <w:vMerge w:val="continue"/>
            <w:noWrap w:val="0"/>
            <w:vAlign w:val="center"/>
          </w:tcPr>
          <w:p w14:paraId="47CED2A4">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848" w:type="dxa"/>
            <w:vMerge w:val="continue"/>
            <w:noWrap w:val="0"/>
            <w:vAlign w:val="center"/>
          </w:tcPr>
          <w:p w14:paraId="32C3D748">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951" w:type="dxa"/>
            <w:vMerge w:val="continue"/>
            <w:noWrap w:val="0"/>
            <w:vAlign w:val="center"/>
          </w:tcPr>
          <w:p w14:paraId="0EE5CC2E">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1318" w:type="dxa"/>
            <w:noWrap w:val="0"/>
            <w:vAlign w:val="center"/>
          </w:tcPr>
          <w:p w14:paraId="7BEF088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悬浮物</w:t>
            </w:r>
          </w:p>
        </w:tc>
        <w:tc>
          <w:tcPr>
            <w:tcW w:w="650" w:type="dxa"/>
            <w:noWrap w:val="0"/>
            <w:vAlign w:val="center"/>
          </w:tcPr>
          <w:p w14:paraId="7573CD4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noWrap w:val="0"/>
            <w:vAlign w:val="center"/>
          </w:tcPr>
          <w:p w14:paraId="6BBDBE43">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noWrap w:val="0"/>
            <w:vAlign w:val="center"/>
          </w:tcPr>
          <w:p w14:paraId="0F50F77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1128" w:type="dxa"/>
            <w:noWrap w:val="0"/>
            <w:vAlign w:val="center"/>
          </w:tcPr>
          <w:p w14:paraId="598198A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742" w:type="dxa"/>
            <w:noWrap w:val="0"/>
            <w:vAlign w:val="center"/>
          </w:tcPr>
          <w:p w14:paraId="4083B6E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符合</w:t>
            </w:r>
          </w:p>
        </w:tc>
      </w:tr>
      <w:tr w14:paraId="3372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dxa"/>
            <w:shd w:val="clear" w:color="auto" w:fill="auto"/>
            <w:noWrap w:val="0"/>
            <w:vAlign w:val="center"/>
          </w:tcPr>
          <w:p w14:paraId="3D4251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t>5</w:t>
            </w:r>
          </w:p>
        </w:tc>
        <w:tc>
          <w:tcPr>
            <w:tcW w:w="548" w:type="dxa"/>
            <w:vMerge w:val="continue"/>
            <w:noWrap w:val="0"/>
            <w:vAlign w:val="center"/>
          </w:tcPr>
          <w:p w14:paraId="01493919">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848" w:type="dxa"/>
            <w:vMerge w:val="continue"/>
            <w:noWrap w:val="0"/>
            <w:vAlign w:val="center"/>
          </w:tcPr>
          <w:p w14:paraId="0F3C1AAF">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951" w:type="dxa"/>
            <w:vMerge w:val="continue"/>
            <w:noWrap w:val="0"/>
            <w:vAlign w:val="center"/>
          </w:tcPr>
          <w:p w14:paraId="57D2CE9B">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1318" w:type="dxa"/>
            <w:noWrap w:val="0"/>
            <w:vAlign w:val="center"/>
          </w:tcPr>
          <w:p w14:paraId="32D7FFB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五日生化需氧量</w:t>
            </w:r>
          </w:p>
        </w:tc>
        <w:tc>
          <w:tcPr>
            <w:tcW w:w="650" w:type="dxa"/>
            <w:noWrap w:val="0"/>
            <w:vAlign w:val="center"/>
          </w:tcPr>
          <w:p w14:paraId="4514B38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noWrap w:val="0"/>
            <w:vAlign w:val="center"/>
          </w:tcPr>
          <w:p w14:paraId="296D99A0">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noWrap w:val="0"/>
            <w:vAlign w:val="center"/>
          </w:tcPr>
          <w:p w14:paraId="010FB5B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1128" w:type="dxa"/>
            <w:noWrap w:val="0"/>
            <w:vAlign w:val="center"/>
          </w:tcPr>
          <w:p w14:paraId="7BA8DBA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742" w:type="dxa"/>
            <w:noWrap w:val="0"/>
            <w:vAlign w:val="center"/>
          </w:tcPr>
          <w:p w14:paraId="7E4751A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符合</w:t>
            </w:r>
          </w:p>
        </w:tc>
      </w:tr>
      <w:tr w14:paraId="4A8E6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dxa"/>
            <w:shd w:val="clear" w:color="auto" w:fill="auto"/>
            <w:noWrap w:val="0"/>
            <w:vAlign w:val="center"/>
          </w:tcPr>
          <w:p w14:paraId="08E0044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t>6</w:t>
            </w:r>
          </w:p>
        </w:tc>
        <w:tc>
          <w:tcPr>
            <w:tcW w:w="548" w:type="dxa"/>
            <w:vMerge w:val="continue"/>
            <w:noWrap w:val="0"/>
            <w:vAlign w:val="center"/>
          </w:tcPr>
          <w:p w14:paraId="04E89DFC">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848" w:type="dxa"/>
            <w:vMerge w:val="continue"/>
            <w:noWrap w:val="0"/>
            <w:vAlign w:val="center"/>
          </w:tcPr>
          <w:p w14:paraId="23232B1F">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951" w:type="dxa"/>
            <w:vMerge w:val="continue"/>
            <w:noWrap w:val="0"/>
            <w:vAlign w:val="center"/>
          </w:tcPr>
          <w:p w14:paraId="70E04477">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1318" w:type="dxa"/>
            <w:noWrap w:val="0"/>
            <w:vAlign w:val="center"/>
          </w:tcPr>
          <w:p w14:paraId="20C83EF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化学需氧量</w:t>
            </w:r>
          </w:p>
        </w:tc>
        <w:tc>
          <w:tcPr>
            <w:tcW w:w="650" w:type="dxa"/>
            <w:noWrap w:val="0"/>
            <w:vAlign w:val="center"/>
          </w:tcPr>
          <w:p w14:paraId="2BFBD0B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noWrap w:val="0"/>
            <w:vAlign w:val="center"/>
          </w:tcPr>
          <w:p w14:paraId="28B9519C">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noWrap w:val="0"/>
            <w:vAlign w:val="center"/>
          </w:tcPr>
          <w:p w14:paraId="4E0F0C2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1128" w:type="dxa"/>
            <w:noWrap w:val="0"/>
            <w:vAlign w:val="center"/>
          </w:tcPr>
          <w:p w14:paraId="3AF2ADB8">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742" w:type="dxa"/>
            <w:noWrap w:val="0"/>
            <w:vAlign w:val="center"/>
          </w:tcPr>
          <w:p w14:paraId="5D66E5F7">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符合</w:t>
            </w:r>
          </w:p>
        </w:tc>
      </w:tr>
      <w:tr w14:paraId="5AD9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dxa"/>
            <w:shd w:val="clear" w:color="auto" w:fill="auto"/>
            <w:noWrap w:val="0"/>
            <w:vAlign w:val="center"/>
          </w:tcPr>
          <w:p w14:paraId="59E92D3F">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7</w:t>
            </w:r>
          </w:p>
        </w:tc>
        <w:tc>
          <w:tcPr>
            <w:tcW w:w="548" w:type="dxa"/>
            <w:vMerge w:val="continue"/>
            <w:noWrap w:val="0"/>
            <w:vAlign w:val="center"/>
          </w:tcPr>
          <w:p w14:paraId="480C63A6">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848" w:type="dxa"/>
            <w:vMerge w:val="continue"/>
            <w:noWrap w:val="0"/>
            <w:vAlign w:val="center"/>
          </w:tcPr>
          <w:p w14:paraId="7B263DD9">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951" w:type="dxa"/>
            <w:vMerge w:val="continue"/>
            <w:noWrap w:val="0"/>
            <w:vAlign w:val="center"/>
          </w:tcPr>
          <w:p w14:paraId="059503E7">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1318" w:type="dxa"/>
            <w:noWrap w:val="0"/>
            <w:vAlign w:val="center"/>
          </w:tcPr>
          <w:p w14:paraId="4A48762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氨氮</w:t>
            </w:r>
          </w:p>
        </w:tc>
        <w:tc>
          <w:tcPr>
            <w:tcW w:w="650" w:type="dxa"/>
            <w:noWrap w:val="0"/>
            <w:vAlign w:val="center"/>
          </w:tcPr>
          <w:p w14:paraId="1D1AADA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noWrap w:val="0"/>
            <w:vAlign w:val="center"/>
          </w:tcPr>
          <w:p w14:paraId="50A71F2B">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noWrap w:val="0"/>
            <w:vAlign w:val="center"/>
          </w:tcPr>
          <w:p w14:paraId="3281A1E7">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1128" w:type="dxa"/>
            <w:noWrap w:val="0"/>
            <w:vAlign w:val="center"/>
          </w:tcPr>
          <w:p w14:paraId="2E1B82D0">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742" w:type="dxa"/>
            <w:noWrap w:val="0"/>
            <w:vAlign w:val="center"/>
          </w:tcPr>
          <w:p w14:paraId="3B6DE80D">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符合</w:t>
            </w:r>
          </w:p>
        </w:tc>
      </w:tr>
      <w:tr w14:paraId="74FB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dxa"/>
            <w:shd w:val="clear" w:color="auto" w:fill="auto"/>
            <w:noWrap w:val="0"/>
            <w:vAlign w:val="center"/>
          </w:tcPr>
          <w:p w14:paraId="14115E5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8</w:t>
            </w:r>
          </w:p>
        </w:tc>
        <w:tc>
          <w:tcPr>
            <w:tcW w:w="548" w:type="dxa"/>
            <w:vMerge w:val="continue"/>
            <w:noWrap w:val="0"/>
            <w:vAlign w:val="center"/>
          </w:tcPr>
          <w:p w14:paraId="5FEA74F1">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848" w:type="dxa"/>
            <w:vMerge w:val="continue"/>
            <w:noWrap w:val="0"/>
            <w:vAlign w:val="center"/>
          </w:tcPr>
          <w:p w14:paraId="0431E4C6">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951" w:type="dxa"/>
            <w:vMerge w:val="continue"/>
            <w:noWrap w:val="0"/>
            <w:vAlign w:val="center"/>
          </w:tcPr>
          <w:p w14:paraId="6C1C8816">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1318" w:type="dxa"/>
            <w:noWrap w:val="0"/>
            <w:vAlign w:val="center"/>
          </w:tcPr>
          <w:p w14:paraId="5BB980D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总磷</w:t>
            </w:r>
          </w:p>
        </w:tc>
        <w:tc>
          <w:tcPr>
            <w:tcW w:w="650" w:type="dxa"/>
            <w:noWrap w:val="0"/>
            <w:vAlign w:val="center"/>
          </w:tcPr>
          <w:p w14:paraId="54F1A3A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noWrap w:val="0"/>
            <w:vAlign w:val="center"/>
          </w:tcPr>
          <w:p w14:paraId="21C63EEA">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noWrap w:val="0"/>
            <w:vAlign w:val="center"/>
          </w:tcPr>
          <w:p w14:paraId="32B1202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1128" w:type="dxa"/>
            <w:noWrap w:val="0"/>
            <w:vAlign w:val="center"/>
          </w:tcPr>
          <w:p w14:paraId="23FDDEE7">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742" w:type="dxa"/>
            <w:noWrap w:val="0"/>
            <w:vAlign w:val="center"/>
          </w:tcPr>
          <w:p w14:paraId="395EA65E">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符合</w:t>
            </w:r>
          </w:p>
        </w:tc>
      </w:tr>
      <w:tr w14:paraId="4C85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dxa"/>
            <w:noWrap w:val="0"/>
            <w:vAlign w:val="center"/>
          </w:tcPr>
          <w:p w14:paraId="6FBDF72D">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9</w:t>
            </w:r>
          </w:p>
        </w:tc>
        <w:tc>
          <w:tcPr>
            <w:tcW w:w="548" w:type="dxa"/>
            <w:vMerge w:val="continue"/>
            <w:noWrap w:val="0"/>
            <w:vAlign w:val="center"/>
          </w:tcPr>
          <w:p w14:paraId="659B6C58">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848" w:type="dxa"/>
            <w:vMerge w:val="continue"/>
            <w:noWrap w:val="0"/>
            <w:vAlign w:val="center"/>
          </w:tcPr>
          <w:p w14:paraId="1307DA83">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951" w:type="dxa"/>
            <w:vMerge w:val="continue"/>
            <w:noWrap w:val="0"/>
            <w:vAlign w:val="center"/>
          </w:tcPr>
          <w:p w14:paraId="44C8616B">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p>
        </w:tc>
        <w:tc>
          <w:tcPr>
            <w:tcW w:w="1318" w:type="dxa"/>
            <w:noWrap w:val="0"/>
            <w:vAlign w:val="center"/>
          </w:tcPr>
          <w:p w14:paraId="1A89E11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流量</w:t>
            </w:r>
          </w:p>
        </w:tc>
        <w:tc>
          <w:tcPr>
            <w:tcW w:w="650" w:type="dxa"/>
            <w:noWrap w:val="0"/>
            <w:vAlign w:val="center"/>
          </w:tcPr>
          <w:p w14:paraId="715B8323">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noWrap w:val="0"/>
            <w:vAlign w:val="center"/>
          </w:tcPr>
          <w:p w14:paraId="348F1230">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noWrap w:val="0"/>
            <w:vAlign w:val="center"/>
          </w:tcPr>
          <w:p w14:paraId="0946358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1128" w:type="dxa"/>
            <w:shd w:val="clear" w:color="auto" w:fill="auto"/>
            <w:noWrap w:val="0"/>
            <w:vAlign w:val="center"/>
          </w:tcPr>
          <w:p w14:paraId="18C0DD9C">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kern w:val="2"/>
                <w:sz w:val="18"/>
                <w:szCs w:val="18"/>
                <w:u w:val="none"/>
                <w:lang w:val="en-US" w:eastAsia="zh-CN" w:bidi="ar-SA"/>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742" w:type="dxa"/>
            <w:shd w:val="clear" w:color="auto" w:fill="auto"/>
            <w:noWrap w:val="0"/>
            <w:vAlign w:val="center"/>
          </w:tcPr>
          <w:p w14:paraId="4B312D78">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r>
      <w:tr w14:paraId="0A85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dxa"/>
            <w:noWrap w:val="0"/>
            <w:vAlign w:val="center"/>
          </w:tcPr>
          <w:p w14:paraId="5312F01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10</w:t>
            </w:r>
          </w:p>
        </w:tc>
        <w:tc>
          <w:tcPr>
            <w:tcW w:w="548" w:type="dxa"/>
            <w:noWrap w:val="0"/>
            <w:vAlign w:val="center"/>
          </w:tcPr>
          <w:p w14:paraId="4432067A">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噪声</w:t>
            </w:r>
          </w:p>
        </w:tc>
        <w:tc>
          <w:tcPr>
            <w:tcW w:w="1799" w:type="dxa"/>
            <w:gridSpan w:val="2"/>
            <w:noWrap w:val="0"/>
            <w:vAlign w:val="center"/>
          </w:tcPr>
          <w:p w14:paraId="0777608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厂界噪声</w:t>
            </w:r>
          </w:p>
        </w:tc>
        <w:tc>
          <w:tcPr>
            <w:tcW w:w="1318" w:type="dxa"/>
            <w:noWrap w:val="0"/>
            <w:vAlign w:val="center"/>
          </w:tcPr>
          <w:p w14:paraId="6A390C6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Leq</w:t>
            </w:r>
          </w:p>
        </w:tc>
        <w:tc>
          <w:tcPr>
            <w:tcW w:w="650" w:type="dxa"/>
            <w:noWrap w:val="0"/>
            <w:vAlign w:val="center"/>
          </w:tcPr>
          <w:p w14:paraId="5489106A">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手工</w:t>
            </w:r>
          </w:p>
        </w:tc>
        <w:tc>
          <w:tcPr>
            <w:tcW w:w="680" w:type="dxa"/>
            <w:noWrap w:val="0"/>
            <w:vAlign w:val="center"/>
          </w:tcPr>
          <w:p w14:paraId="4DC2C54F">
            <w:pPr>
              <w:keepNext w:val="0"/>
              <w:keepLines w:val="0"/>
              <w:pageBreakBefore w:val="0"/>
              <w:kinsoku/>
              <w:wordWrap/>
              <w:overflowPunct/>
              <w:topLinePunct w:val="0"/>
              <w:autoSpaceDE/>
              <w:autoSpaceDN/>
              <w:bidi w:val="0"/>
              <w:adjustRightInd w:val="0"/>
              <w:snapToGrid w:val="0"/>
              <w:spacing w:line="240" w:lineRule="auto"/>
              <w:jc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t>/</w:t>
            </w:r>
          </w:p>
        </w:tc>
        <w:tc>
          <w:tcPr>
            <w:tcW w:w="840" w:type="dxa"/>
            <w:noWrap w:val="0"/>
            <w:vAlign w:val="center"/>
          </w:tcPr>
          <w:p w14:paraId="3CAD47C1">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1次/季</w:t>
            </w:r>
          </w:p>
        </w:tc>
        <w:tc>
          <w:tcPr>
            <w:tcW w:w="1128" w:type="dxa"/>
            <w:noWrap w:val="0"/>
            <w:vAlign w:val="center"/>
          </w:tcPr>
          <w:p w14:paraId="391E5B9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sz w:val="18"/>
                <w:szCs w:val="18"/>
                <w:u w:val="none"/>
                <w:lang w:val="en-US" w:eastAsia="zh-CN"/>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1次/年</w:t>
            </w:r>
          </w:p>
        </w:tc>
        <w:tc>
          <w:tcPr>
            <w:tcW w:w="742" w:type="dxa"/>
            <w:noWrap w:val="0"/>
            <w:vAlign w:val="center"/>
          </w:tcPr>
          <w:p w14:paraId="609487F0">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pPr>
            <w:r>
              <w:rPr>
                <w:rFonts w:hint="default" w:ascii="Arial" w:hAnsi="Arial" w:eastAsia="宋体" w:cs="Arial"/>
                <w:b w:val="0"/>
                <w:bCs w:val="0"/>
                <w:i w:val="0"/>
                <w:iCs w:val="0"/>
                <w:color w:val="000000" w:themeColor="text1"/>
                <w:w w:val="100"/>
                <w:kern w:val="0"/>
                <w:sz w:val="18"/>
                <w:szCs w:val="18"/>
                <w:u w:val="none"/>
                <w:lang w:val="en-US" w:eastAsia="zh-CN" w:bidi="ar"/>
                <w14:textFill>
                  <w14:solidFill>
                    <w14:schemeClr w14:val="tx1"/>
                  </w14:solidFill>
                </w14:textFill>
              </w:rPr>
              <w:t>不符合</w:t>
            </w:r>
          </w:p>
        </w:tc>
      </w:tr>
    </w:tbl>
    <w:p w14:paraId="5F267D76">
      <w:pPr>
        <w:pStyle w:val="120"/>
        <w:spacing w:line="360" w:lineRule="auto"/>
        <w:ind w:firstLine="477" w:firstLineChars="199"/>
        <w:rPr>
          <w:rFonts w:hint="default" w:ascii="Arial" w:hAnsi="Arial" w:eastAsia="宋体" w:cs="Arial"/>
          <w:bCs/>
          <w:sz w:val="24"/>
          <w:szCs w:val="24"/>
          <w:lang w:val="en-GB"/>
        </w:rPr>
      </w:pPr>
      <w:r>
        <w:rPr>
          <w:rFonts w:hint="default" w:ascii="Arial" w:hAnsi="Arial" w:eastAsia="宋体" w:cs="Arial"/>
          <w:bCs/>
          <w:sz w:val="24"/>
          <w:szCs w:val="24"/>
          <w:lang w:val="en-GB"/>
        </w:rPr>
        <w:t>企业现有工程已履行环保手续，并通过阶段性环保验收，</w:t>
      </w:r>
      <w:r>
        <w:rPr>
          <w:rFonts w:hint="default" w:ascii="Arial" w:hAnsi="Arial" w:eastAsia="宋体" w:cs="Arial"/>
          <w:bCs/>
          <w:sz w:val="24"/>
          <w:szCs w:val="24"/>
          <w:lang w:val="en-US" w:eastAsia="zh-CN"/>
        </w:rPr>
        <w:t>完成了固定污染源登记</w:t>
      </w:r>
      <w:r>
        <w:rPr>
          <w:rFonts w:hint="default" w:ascii="Arial" w:hAnsi="Arial" w:eastAsia="宋体" w:cs="Arial"/>
          <w:bCs/>
          <w:sz w:val="24"/>
          <w:szCs w:val="24"/>
          <w:lang w:val="en-GB"/>
        </w:rPr>
        <w:t>（</w:t>
      </w:r>
      <w:r>
        <w:rPr>
          <w:rFonts w:hint="default" w:ascii="Arial" w:hAnsi="Arial" w:eastAsia="宋体" w:cs="Arial"/>
          <w:sz w:val="24"/>
          <w:szCs w:val="24"/>
        </w:rPr>
        <w:t>登记编号913304</w:t>
      </w:r>
      <w:r>
        <w:rPr>
          <w:rFonts w:hint="default" w:ascii="Arial" w:hAnsi="Arial" w:eastAsia="宋体" w:cs="Arial"/>
          <w:sz w:val="24"/>
          <w:szCs w:val="24"/>
          <w:lang w:val="en-US" w:eastAsia="zh-CN"/>
        </w:rPr>
        <w:t>82</w:t>
      </w:r>
      <w:r>
        <w:rPr>
          <w:rFonts w:hint="default" w:ascii="Arial" w:hAnsi="Arial" w:eastAsia="宋体" w:cs="Arial"/>
          <w:sz w:val="24"/>
          <w:szCs w:val="24"/>
        </w:rPr>
        <w:t>MA28</w:t>
      </w:r>
      <w:r>
        <w:rPr>
          <w:rFonts w:hint="default" w:ascii="Arial" w:hAnsi="Arial" w:eastAsia="宋体" w:cs="Arial"/>
          <w:sz w:val="24"/>
          <w:szCs w:val="24"/>
          <w:lang w:val="en-US" w:eastAsia="zh-CN"/>
        </w:rPr>
        <w:t>A9AEST</w:t>
      </w:r>
      <w:r>
        <w:rPr>
          <w:rFonts w:hint="default" w:ascii="Arial" w:hAnsi="Arial" w:eastAsia="宋体" w:cs="Arial"/>
          <w:bCs/>
          <w:sz w:val="24"/>
          <w:szCs w:val="24"/>
          <w:lang w:val="en-GB"/>
        </w:rPr>
        <w:t>），相关环保措施均已落实到位。</w:t>
      </w:r>
      <w:r>
        <w:rPr>
          <w:rFonts w:hint="default" w:ascii="Arial" w:hAnsi="Arial" w:eastAsia="宋体" w:cs="Arial"/>
          <w:bCs/>
          <w:sz w:val="24"/>
          <w:szCs w:val="24"/>
        </w:rPr>
        <w:t>现有工程</w:t>
      </w:r>
      <w:r>
        <w:rPr>
          <w:rFonts w:hint="default" w:ascii="Arial" w:hAnsi="Arial" w:eastAsia="宋体" w:cs="Arial"/>
          <w:bCs/>
          <w:sz w:val="24"/>
          <w:szCs w:val="24"/>
          <w:lang w:val="en-GB"/>
        </w:rPr>
        <w:t>生产过程中产生的废气、废水和噪声均满足相应排放标准要求、实现达标排放</w:t>
      </w:r>
      <w:r>
        <w:rPr>
          <w:rFonts w:hint="default" w:ascii="Arial" w:hAnsi="Arial" w:eastAsia="宋体" w:cs="Arial"/>
          <w:bCs/>
          <w:color w:val="000000" w:themeColor="text1"/>
          <w:sz w:val="24"/>
          <w:szCs w:val="24"/>
          <w:lang w:val="en-GB" w:eastAsia="zh-CN"/>
          <w14:textFill>
            <w14:solidFill>
              <w14:schemeClr w14:val="tx1"/>
            </w14:solidFill>
          </w14:textFill>
        </w:rPr>
        <w:t>，</w:t>
      </w:r>
      <w:r>
        <w:rPr>
          <w:rFonts w:hint="default" w:ascii="Arial" w:hAnsi="Arial" w:eastAsia="宋体" w:cs="Arial"/>
          <w:color w:val="000000" w:themeColor="text1"/>
          <w:sz w:val="24"/>
          <w:szCs w:val="24"/>
          <w14:textFill>
            <w14:solidFill>
              <w14:schemeClr w14:val="tx1"/>
            </w14:solidFill>
          </w14:textFill>
        </w:rPr>
        <w:t>现有工程的实际</w:t>
      </w:r>
      <w:r>
        <w:rPr>
          <w:rFonts w:hint="default" w:ascii="Arial" w:hAnsi="Arial" w:eastAsia="宋体" w:cs="Arial"/>
          <w:bCs/>
          <w:color w:val="000000" w:themeColor="text1"/>
          <w:sz w:val="24"/>
          <w:szCs w:val="24"/>
          <w:lang w:val="en-GB"/>
          <w14:textFill>
            <w14:solidFill>
              <w14:schemeClr w14:val="tx1"/>
            </w14:solidFill>
          </w14:textFill>
        </w:rPr>
        <w:t>污染物排放量能够符合</w:t>
      </w:r>
      <w:r>
        <w:rPr>
          <w:rFonts w:hint="eastAsia" w:ascii="Arial" w:hAnsi="Arial" w:eastAsia="宋体" w:cs="Arial"/>
          <w:bCs/>
          <w:color w:val="000000" w:themeColor="text1"/>
          <w:sz w:val="24"/>
          <w:szCs w:val="24"/>
          <w:lang w:val="en-US" w:eastAsia="zh-CN"/>
          <w14:textFill>
            <w14:solidFill>
              <w14:schemeClr w14:val="tx1"/>
            </w14:solidFill>
          </w14:textFill>
        </w:rPr>
        <w:t>原环评的</w:t>
      </w:r>
      <w:r>
        <w:rPr>
          <w:rFonts w:hint="default" w:ascii="Arial" w:hAnsi="Arial" w:eastAsia="宋体" w:cs="Arial"/>
          <w:bCs/>
          <w:color w:val="000000" w:themeColor="text1"/>
          <w:sz w:val="24"/>
          <w:szCs w:val="24"/>
          <w:lang w:val="en-GB"/>
          <w14:textFill>
            <w14:solidFill>
              <w14:schemeClr w14:val="tx1"/>
            </w14:solidFill>
          </w14:textFill>
        </w:rPr>
        <w:t>总量控制</w:t>
      </w:r>
      <w:r>
        <w:rPr>
          <w:rFonts w:hint="default" w:ascii="Arial" w:hAnsi="Arial" w:eastAsia="宋体" w:cs="Arial"/>
          <w:bCs/>
          <w:sz w:val="24"/>
          <w:szCs w:val="24"/>
          <w:lang w:val="en-GB"/>
        </w:rPr>
        <w:t>指标，能够符合总量控制要求。</w:t>
      </w:r>
    </w:p>
    <w:p w14:paraId="7F2DBE2B">
      <w:pPr>
        <w:pStyle w:val="76"/>
        <w:spacing w:line="360" w:lineRule="auto"/>
        <w:ind w:left="105" w:leftChars="50" w:right="105" w:rightChars="50" w:firstLine="480"/>
        <w:rPr>
          <w:rFonts w:hint="eastAsia" w:ascii="Arial" w:hAnsi="Arial" w:eastAsia="宋体" w:cs="Arial"/>
          <w:bCs/>
          <w:kern w:val="2"/>
          <w:sz w:val="24"/>
          <w:szCs w:val="24"/>
          <w:lang w:val="en-US" w:eastAsia="zh-CN" w:bidi="ar-SA"/>
        </w:rPr>
      </w:pPr>
      <w:r>
        <w:rPr>
          <w:rFonts w:hint="eastAsia" w:ascii="Arial" w:hAnsi="Arial" w:eastAsia="宋体" w:cs="Arial"/>
          <w:bCs/>
          <w:kern w:val="2"/>
          <w:sz w:val="24"/>
          <w:szCs w:val="24"/>
          <w:lang w:val="en-US" w:eastAsia="zh-CN" w:bidi="ar-SA"/>
        </w:rPr>
        <w:t>存在问题及整改措施：</w:t>
      </w:r>
    </w:p>
    <w:p w14:paraId="1E7C27FE">
      <w:pPr>
        <w:pStyle w:val="76"/>
        <w:spacing w:line="360" w:lineRule="auto"/>
        <w:ind w:left="105" w:leftChars="50" w:right="105" w:rightChars="50" w:firstLine="480"/>
        <w:rPr>
          <w:rFonts w:hint="default" w:ascii="Arial" w:hAnsi="Arial" w:eastAsia="宋体" w:cs="Arial"/>
          <w:bCs/>
          <w:kern w:val="2"/>
          <w:sz w:val="24"/>
          <w:szCs w:val="24"/>
          <w:lang w:val="en-US" w:eastAsia="zh-CN" w:bidi="ar-SA"/>
        </w:rPr>
      </w:pPr>
      <w:r>
        <w:rPr>
          <w:rFonts w:hint="eastAsia" w:ascii="Arial" w:hAnsi="Arial" w:eastAsia="宋体" w:cs="Arial"/>
          <w:bCs/>
          <w:kern w:val="2"/>
          <w:sz w:val="24"/>
          <w:szCs w:val="24"/>
          <w:lang w:val="en-US" w:eastAsia="zh-CN" w:bidi="ar-SA"/>
        </w:rPr>
        <w:t>1、原环评未明确含油金属屑、磨搓泥产生情况，因此企业目前产生的含油金属屑磨搓泥未与金属边角料分离，一同出售给物资回收公司。</w:t>
      </w:r>
      <w:r>
        <w:rPr>
          <w:rFonts w:hint="default" w:ascii="Arial" w:hAnsi="Arial" w:eastAsia="宋体" w:cs="Arial"/>
          <w:bCs/>
          <w:kern w:val="2"/>
          <w:sz w:val="24"/>
          <w:szCs w:val="24"/>
          <w:lang w:val="en-US" w:eastAsia="zh-CN" w:bidi="ar-SA"/>
        </w:rPr>
        <w:t>根据《国家危险废物名录（2025版）》含油金属屑</w:t>
      </w:r>
      <w:r>
        <w:rPr>
          <w:rFonts w:hint="eastAsia" w:ascii="Arial" w:hAnsi="Arial" w:eastAsia="宋体" w:cs="Arial"/>
          <w:bCs/>
          <w:kern w:val="2"/>
          <w:sz w:val="24"/>
          <w:szCs w:val="24"/>
          <w:lang w:val="en-US" w:eastAsia="zh-CN" w:bidi="ar-SA"/>
        </w:rPr>
        <w:t>、磨搓泥</w:t>
      </w:r>
      <w:r>
        <w:rPr>
          <w:rFonts w:hint="default" w:ascii="Arial" w:hAnsi="Arial" w:eastAsia="宋体" w:cs="Arial"/>
          <w:bCs/>
          <w:kern w:val="2"/>
          <w:sz w:val="24"/>
          <w:szCs w:val="24"/>
          <w:lang w:val="en-US" w:eastAsia="zh-CN" w:bidi="ar-SA"/>
        </w:rPr>
        <w:t>属于危险废物，危废代码为HW09 900-006-09，企业应尽快将含油金属屑</w:t>
      </w:r>
      <w:r>
        <w:rPr>
          <w:rFonts w:hint="eastAsia" w:ascii="Arial" w:hAnsi="Arial" w:eastAsia="宋体" w:cs="Arial"/>
          <w:bCs/>
          <w:kern w:val="2"/>
          <w:sz w:val="24"/>
          <w:szCs w:val="24"/>
          <w:lang w:val="en-US" w:eastAsia="zh-CN" w:bidi="ar-SA"/>
        </w:rPr>
        <w:t>、磨搓泥</w:t>
      </w:r>
      <w:r>
        <w:rPr>
          <w:rFonts w:hint="default" w:ascii="Arial" w:hAnsi="Arial" w:eastAsia="宋体" w:cs="Arial"/>
          <w:bCs/>
          <w:kern w:val="2"/>
          <w:sz w:val="24"/>
          <w:szCs w:val="24"/>
          <w:lang w:val="en-US" w:eastAsia="zh-CN" w:bidi="ar-SA"/>
        </w:rPr>
        <w:t>按照危险废物收集、贮存、处置。</w:t>
      </w:r>
    </w:p>
    <w:p w14:paraId="0CEF7699">
      <w:pPr>
        <w:pStyle w:val="120"/>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Arial" w:hAnsi="Arial" w:eastAsia="宋体" w:cs="Arial"/>
          <w:lang w:val="en-US" w:eastAsia="zh-CN"/>
        </w:rPr>
        <w:sectPr>
          <w:headerReference r:id="rId15" w:type="default"/>
          <w:pgSz w:w="11906" w:h="16838"/>
          <w:pgMar w:top="1440" w:right="1287" w:bottom="1440" w:left="2381"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r>
        <w:rPr>
          <w:rFonts w:hint="eastAsia" w:ascii="Arial" w:hAnsi="Arial" w:eastAsia="宋体" w:cs="Arial"/>
          <w:bCs/>
          <w:kern w:val="2"/>
          <w:sz w:val="24"/>
          <w:szCs w:val="24"/>
          <w:lang w:val="en-US" w:eastAsia="zh-CN" w:bidi="ar-SA"/>
        </w:rPr>
        <w:t>2、由表2-21知</w:t>
      </w:r>
      <w:r>
        <w:rPr>
          <w:rFonts w:hint="default" w:ascii="Arial" w:hAnsi="Arial" w:eastAsia="宋体" w:cs="Arial"/>
          <w:bCs/>
          <w:kern w:val="2"/>
          <w:sz w:val="24"/>
          <w:szCs w:val="24"/>
          <w:lang w:val="en-US" w:eastAsia="zh-CN" w:bidi="ar-SA"/>
        </w:rPr>
        <w:t>，企业2024年未按照废气、噪声规定监测频次进行自行监测，</w:t>
      </w:r>
      <w:r>
        <w:rPr>
          <w:rFonts w:hint="default" w:ascii="Arial" w:hAnsi="Arial" w:eastAsia="宋体" w:cs="Arial"/>
          <w:bCs/>
          <w:kern w:val="2"/>
          <w:sz w:val="24"/>
          <w:szCs w:val="24"/>
          <w:lang w:val="en-GB" w:eastAsia="zh-CN" w:bidi="ar-SA"/>
        </w:rPr>
        <w:t>本项目实施后企业需要按照相关规范要求开展</w:t>
      </w:r>
      <w:r>
        <w:rPr>
          <w:rFonts w:hint="default" w:ascii="Arial" w:hAnsi="Arial" w:eastAsia="宋体" w:cs="Arial"/>
          <w:bCs/>
          <w:kern w:val="2"/>
          <w:sz w:val="24"/>
          <w:szCs w:val="24"/>
          <w:lang w:val="en-US" w:eastAsia="zh-CN" w:bidi="ar-SA"/>
        </w:rPr>
        <w:t>废气、废水、噪声</w:t>
      </w:r>
      <w:r>
        <w:rPr>
          <w:rFonts w:hint="default" w:ascii="Arial" w:hAnsi="Arial" w:eastAsia="宋体" w:cs="Arial"/>
          <w:bCs/>
          <w:kern w:val="2"/>
          <w:sz w:val="24"/>
          <w:szCs w:val="24"/>
          <w:lang w:val="en-GB" w:eastAsia="zh-CN" w:bidi="ar-SA"/>
        </w:rPr>
        <w:t>的日常监测。</w:t>
      </w:r>
    </w:p>
    <w:p w14:paraId="2A412B91">
      <w:pPr>
        <w:pStyle w:val="76"/>
        <w:keepNext w:val="0"/>
        <w:keepLines w:val="0"/>
        <w:pageBreakBefore w:val="0"/>
        <w:widowControl w:val="0"/>
        <w:numPr>
          <w:ilvl w:val="0"/>
          <w:numId w:val="9"/>
        </w:numPr>
        <w:kinsoku/>
        <w:wordWrap/>
        <w:overflowPunct/>
        <w:topLinePunct w:val="0"/>
        <w:autoSpaceDE/>
        <w:autoSpaceDN/>
        <w:bidi w:val="0"/>
        <w:adjustRightInd/>
        <w:snapToGrid/>
        <w:spacing w:line="0" w:lineRule="atLeast"/>
        <w:ind w:left="777" w:leftChars="0" w:hanging="567" w:firstLineChars="0"/>
        <w:jc w:val="left"/>
        <w:textAlignment w:val="auto"/>
        <w:outlineLvl w:val="0"/>
        <w:rPr>
          <w:rFonts w:hint="default" w:ascii="Arial" w:hAnsi="Arial" w:eastAsia="宋体" w:cs="Arial"/>
          <w:b/>
          <w:bCs/>
          <w:color w:val="FFFFFF" w:themeColor="background1"/>
          <w:sz w:val="2"/>
          <w:szCs w:val="2"/>
          <w:vertAlign w:val="subscript"/>
          <w14:textFill>
            <w14:solidFill>
              <w14:schemeClr w14:val="bg1"/>
            </w14:solidFill>
          </w14:textFill>
        </w:rPr>
      </w:pPr>
      <w:bookmarkStart w:id="9" w:name="_Toc104732980"/>
      <w:r>
        <w:rPr>
          <w:rFonts w:hint="default" w:ascii="Arial" w:hAnsi="Arial" w:eastAsia="宋体" w:cs="Arial"/>
          <w:b/>
          <w:bCs/>
          <w:color w:val="FFFFFF" w:themeColor="background1"/>
          <w:sz w:val="2"/>
          <w:szCs w:val="2"/>
          <w:vertAlign w:val="subscript"/>
          <w14:textFill>
            <w14:solidFill>
              <w14:schemeClr w14:val="bg1"/>
            </w14:solidFill>
          </w14:textFill>
        </w:rPr>
        <w:t>区域环境质量现状、环境保护目标及评价标准</w:t>
      </w:r>
      <w:bookmarkEnd w:id="9"/>
    </w:p>
    <w:p w14:paraId="6FD26879">
      <w:pPr>
        <w:pStyle w:val="76"/>
        <w:numPr>
          <w:ilvl w:val="1"/>
          <w:numId w:val="4"/>
        </w:numPr>
        <w:spacing w:line="360" w:lineRule="auto"/>
        <w:ind w:left="210" w:leftChars="0" w:firstLineChars="0"/>
        <w:outlineLvl w:val="1"/>
        <w:rPr>
          <w:rFonts w:hint="default" w:ascii="Arial" w:hAnsi="Arial" w:eastAsia="宋体" w:cs="Arial"/>
          <w:b/>
          <w:bCs/>
          <w:sz w:val="24"/>
          <w:szCs w:val="24"/>
        </w:rPr>
      </w:pPr>
      <w:r>
        <w:rPr>
          <w:rFonts w:hint="default" w:ascii="Arial" w:hAnsi="Arial" w:eastAsia="宋体" w:cs="Arial"/>
          <w:b/>
          <w:bCs/>
          <w:sz w:val="24"/>
          <w:szCs w:val="24"/>
        </w:rPr>
        <w:t>区域环境质量现状</w:t>
      </w:r>
    </w:p>
    <w:p w14:paraId="488EC42E">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大气环境质量现状</w:t>
      </w:r>
    </w:p>
    <w:p w14:paraId="08F9D102">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lang w:val="en-US" w:eastAsia="zh-CN"/>
        </w:rPr>
        <w:t>1、</w:t>
      </w:r>
      <w:r>
        <w:rPr>
          <w:rFonts w:hint="default" w:ascii="Arial" w:hAnsi="Arial" w:eastAsia="宋体" w:cs="Arial"/>
          <w:b/>
          <w:bCs/>
          <w:sz w:val="24"/>
          <w:szCs w:val="24"/>
        </w:rPr>
        <w:t>基本污染物环境质量现状数据及现状评价</w:t>
      </w:r>
    </w:p>
    <w:p w14:paraId="5D1EF70C">
      <w:pPr>
        <w:pStyle w:val="76"/>
        <w:spacing w:line="360" w:lineRule="auto"/>
        <w:ind w:firstLine="482" w:firstLineChars="200"/>
        <w:rPr>
          <w:rFonts w:hint="default" w:ascii="Arial" w:hAnsi="Arial" w:eastAsia="宋体" w:cs="Arial"/>
          <w:b/>
          <w:bCs/>
          <w:sz w:val="24"/>
          <w:szCs w:val="24"/>
        </w:rPr>
      </w:pPr>
      <w:r>
        <w:rPr>
          <w:rFonts w:hint="default" w:ascii="Arial" w:hAnsi="Arial" w:eastAsia="宋体" w:cs="Arial"/>
          <w:b/>
          <w:bCs/>
          <w:sz w:val="24"/>
          <w:szCs w:val="24"/>
          <w:lang w:eastAsia="zh-CN"/>
        </w:rPr>
        <w:t>（</w:t>
      </w:r>
      <w:r>
        <w:rPr>
          <w:rFonts w:hint="default" w:ascii="Arial" w:hAnsi="Arial" w:eastAsia="宋体" w:cs="Arial"/>
          <w:b/>
          <w:bCs/>
          <w:sz w:val="24"/>
          <w:szCs w:val="24"/>
          <w:lang w:val="en-US" w:eastAsia="zh-CN"/>
        </w:rPr>
        <w:t>1</w:t>
      </w:r>
      <w:r>
        <w:rPr>
          <w:rFonts w:hint="default" w:ascii="Arial" w:hAnsi="Arial" w:eastAsia="宋体" w:cs="Arial"/>
          <w:b/>
          <w:bCs/>
          <w:sz w:val="24"/>
          <w:szCs w:val="24"/>
          <w:lang w:eastAsia="zh-CN"/>
        </w:rPr>
        <w:t>）</w:t>
      </w:r>
      <w:r>
        <w:rPr>
          <w:rFonts w:hint="default" w:ascii="Arial" w:hAnsi="Arial" w:eastAsia="宋体" w:cs="Arial"/>
          <w:b/>
          <w:bCs/>
          <w:sz w:val="24"/>
          <w:szCs w:val="24"/>
        </w:rPr>
        <w:t>环境空气区域达标性判断</w:t>
      </w:r>
    </w:p>
    <w:p w14:paraId="041A753C">
      <w:pPr>
        <w:pStyle w:val="76"/>
        <w:spacing w:line="360" w:lineRule="auto"/>
        <w:ind w:firstLine="480" w:firstLineChars="200"/>
        <w:rPr>
          <w:rFonts w:hint="default" w:ascii="Arial" w:hAnsi="Arial" w:eastAsia="宋体" w:cs="Arial"/>
          <w:bCs/>
          <w:color w:val="auto"/>
          <w:sz w:val="24"/>
          <w:szCs w:val="24"/>
        </w:rPr>
      </w:pPr>
      <w:r>
        <w:rPr>
          <w:rFonts w:hint="default" w:ascii="Arial" w:hAnsi="Arial" w:eastAsia="宋体" w:cs="Arial"/>
          <w:bCs/>
          <w:sz w:val="24"/>
          <w:szCs w:val="24"/>
        </w:rPr>
        <w:t>建设项目所在地根据环境空气质量功能区分类划分为二类区，执行《环境空气质量标准》(GB 3095—2012)及关于发布《环境空气质量标准》（GB 3095—2012）修改单的公告（生态环境部公告2018年第29号）中二级标准。项目所在区域</w:t>
      </w:r>
      <w:r>
        <w:rPr>
          <w:rFonts w:hint="default" w:ascii="Arial" w:hAnsi="Arial" w:eastAsia="宋体" w:cs="Arial"/>
          <w:bCs/>
          <w:sz w:val="24"/>
          <w:szCs w:val="24"/>
          <w:lang w:val="en-US" w:eastAsia="zh-CN"/>
        </w:rPr>
        <w:t>涉及平湖市钟埭街道和嘉兴市南湖区，为了解项目所在区域的</w:t>
      </w:r>
      <w:r>
        <w:rPr>
          <w:rFonts w:hint="default" w:ascii="Arial" w:hAnsi="Arial" w:eastAsia="宋体" w:cs="Arial"/>
          <w:bCs/>
          <w:sz w:val="24"/>
          <w:szCs w:val="24"/>
        </w:rPr>
        <w:t>环境空气的达标性，本评价引用嘉兴市生态环境局平湖分局提供的《平湖市环境监测年鉴（202</w:t>
      </w:r>
      <w:r>
        <w:rPr>
          <w:rFonts w:hint="default" w:ascii="Arial" w:hAnsi="Arial" w:eastAsia="宋体" w:cs="Arial"/>
          <w:bCs/>
          <w:sz w:val="24"/>
          <w:szCs w:val="24"/>
          <w:lang w:val="en-US" w:eastAsia="zh-CN"/>
        </w:rPr>
        <w:t>4</w:t>
      </w:r>
      <w:r>
        <w:rPr>
          <w:rFonts w:hint="default" w:ascii="Arial" w:hAnsi="Arial" w:eastAsia="宋体" w:cs="Arial"/>
          <w:bCs/>
          <w:sz w:val="24"/>
          <w:szCs w:val="24"/>
        </w:rPr>
        <w:t>年度）》中空气质量监</w:t>
      </w:r>
      <w:r>
        <w:rPr>
          <w:rFonts w:hint="default" w:ascii="Arial" w:hAnsi="Arial" w:eastAsia="宋体" w:cs="Arial"/>
          <w:bCs/>
          <w:color w:val="auto"/>
          <w:sz w:val="24"/>
          <w:szCs w:val="24"/>
        </w:rPr>
        <w:t>测结果进行评价。</w:t>
      </w:r>
    </w:p>
    <w:p w14:paraId="4BB6D4FC">
      <w:pPr>
        <w:pStyle w:val="76"/>
        <w:spacing w:line="360" w:lineRule="auto"/>
        <w:ind w:firstLine="480" w:firstLineChars="200"/>
        <w:rPr>
          <w:rFonts w:hint="default" w:ascii="Arial" w:hAnsi="Arial" w:eastAsia="宋体" w:cs="Arial"/>
          <w:bCs/>
          <w:color w:val="auto"/>
          <w:sz w:val="24"/>
          <w:szCs w:val="24"/>
          <w:lang w:val="en-US" w:eastAsia="zh-CN"/>
        </w:rPr>
      </w:pPr>
      <w:r>
        <w:rPr>
          <w:rFonts w:hint="default" w:ascii="Arial" w:hAnsi="Arial" w:eastAsia="宋体" w:cs="Arial"/>
          <w:bCs/>
          <w:color w:val="auto"/>
          <w:sz w:val="24"/>
          <w:szCs w:val="24"/>
          <w:lang w:val="en-US" w:eastAsia="zh-CN"/>
        </w:rPr>
        <w:t>根据浙江省嘉兴生态环境监测中心数据，202</w:t>
      </w:r>
      <w:r>
        <w:rPr>
          <w:rFonts w:hint="eastAsia" w:ascii="Arial" w:hAnsi="Arial" w:eastAsia="宋体" w:cs="Arial"/>
          <w:bCs/>
          <w:color w:val="auto"/>
          <w:sz w:val="24"/>
          <w:szCs w:val="24"/>
          <w:lang w:val="en-US" w:eastAsia="zh-CN"/>
        </w:rPr>
        <w:t>4</w:t>
      </w:r>
      <w:r>
        <w:rPr>
          <w:rFonts w:hint="default" w:ascii="Arial" w:hAnsi="Arial" w:eastAsia="宋体" w:cs="Arial"/>
          <w:bCs/>
          <w:color w:val="auto"/>
          <w:sz w:val="24"/>
          <w:szCs w:val="24"/>
          <w:lang w:val="en-US" w:eastAsia="zh-CN"/>
        </w:rPr>
        <w:t>年南湖区空气质量综合指数3.</w:t>
      </w:r>
      <w:r>
        <w:rPr>
          <w:rFonts w:hint="eastAsia" w:ascii="Arial" w:hAnsi="Arial" w:eastAsia="宋体" w:cs="Arial"/>
          <w:bCs/>
          <w:color w:val="auto"/>
          <w:sz w:val="24"/>
          <w:szCs w:val="24"/>
          <w:lang w:val="en-US" w:eastAsia="zh-CN"/>
        </w:rPr>
        <w:t>37</w:t>
      </w:r>
      <w:r>
        <w:rPr>
          <w:rFonts w:hint="default" w:ascii="Arial" w:hAnsi="Arial" w:eastAsia="宋体" w:cs="Arial"/>
          <w:bCs/>
          <w:color w:val="auto"/>
          <w:sz w:val="24"/>
          <w:szCs w:val="24"/>
          <w:lang w:val="en-US" w:eastAsia="zh-CN"/>
        </w:rPr>
        <w:t>，同比改善</w:t>
      </w:r>
      <w:r>
        <w:rPr>
          <w:rFonts w:hint="eastAsia" w:ascii="Arial" w:hAnsi="Arial" w:eastAsia="宋体" w:cs="Arial"/>
          <w:bCs/>
          <w:color w:val="auto"/>
          <w:sz w:val="24"/>
          <w:szCs w:val="24"/>
          <w:lang w:val="en-US" w:eastAsia="zh-CN"/>
        </w:rPr>
        <w:t>6.9</w:t>
      </w:r>
      <w:r>
        <w:rPr>
          <w:rFonts w:hint="default" w:ascii="Arial" w:hAnsi="Arial" w:eastAsia="宋体" w:cs="Arial"/>
          <w:bCs/>
          <w:color w:val="auto"/>
          <w:sz w:val="24"/>
          <w:szCs w:val="24"/>
          <w:lang w:val="en-US" w:eastAsia="zh-CN"/>
        </w:rPr>
        <w:t>%；空气质量优良率8</w:t>
      </w:r>
      <w:r>
        <w:rPr>
          <w:rFonts w:hint="eastAsia" w:ascii="Arial" w:hAnsi="Arial" w:eastAsia="宋体" w:cs="Arial"/>
          <w:bCs/>
          <w:color w:val="auto"/>
          <w:sz w:val="24"/>
          <w:szCs w:val="24"/>
          <w:lang w:val="en-US" w:eastAsia="zh-CN"/>
        </w:rPr>
        <w:t>5.2</w:t>
      </w:r>
      <w:r>
        <w:rPr>
          <w:rFonts w:hint="default" w:ascii="Arial" w:hAnsi="Arial" w:eastAsia="宋体" w:cs="Arial"/>
          <w:bCs/>
          <w:color w:val="auto"/>
          <w:sz w:val="24"/>
          <w:szCs w:val="24"/>
          <w:lang w:val="en-US" w:eastAsia="zh-CN"/>
        </w:rPr>
        <w:t>%，同比提高</w:t>
      </w:r>
      <w:r>
        <w:rPr>
          <w:rFonts w:hint="eastAsia" w:ascii="Arial" w:hAnsi="Arial" w:eastAsia="宋体" w:cs="Arial"/>
          <w:bCs/>
          <w:color w:val="auto"/>
          <w:sz w:val="24"/>
          <w:szCs w:val="24"/>
          <w:lang w:val="en-US" w:eastAsia="zh-CN"/>
        </w:rPr>
        <w:t>1.4</w:t>
      </w:r>
      <w:r>
        <w:rPr>
          <w:rFonts w:hint="default" w:ascii="Arial" w:hAnsi="Arial" w:eastAsia="宋体" w:cs="Arial"/>
          <w:bCs/>
          <w:color w:val="auto"/>
          <w:sz w:val="24"/>
          <w:szCs w:val="24"/>
          <w:lang w:val="en-US" w:eastAsia="zh-CN"/>
        </w:rPr>
        <w:t>个百分点；PM</w:t>
      </w:r>
      <w:r>
        <w:rPr>
          <w:rFonts w:hint="default" w:ascii="Arial" w:hAnsi="Arial" w:eastAsia="宋体" w:cs="Arial"/>
          <w:bCs/>
          <w:color w:val="auto"/>
          <w:sz w:val="24"/>
          <w:szCs w:val="24"/>
          <w:vertAlign w:val="subscript"/>
          <w:lang w:val="en-US" w:eastAsia="zh-CN"/>
        </w:rPr>
        <w:t>2.5</w:t>
      </w:r>
      <w:r>
        <w:rPr>
          <w:rFonts w:hint="default" w:ascii="Arial" w:hAnsi="Arial" w:eastAsia="宋体" w:cs="Arial"/>
          <w:bCs/>
          <w:color w:val="auto"/>
          <w:sz w:val="24"/>
          <w:szCs w:val="24"/>
          <w:lang w:val="en-US" w:eastAsia="zh-CN"/>
        </w:rPr>
        <w:t>年均浓度27.2μg/m</w:t>
      </w:r>
      <w:r>
        <w:rPr>
          <w:rFonts w:hint="default" w:ascii="Arial" w:hAnsi="Arial" w:eastAsia="宋体" w:cs="Arial"/>
          <w:bCs/>
          <w:color w:val="auto"/>
          <w:sz w:val="24"/>
          <w:szCs w:val="24"/>
          <w:vertAlign w:val="superscript"/>
          <w:lang w:val="en-US" w:eastAsia="zh-CN"/>
        </w:rPr>
        <w:t>3</w:t>
      </w:r>
      <w:r>
        <w:rPr>
          <w:rFonts w:hint="default" w:ascii="Arial" w:hAnsi="Arial" w:eastAsia="宋体" w:cs="Arial"/>
          <w:bCs/>
          <w:color w:val="auto"/>
          <w:sz w:val="24"/>
          <w:szCs w:val="24"/>
          <w:lang w:val="en-US" w:eastAsia="zh-CN"/>
        </w:rPr>
        <w:t>，同比改善5.6%；PM</w:t>
      </w:r>
      <w:r>
        <w:rPr>
          <w:rFonts w:hint="default" w:ascii="Arial" w:hAnsi="Arial" w:eastAsia="宋体" w:cs="Arial"/>
          <w:bCs/>
          <w:color w:val="auto"/>
          <w:sz w:val="24"/>
          <w:szCs w:val="24"/>
          <w:vertAlign w:val="subscript"/>
          <w:lang w:val="en-US" w:eastAsia="zh-CN"/>
        </w:rPr>
        <w:t>10</w:t>
      </w:r>
      <w:r>
        <w:rPr>
          <w:rFonts w:hint="default" w:ascii="Arial" w:hAnsi="Arial" w:eastAsia="宋体" w:cs="Arial"/>
          <w:bCs/>
          <w:color w:val="auto"/>
          <w:sz w:val="24"/>
          <w:szCs w:val="24"/>
          <w:lang w:val="en-US" w:eastAsia="zh-CN"/>
        </w:rPr>
        <w:t xml:space="preserve"> 浓度45.2μg/m</w:t>
      </w:r>
      <w:r>
        <w:rPr>
          <w:rFonts w:hint="default" w:ascii="Arial" w:hAnsi="Arial" w:eastAsia="宋体" w:cs="Arial"/>
          <w:bCs/>
          <w:color w:val="auto"/>
          <w:sz w:val="24"/>
          <w:szCs w:val="24"/>
          <w:vertAlign w:val="superscript"/>
          <w:lang w:val="en-US" w:eastAsia="zh-CN"/>
        </w:rPr>
        <w:t>3</w:t>
      </w:r>
      <w:r>
        <w:rPr>
          <w:rFonts w:hint="default" w:ascii="Arial" w:hAnsi="Arial" w:eastAsia="宋体" w:cs="Arial"/>
          <w:bCs/>
          <w:color w:val="auto"/>
          <w:sz w:val="24"/>
          <w:szCs w:val="24"/>
          <w:lang w:val="en-US" w:eastAsia="zh-CN"/>
        </w:rPr>
        <w:t>，同比改善9.6%，全年臭氧九十百分位浓度159μg/m</w:t>
      </w:r>
      <w:r>
        <w:rPr>
          <w:rFonts w:hint="default" w:ascii="Arial" w:hAnsi="Arial" w:eastAsia="宋体" w:cs="Arial"/>
          <w:bCs/>
          <w:color w:val="auto"/>
          <w:sz w:val="24"/>
          <w:szCs w:val="24"/>
          <w:vertAlign w:val="superscript"/>
          <w:lang w:val="en-US" w:eastAsia="zh-CN"/>
        </w:rPr>
        <w:t>3</w:t>
      </w:r>
      <w:r>
        <w:rPr>
          <w:rFonts w:hint="default" w:ascii="Arial" w:hAnsi="Arial" w:eastAsia="宋体" w:cs="Arial"/>
          <w:bCs/>
          <w:color w:val="auto"/>
          <w:sz w:val="24"/>
          <w:szCs w:val="24"/>
          <w:lang w:val="en-US" w:eastAsia="zh-CN"/>
        </w:rPr>
        <w:t>，同比改善4.2%。南湖区2024年整体环境空气质量为达标区。</w:t>
      </w:r>
      <w:r>
        <w:rPr>
          <w:rFonts w:hint="default" w:ascii="Arial" w:hAnsi="Arial" w:eastAsia="宋体" w:cs="Arial"/>
          <w:sz w:val="24"/>
          <w:szCs w:val="24"/>
        </w:rPr>
        <w:t>为了解</w:t>
      </w:r>
      <w:r>
        <w:rPr>
          <w:rFonts w:hint="default" w:ascii="Arial" w:hAnsi="Arial" w:eastAsia="宋体" w:cs="Arial"/>
          <w:sz w:val="24"/>
          <w:szCs w:val="24"/>
          <w:lang w:val="en-US" w:eastAsia="zh-CN"/>
        </w:rPr>
        <w:t>南湖区</w:t>
      </w:r>
      <w:r>
        <w:rPr>
          <w:rFonts w:hint="default" w:ascii="Arial" w:hAnsi="Arial" w:eastAsia="宋体" w:cs="Arial"/>
          <w:sz w:val="24"/>
          <w:szCs w:val="24"/>
        </w:rPr>
        <w:t>区域环境质量现状，本环评引用2024年嘉兴市区常规监测数据（监测点位为清河小学，与项目评价范围地理位置邻近，地形、气候条件相近）</w:t>
      </w:r>
      <w:r>
        <w:rPr>
          <w:rFonts w:ascii="宋体" w:hAnsi="宋体" w:eastAsia="宋体" w:cs="宋体"/>
          <w:sz w:val="24"/>
          <w:szCs w:val="24"/>
        </w:rPr>
        <w:t>。</w:t>
      </w:r>
    </w:p>
    <w:p w14:paraId="1D4246A9">
      <w:pPr>
        <w:pStyle w:val="76"/>
        <w:spacing w:line="360" w:lineRule="auto"/>
        <w:ind w:firstLine="480" w:firstLineChars="200"/>
        <w:rPr>
          <w:rFonts w:hint="default" w:ascii="Arial" w:hAnsi="Arial" w:eastAsia="宋体" w:cs="Arial"/>
          <w:bCs/>
          <w:color w:val="FF0000"/>
          <w:sz w:val="24"/>
          <w:szCs w:val="24"/>
          <w:lang w:val="en-US"/>
        </w:rPr>
      </w:pPr>
      <w:r>
        <w:rPr>
          <w:rFonts w:hint="default" w:ascii="Arial" w:hAnsi="Arial" w:eastAsia="宋体" w:cs="Arial"/>
          <w:bCs/>
          <w:color w:val="auto"/>
          <w:sz w:val="24"/>
          <w:szCs w:val="24"/>
          <w:lang w:val="en-US" w:eastAsia="zh-CN"/>
        </w:rPr>
        <w:t>具体数据见表3-1、3-2。</w:t>
      </w:r>
    </w:p>
    <w:p w14:paraId="75EFBACA">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平湖市202</w:t>
      </w:r>
      <w:r>
        <w:rPr>
          <w:rFonts w:hint="default" w:ascii="Arial" w:hAnsi="Arial" w:eastAsia="宋体" w:cs="Arial"/>
          <w:b/>
          <w:bCs/>
          <w:sz w:val="24"/>
          <w:szCs w:val="24"/>
          <w:lang w:val="en-US" w:eastAsia="zh-CN"/>
        </w:rPr>
        <w:t>4</w:t>
      </w:r>
      <w:r>
        <w:rPr>
          <w:rFonts w:hint="default" w:ascii="Arial" w:hAnsi="Arial" w:eastAsia="宋体" w:cs="Arial"/>
          <w:b/>
          <w:bCs/>
          <w:sz w:val="24"/>
          <w:szCs w:val="24"/>
        </w:rPr>
        <w:t>年环境质量数据汇总表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922"/>
        <w:gridCol w:w="1751"/>
        <w:gridCol w:w="871"/>
        <w:gridCol w:w="1109"/>
        <w:gridCol w:w="1017"/>
        <w:gridCol w:w="1202"/>
        <w:gridCol w:w="1065"/>
      </w:tblGrid>
      <w:tr w14:paraId="1DE4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2E24F77D">
            <w:pPr>
              <w:widowControl/>
              <w:contextualSpacing/>
              <w:jc w:val="center"/>
              <w:rPr>
                <w:rFonts w:hint="default" w:ascii="Arial" w:hAnsi="Arial" w:eastAsia="宋体" w:cs="Arial"/>
                <w:kern w:val="0"/>
                <w:szCs w:val="21"/>
              </w:rPr>
            </w:pPr>
            <w:r>
              <w:rPr>
                <w:rFonts w:hint="default" w:ascii="Arial" w:hAnsi="Arial" w:eastAsia="宋体" w:cs="Arial"/>
                <w:kern w:val="0"/>
                <w:szCs w:val="21"/>
              </w:rPr>
              <w:t>污染物</w:t>
            </w:r>
          </w:p>
        </w:tc>
        <w:tc>
          <w:tcPr>
            <w:tcW w:w="1794" w:type="dxa"/>
            <w:vAlign w:val="center"/>
          </w:tcPr>
          <w:p w14:paraId="28FA971C">
            <w:pPr>
              <w:widowControl/>
              <w:contextualSpacing/>
              <w:jc w:val="center"/>
              <w:rPr>
                <w:rFonts w:hint="default" w:ascii="Arial" w:hAnsi="Arial" w:eastAsia="宋体" w:cs="Arial"/>
                <w:kern w:val="0"/>
                <w:szCs w:val="21"/>
              </w:rPr>
            </w:pPr>
            <w:r>
              <w:rPr>
                <w:rFonts w:hint="default" w:ascii="Arial" w:hAnsi="Arial" w:eastAsia="宋体" w:cs="Arial"/>
                <w:kern w:val="0"/>
                <w:szCs w:val="21"/>
              </w:rPr>
              <w:t>年评价指标</w:t>
            </w:r>
          </w:p>
        </w:tc>
        <w:tc>
          <w:tcPr>
            <w:tcW w:w="889" w:type="dxa"/>
            <w:vAlign w:val="center"/>
          </w:tcPr>
          <w:p w14:paraId="427C91B0">
            <w:pPr>
              <w:widowControl/>
              <w:contextualSpacing/>
              <w:jc w:val="center"/>
              <w:rPr>
                <w:rFonts w:hint="default" w:ascii="Arial" w:hAnsi="Arial" w:eastAsia="宋体" w:cs="Arial"/>
                <w:kern w:val="0"/>
                <w:szCs w:val="21"/>
              </w:rPr>
            </w:pPr>
            <w:r>
              <w:rPr>
                <w:rFonts w:hint="default" w:ascii="Arial" w:hAnsi="Arial" w:eastAsia="宋体" w:cs="Arial"/>
                <w:kern w:val="0"/>
                <w:szCs w:val="21"/>
              </w:rPr>
              <w:t>单位</w:t>
            </w:r>
          </w:p>
        </w:tc>
        <w:tc>
          <w:tcPr>
            <w:tcW w:w="1134" w:type="dxa"/>
            <w:vAlign w:val="center"/>
          </w:tcPr>
          <w:p w14:paraId="2236F8FC">
            <w:pPr>
              <w:widowControl/>
              <w:contextualSpacing/>
              <w:jc w:val="center"/>
              <w:rPr>
                <w:rFonts w:hint="default" w:ascii="Arial" w:hAnsi="Arial" w:eastAsia="宋体" w:cs="Arial"/>
                <w:kern w:val="0"/>
                <w:szCs w:val="21"/>
              </w:rPr>
            </w:pPr>
            <w:r>
              <w:rPr>
                <w:rFonts w:hint="default" w:ascii="Arial" w:hAnsi="Arial" w:eastAsia="宋体" w:cs="Arial"/>
                <w:kern w:val="0"/>
                <w:szCs w:val="21"/>
              </w:rPr>
              <w:t>现状浓度</w:t>
            </w:r>
          </w:p>
        </w:tc>
        <w:tc>
          <w:tcPr>
            <w:tcW w:w="1039" w:type="dxa"/>
            <w:vAlign w:val="center"/>
          </w:tcPr>
          <w:p w14:paraId="6657CE27">
            <w:pPr>
              <w:widowControl/>
              <w:contextualSpacing/>
              <w:jc w:val="center"/>
              <w:rPr>
                <w:rFonts w:hint="default" w:ascii="Arial" w:hAnsi="Arial" w:eastAsia="宋体" w:cs="Arial"/>
                <w:kern w:val="0"/>
                <w:szCs w:val="21"/>
              </w:rPr>
            </w:pPr>
            <w:r>
              <w:rPr>
                <w:rFonts w:hint="default" w:ascii="Arial" w:hAnsi="Arial" w:eastAsia="宋体" w:cs="Arial"/>
                <w:kern w:val="0"/>
                <w:szCs w:val="21"/>
              </w:rPr>
              <w:t>标准值</w:t>
            </w:r>
          </w:p>
        </w:tc>
        <w:tc>
          <w:tcPr>
            <w:tcW w:w="1229" w:type="dxa"/>
            <w:vAlign w:val="center"/>
          </w:tcPr>
          <w:p w14:paraId="4EDCD52F">
            <w:pPr>
              <w:widowControl/>
              <w:contextualSpacing/>
              <w:jc w:val="center"/>
              <w:rPr>
                <w:rFonts w:hint="default" w:ascii="Arial" w:hAnsi="Arial" w:eastAsia="宋体" w:cs="Arial"/>
                <w:kern w:val="0"/>
                <w:szCs w:val="21"/>
              </w:rPr>
            </w:pPr>
            <w:r>
              <w:rPr>
                <w:rFonts w:hint="default" w:ascii="Arial" w:hAnsi="Arial" w:eastAsia="宋体" w:cs="Arial"/>
                <w:kern w:val="0"/>
                <w:szCs w:val="21"/>
              </w:rPr>
              <w:t>占标率（%）</w:t>
            </w:r>
          </w:p>
        </w:tc>
        <w:tc>
          <w:tcPr>
            <w:tcW w:w="1089" w:type="dxa"/>
            <w:vAlign w:val="center"/>
          </w:tcPr>
          <w:p w14:paraId="3B99BE98">
            <w:pPr>
              <w:widowControl/>
              <w:contextualSpacing/>
              <w:jc w:val="center"/>
              <w:rPr>
                <w:rFonts w:hint="default" w:ascii="Arial" w:hAnsi="Arial" w:eastAsia="宋体" w:cs="Arial"/>
                <w:kern w:val="0"/>
                <w:szCs w:val="21"/>
              </w:rPr>
            </w:pPr>
            <w:r>
              <w:rPr>
                <w:rFonts w:hint="default" w:ascii="Arial" w:hAnsi="Arial" w:eastAsia="宋体" w:cs="Arial"/>
                <w:kern w:val="0"/>
                <w:szCs w:val="21"/>
              </w:rPr>
              <w:t>达标情况</w:t>
            </w:r>
          </w:p>
        </w:tc>
      </w:tr>
      <w:tr w14:paraId="0E41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Merge w:val="restart"/>
            <w:vAlign w:val="center"/>
          </w:tcPr>
          <w:p w14:paraId="25DF60F2">
            <w:pPr>
              <w:widowControl/>
              <w:contextualSpacing/>
              <w:jc w:val="center"/>
              <w:rPr>
                <w:rFonts w:hint="default" w:ascii="Arial" w:hAnsi="Arial" w:eastAsia="宋体" w:cs="Arial"/>
                <w:kern w:val="0"/>
                <w:szCs w:val="21"/>
              </w:rPr>
            </w:pPr>
            <w:r>
              <w:rPr>
                <w:rFonts w:hint="default" w:ascii="Arial" w:hAnsi="Arial" w:eastAsia="宋体" w:cs="Arial"/>
                <w:kern w:val="0"/>
                <w:szCs w:val="21"/>
              </w:rPr>
              <w:t>PM</w:t>
            </w:r>
            <w:r>
              <w:rPr>
                <w:rFonts w:hint="default" w:ascii="Arial" w:hAnsi="Arial" w:eastAsia="宋体" w:cs="Arial"/>
                <w:kern w:val="0"/>
                <w:szCs w:val="21"/>
                <w:vertAlign w:val="subscript"/>
              </w:rPr>
              <w:t>2.5</w:t>
            </w:r>
          </w:p>
        </w:tc>
        <w:tc>
          <w:tcPr>
            <w:tcW w:w="1794" w:type="dxa"/>
            <w:vAlign w:val="center"/>
          </w:tcPr>
          <w:p w14:paraId="57A60F2E">
            <w:pPr>
              <w:widowControl/>
              <w:contextualSpacing/>
              <w:jc w:val="center"/>
              <w:rPr>
                <w:rFonts w:hint="default" w:ascii="Arial" w:hAnsi="Arial" w:eastAsia="宋体" w:cs="Arial"/>
                <w:kern w:val="0"/>
                <w:szCs w:val="21"/>
              </w:rPr>
            </w:pPr>
            <w:r>
              <w:rPr>
                <w:rFonts w:hint="default" w:ascii="Arial" w:hAnsi="Arial" w:eastAsia="宋体" w:cs="Arial"/>
                <w:kern w:val="0"/>
                <w:szCs w:val="21"/>
              </w:rPr>
              <w:t>年平均质量浓度</w:t>
            </w:r>
          </w:p>
        </w:tc>
        <w:tc>
          <w:tcPr>
            <w:tcW w:w="889" w:type="dxa"/>
            <w:vMerge w:val="restart"/>
            <w:vAlign w:val="center"/>
          </w:tcPr>
          <w:p w14:paraId="2BA3FD8E">
            <w:pPr>
              <w:contextualSpacing/>
              <w:jc w:val="center"/>
              <w:rPr>
                <w:rFonts w:hint="default" w:ascii="Arial" w:hAnsi="Arial" w:eastAsia="宋体" w:cs="Arial"/>
                <w:szCs w:val="21"/>
              </w:rPr>
            </w:pPr>
            <w:r>
              <w:rPr>
                <w:rFonts w:hint="default" w:ascii="Arial" w:hAnsi="Arial" w:eastAsia="宋体" w:cs="Arial"/>
                <w:szCs w:val="21"/>
              </w:rPr>
              <w:t>μg/m</w:t>
            </w:r>
            <w:r>
              <w:rPr>
                <w:rFonts w:hint="default" w:ascii="Arial" w:hAnsi="Arial" w:eastAsia="宋体" w:cs="Arial"/>
                <w:szCs w:val="21"/>
                <w:vertAlign w:val="superscript"/>
              </w:rPr>
              <w:t>3</w:t>
            </w:r>
          </w:p>
        </w:tc>
        <w:tc>
          <w:tcPr>
            <w:tcW w:w="1134" w:type="dxa"/>
            <w:vAlign w:val="center"/>
          </w:tcPr>
          <w:p w14:paraId="1B76F9B0">
            <w:pPr>
              <w:widowControl/>
              <w:jc w:val="center"/>
              <w:rPr>
                <w:rFonts w:hint="default" w:ascii="Arial" w:hAnsi="Arial" w:eastAsia="宋体" w:cs="Arial"/>
                <w:kern w:val="0"/>
                <w:szCs w:val="21"/>
              </w:rPr>
            </w:pPr>
            <w:r>
              <w:rPr>
                <w:rFonts w:hint="default" w:ascii="Arial" w:hAnsi="Arial" w:eastAsia="宋体" w:cs="Arial"/>
                <w:color w:val="000000"/>
                <w:szCs w:val="21"/>
              </w:rPr>
              <w:t>2</w:t>
            </w:r>
            <w:r>
              <w:rPr>
                <w:rFonts w:hint="default" w:ascii="Arial" w:hAnsi="Arial" w:eastAsia="宋体" w:cs="Arial"/>
                <w:color w:val="000000"/>
                <w:szCs w:val="21"/>
                <w:lang w:val="en-US" w:eastAsia="zh-CN"/>
              </w:rPr>
              <w:t>4</w:t>
            </w:r>
          </w:p>
        </w:tc>
        <w:tc>
          <w:tcPr>
            <w:tcW w:w="1039" w:type="dxa"/>
            <w:vAlign w:val="center"/>
          </w:tcPr>
          <w:p w14:paraId="21E93AE5">
            <w:pPr>
              <w:jc w:val="center"/>
              <w:rPr>
                <w:rFonts w:hint="default" w:ascii="Arial" w:hAnsi="Arial" w:eastAsia="宋体" w:cs="Arial"/>
                <w:kern w:val="0"/>
                <w:szCs w:val="21"/>
              </w:rPr>
            </w:pPr>
            <w:r>
              <w:rPr>
                <w:rFonts w:hint="default" w:ascii="Arial" w:hAnsi="Arial" w:eastAsia="宋体" w:cs="Arial"/>
                <w:color w:val="000000"/>
                <w:szCs w:val="21"/>
              </w:rPr>
              <w:t>35</w:t>
            </w:r>
          </w:p>
        </w:tc>
        <w:tc>
          <w:tcPr>
            <w:tcW w:w="1229" w:type="dxa"/>
            <w:vAlign w:val="center"/>
          </w:tcPr>
          <w:p w14:paraId="38645C72">
            <w:pPr>
              <w:widowControl/>
              <w:jc w:val="center"/>
              <w:rPr>
                <w:rFonts w:hint="default" w:ascii="Arial" w:hAnsi="Arial" w:eastAsia="宋体" w:cs="Arial"/>
                <w:kern w:val="0"/>
                <w:szCs w:val="21"/>
              </w:rPr>
            </w:pPr>
            <w:r>
              <w:rPr>
                <w:rFonts w:hint="default" w:ascii="Arial" w:hAnsi="Arial" w:eastAsia="宋体" w:cs="Arial"/>
                <w:color w:val="000000"/>
                <w:kern w:val="0"/>
                <w:szCs w:val="21"/>
                <w:lang w:val="en-US" w:eastAsia="zh-CN"/>
              </w:rPr>
              <w:t>68.6</w:t>
            </w:r>
          </w:p>
        </w:tc>
        <w:tc>
          <w:tcPr>
            <w:tcW w:w="1089" w:type="dxa"/>
            <w:vAlign w:val="center"/>
          </w:tcPr>
          <w:p w14:paraId="5AF92360">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r w14:paraId="2660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Merge w:val="continue"/>
            <w:vAlign w:val="center"/>
          </w:tcPr>
          <w:p w14:paraId="52099042">
            <w:pPr>
              <w:widowControl/>
              <w:jc w:val="left"/>
              <w:rPr>
                <w:rFonts w:hint="default" w:ascii="Arial" w:hAnsi="Arial" w:eastAsia="宋体" w:cs="Arial"/>
                <w:kern w:val="0"/>
                <w:szCs w:val="21"/>
              </w:rPr>
            </w:pPr>
          </w:p>
        </w:tc>
        <w:tc>
          <w:tcPr>
            <w:tcW w:w="1794" w:type="dxa"/>
            <w:vAlign w:val="center"/>
          </w:tcPr>
          <w:p w14:paraId="514056F2">
            <w:pPr>
              <w:widowControl/>
              <w:contextualSpacing/>
              <w:jc w:val="center"/>
              <w:rPr>
                <w:rFonts w:hint="default" w:ascii="Arial" w:hAnsi="Arial" w:eastAsia="宋体" w:cs="Arial"/>
                <w:kern w:val="0"/>
                <w:szCs w:val="21"/>
              </w:rPr>
            </w:pPr>
            <w:r>
              <w:rPr>
                <w:rFonts w:hint="default" w:ascii="Arial" w:hAnsi="Arial" w:eastAsia="宋体" w:cs="Arial"/>
                <w:kern w:val="0"/>
                <w:szCs w:val="21"/>
              </w:rPr>
              <w:t>第95百分位数日平均质量浓度</w:t>
            </w:r>
          </w:p>
        </w:tc>
        <w:tc>
          <w:tcPr>
            <w:tcW w:w="889" w:type="dxa"/>
            <w:vMerge w:val="continue"/>
            <w:vAlign w:val="center"/>
          </w:tcPr>
          <w:p w14:paraId="4A429F91">
            <w:pPr>
              <w:widowControl/>
              <w:jc w:val="left"/>
              <w:rPr>
                <w:rFonts w:hint="default" w:ascii="Arial" w:hAnsi="Arial" w:eastAsia="宋体" w:cs="Arial"/>
                <w:szCs w:val="21"/>
              </w:rPr>
            </w:pPr>
          </w:p>
        </w:tc>
        <w:tc>
          <w:tcPr>
            <w:tcW w:w="1134" w:type="dxa"/>
            <w:vAlign w:val="center"/>
          </w:tcPr>
          <w:p w14:paraId="690A2B0B">
            <w:pPr>
              <w:jc w:val="center"/>
              <w:rPr>
                <w:rFonts w:hint="default" w:ascii="Arial" w:hAnsi="Arial" w:eastAsia="宋体" w:cs="Arial"/>
                <w:kern w:val="0"/>
                <w:szCs w:val="21"/>
              </w:rPr>
            </w:pPr>
            <w:r>
              <w:rPr>
                <w:rFonts w:hint="default" w:ascii="Arial" w:hAnsi="Arial" w:eastAsia="宋体" w:cs="Arial"/>
                <w:color w:val="000000"/>
                <w:szCs w:val="21"/>
                <w:lang w:val="en-US" w:eastAsia="zh-CN"/>
              </w:rPr>
              <w:t>65</w:t>
            </w:r>
          </w:p>
        </w:tc>
        <w:tc>
          <w:tcPr>
            <w:tcW w:w="1039" w:type="dxa"/>
            <w:vAlign w:val="center"/>
          </w:tcPr>
          <w:p w14:paraId="7705FB88">
            <w:pPr>
              <w:jc w:val="center"/>
              <w:rPr>
                <w:rFonts w:hint="default" w:ascii="Arial" w:hAnsi="Arial" w:eastAsia="宋体" w:cs="Arial"/>
                <w:kern w:val="0"/>
                <w:szCs w:val="21"/>
              </w:rPr>
            </w:pPr>
            <w:r>
              <w:rPr>
                <w:rFonts w:hint="default" w:ascii="Arial" w:hAnsi="Arial" w:eastAsia="宋体" w:cs="Arial"/>
                <w:color w:val="000000"/>
                <w:szCs w:val="21"/>
              </w:rPr>
              <w:t>75</w:t>
            </w:r>
          </w:p>
        </w:tc>
        <w:tc>
          <w:tcPr>
            <w:tcW w:w="1229" w:type="dxa"/>
            <w:vAlign w:val="center"/>
          </w:tcPr>
          <w:p w14:paraId="6A522D82">
            <w:pPr>
              <w:jc w:val="center"/>
              <w:rPr>
                <w:rFonts w:hint="default" w:ascii="Arial" w:hAnsi="Arial" w:eastAsia="宋体" w:cs="Arial"/>
                <w:kern w:val="0"/>
                <w:szCs w:val="21"/>
              </w:rPr>
            </w:pPr>
            <w:r>
              <w:rPr>
                <w:rFonts w:hint="default" w:ascii="Arial" w:hAnsi="Arial" w:eastAsia="宋体" w:cs="Arial"/>
                <w:color w:val="000000"/>
                <w:szCs w:val="21"/>
                <w:lang w:val="en-US" w:eastAsia="zh-CN"/>
              </w:rPr>
              <w:t>86.7</w:t>
            </w:r>
          </w:p>
        </w:tc>
        <w:tc>
          <w:tcPr>
            <w:tcW w:w="1089" w:type="dxa"/>
            <w:vAlign w:val="center"/>
          </w:tcPr>
          <w:p w14:paraId="4542D94A">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r w14:paraId="7A4C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Merge w:val="restart"/>
            <w:vAlign w:val="center"/>
          </w:tcPr>
          <w:p w14:paraId="54185152">
            <w:pPr>
              <w:widowControl/>
              <w:contextualSpacing/>
              <w:jc w:val="center"/>
              <w:rPr>
                <w:rFonts w:hint="default" w:ascii="Arial" w:hAnsi="Arial" w:eastAsia="宋体" w:cs="Arial"/>
                <w:kern w:val="0"/>
                <w:szCs w:val="21"/>
              </w:rPr>
            </w:pPr>
            <w:r>
              <w:rPr>
                <w:rFonts w:hint="default" w:ascii="Arial" w:hAnsi="Arial" w:eastAsia="宋体" w:cs="Arial"/>
                <w:kern w:val="0"/>
                <w:szCs w:val="21"/>
              </w:rPr>
              <w:t>PM</w:t>
            </w:r>
            <w:r>
              <w:rPr>
                <w:rFonts w:hint="default" w:ascii="Arial" w:hAnsi="Arial" w:eastAsia="宋体" w:cs="Arial"/>
                <w:kern w:val="0"/>
                <w:szCs w:val="21"/>
                <w:vertAlign w:val="subscript"/>
              </w:rPr>
              <w:t>10</w:t>
            </w:r>
          </w:p>
        </w:tc>
        <w:tc>
          <w:tcPr>
            <w:tcW w:w="1794" w:type="dxa"/>
            <w:vAlign w:val="center"/>
          </w:tcPr>
          <w:p w14:paraId="381481F2">
            <w:pPr>
              <w:widowControl/>
              <w:contextualSpacing/>
              <w:jc w:val="center"/>
              <w:rPr>
                <w:rFonts w:hint="default" w:ascii="Arial" w:hAnsi="Arial" w:eastAsia="宋体" w:cs="Arial"/>
                <w:kern w:val="0"/>
                <w:szCs w:val="21"/>
              </w:rPr>
            </w:pPr>
            <w:r>
              <w:rPr>
                <w:rFonts w:hint="default" w:ascii="Arial" w:hAnsi="Arial" w:eastAsia="宋体" w:cs="Arial"/>
                <w:kern w:val="0"/>
                <w:szCs w:val="21"/>
              </w:rPr>
              <w:t>年平均质量浓度</w:t>
            </w:r>
          </w:p>
        </w:tc>
        <w:tc>
          <w:tcPr>
            <w:tcW w:w="889" w:type="dxa"/>
            <w:vMerge w:val="continue"/>
            <w:vAlign w:val="center"/>
          </w:tcPr>
          <w:p w14:paraId="5B52E90C">
            <w:pPr>
              <w:widowControl/>
              <w:jc w:val="left"/>
              <w:rPr>
                <w:rFonts w:hint="default" w:ascii="Arial" w:hAnsi="Arial" w:eastAsia="宋体" w:cs="Arial"/>
                <w:szCs w:val="21"/>
              </w:rPr>
            </w:pPr>
          </w:p>
        </w:tc>
        <w:tc>
          <w:tcPr>
            <w:tcW w:w="1134" w:type="dxa"/>
            <w:vAlign w:val="center"/>
          </w:tcPr>
          <w:p w14:paraId="458AC58E">
            <w:pPr>
              <w:jc w:val="center"/>
              <w:rPr>
                <w:rFonts w:hint="default" w:ascii="Arial" w:hAnsi="Arial" w:eastAsia="宋体" w:cs="Arial"/>
                <w:kern w:val="0"/>
                <w:szCs w:val="21"/>
              </w:rPr>
            </w:pPr>
            <w:r>
              <w:rPr>
                <w:rFonts w:hint="default" w:ascii="Arial" w:hAnsi="Arial" w:eastAsia="宋体" w:cs="Arial"/>
                <w:color w:val="000000"/>
                <w:szCs w:val="21"/>
              </w:rPr>
              <w:t>4</w:t>
            </w:r>
            <w:r>
              <w:rPr>
                <w:rFonts w:hint="default" w:ascii="Arial" w:hAnsi="Arial" w:eastAsia="宋体" w:cs="Arial"/>
                <w:color w:val="000000"/>
                <w:szCs w:val="21"/>
                <w:lang w:val="en-US" w:eastAsia="zh-CN"/>
              </w:rPr>
              <w:t>4</w:t>
            </w:r>
          </w:p>
        </w:tc>
        <w:tc>
          <w:tcPr>
            <w:tcW w:w="1039" w:type="dxa"/>
            <w:vAlign w:val="center"/>
          </w:tcPr>
          <w:p w14:paraId="0FF56282">
            <w:pPr>
              <w:jc w:val="center"/>
              <w:rPr>
                <w:rFonts w:hint="default" w:ascii="Arial" w:hAnsi="Arial" w:eastAsia="宋体" w:cs="Arial"/>
                <w:kern w:val="0"/>
                <w:szCs w:val="21"/>
              </w:rPr>
            </w:pPr>
            <w:r>
              <w:rPr>
                <w:rFonts w:hint="default" w:ascii="Arial" w:hAnsi="Arial" w:eastAsia="宋体" w:cs="Arial"/>
                <w:color w:val="000000"/>
                <w:szCs w:val="21"/>
              </w:rPr>
              <w:t>70</w:t>
            </w:r>
          </w:p>
        </w:tc>
        <w:tc>
          <w:tcPr>
            <w:tcW w:w="1229" w:type="dxa"/>
            <w:vAlign w:val="center"/>
          </w:tcPr>
          <w:p w14:paraId="1A9DAD4C">
            <w:pPr>
              <w:jc w:val="center"/>
              <w:rPr>
                <w:rFonts w:hint="default" w:ascii="Arial" w:hAnsi="Arial" w:eastAsia="宋体" w:cs="Arial"/>
                <w:kern w:val="0"/>
                <w:szCs w:val="21"/>
              </w:rPr>
            </w:pPr>
            <w:r>
              <w:rPr>
                <w:rFonts w:hint="default" w:ascii="Arial" w:hAnsi="Arial" w:eastAsia="宋体" w:cs="Arial"/>
                <w:color w:val="000000"/>
                <w:szCs w:val="21"/>
                <w:lang w:val="en-US" w:eastAsia="zh-CN"/>
              </w:rPr>
              <w:t>62.9</w:t>
            </w:r>
          </w:p>
        </w:tc>
        <w:tc>
          <w:tcPr>
            <w:tcW w:w="1089" w:type="dxa"/>
            <w:vAlign w:val="center"/>
          </w:tcPr>
          <w:p w14:paraId="38557981">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r w14:paraId="0BBB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Merge w:val="continue"/>
            <w:vAlign w:val="center"/>
          </w:tcPr>
          <w:p w14:paraId="31E13B67">
            <w:pPr>
              <w:widowControl/>
              <w:jc w:val="left"/>
              <w:rPr>
                <w:rFonts w:hint="default" w:ascii="Arial" w:hAnsi="Arial" w:eastAsia="宋体" w:cs="Arial"/>
                <w:kern w:val="0"/>
                <w:szCs w:val="21"/>
              </w:rPr>
            </w:pPr>
          </w:p>
        </w:tc>
        <w:tc>
          <w:tcPr>
            <w:tcW w:w="1794" w:type="dxa"/>
            <w:vAlign w:val="center"/>
          </w:tcPr>
          <w:p w14:paraId="64439E69">
            <w:pPr>
              <w:widowControl/>
              <w:contextualSpacing/>
              <w:jc w:val="center"/>
              <w:rPr>
                <w:rFonts w:hint="default" w:ascii="Arial" w:hAnsi="Arial" w:eastAsia="宋体" w:cs="Arial"/>
                <w:kern w:val="0"/>
                <w:szCs w:val="21"/>
              </w:rPr>
            </w:pPr>
            <w:r>
              <w:rPr>
                <w:rFonts w:hint="default" w:ascii="Arial" w:hAnsi="Arial" w:eastAsia="宋体" w:cs="Arial"/>
                <w:kern w:val="0"/>
                <w:szCs w:val="21"/>
              </w:rPr>
              <w:t>第95百分位数日平均质量浓度</w:t>
            </w:r>
          </w:p>
        </w:tc>
        <w:tc>
          <w:tcPr>
            <w:tcW w:w="889" w:type="dxa"/>
            <w:vMerge w:val="continue"/>
            <w:vAlign w:val="center"/>
          </w:tcPr>
          <w:p w14:paraId="71AF8A75">
            <w:pPr>
              <w:widowControl/>
              <w:jc w:val="left"/>
              <w:rPr>
                <w:rFonts w:hint="default" w:ascii="Arial" w:hAnsi="Arial" w:eastAsia="宋体" w:cs="Arial"/>
                <w:szCs w:val="21"/>
              </w:rPr>
            </w:pPr>
          </w:p>
        </w:tc>
        <w:tc>
          <w:tcPr>
            <w:tcW w:w="1134" w:type="dxa"/>
            <w:vAlign w:val="center"/>
          </w:tcPr>
          <w:p w14:paraId="60AC1291">
            <w:pPr>
              <w:jc w:val="center"/>
              <w:rPr>
                <w:rFonts w:hint="default" w:ascii="Arial" w:hAnsi="Arial" w:eastAsia="宋体" w:cs="Arial"/>
                <w:kern w:val="0"/>
                <w:szCs w:val="21"/>
              </w:rPr>
            </w:pPr>
            <w:r>
              <w:rPr>
                <w:rFonts w:hint="default" w:ascii="Arial" w:hAnsi="Arial" w:eastAsia="宋体" w:cs="Arial"/>
                <w:color w:val="000000"/>
                <w:szCs w:val="21"/>
              </w:rPr>
              <w:t>10</w:t>
            </w:r>
            <w:r>
              <w:rPr>
                <w:rFonts w:hint="default" w:ascii="Arial" w:hAnsi="Arial" w:eastAsia="宋体" w:cs="Arial"/>
                <w:color w:val="000000"/>
                <w:szCs w:val="21"/>
                <w:lang w:val="en-US" w:eastAsia="zh-CN"/>
              </w:rPr>
              <w:t>2</w:t>
            </w:r>
          </w:p>
        </w:tc>
        <w:tc>
          <w:tcPr>
            <w:tcW w:w="1039" w:type="dxa"/>
            <w:vAlign w:val="center"/>
          </w:tcPr>
          <w:p w14:paraId="61F56B82">
            <w:pPr>
              <w:jc w:val="center"/>
              <w:rPr>
                <w:rFonts w:hint="default" w:ascii="Arial" w:hAnsi="Arial" w:eastAsia="宋体" w:cs="Arial"/>
                <w:kern w:val="0"/>
                <w:szCs w:val="21"/>
              </w:rPr>
            </w:pPr>
            <w:r>
              <w:rPr>
                <w:rFonts w:hint="default" w:ascii="Arial" w:hAnsi="Arial" w:eastAsia="宋体" w:cs="Arial"/>
                <w:color w:val="000000"/>
                <w:szCs w:val="21"/>
              </w:rPr>
              <w:t>150</w:t>
            </w:r>
          </w:p>
        </w:tc>
        <w:tc>
          <w:tcPr>
            <w:tcW w:w="1229" w:type="dxa"/>
            <w:vAlign w:val="center"/>
          </w:tcPr>
          <w:p w14:paraId="6529A47F">
            <w:pPr>
              <w:jc w:val="center"/>
              <w:rPr>
                <w:rFonts w:hint="default" w:ascii="Arial" w:hAnsi="Arial" w:eastAsia="宋体" w:cs="Arial"/>
                <w:kern w:val="0"/>
                <w:szCs w:val="21"/>
              </w:rPr>
            </w:pPr>
            <w:r>
              <w:rPr>
                <w:rFonts w:hint="default" w:ascii="Arial" w:hAnsi="Arial" w:eastAsia="宋体" w:cs="Arial"/>
                <w:color w:val="000000"/>
                <w:szCs w:val="21"/>
                <w:lang w:val="en-US" w:eastAsia="zh-CN"/>
              </w:rPr>
              <w:t>68.0</w:t>
            </w:r>
          </w:p>
        </w:tc>
        <w:tc>
          <w:tcPr>
            <w:tcW w:w="1089" w:type="dxa"/>
            <w:vAlign w:val="center"/>
          </w:tcPr>
          <w:p w14:paraId="47FAE062">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r w14:paraId="1C6E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Merge w:val="restart"/>
            <w:vAlign w:val="center"/>
          </w:tcPr>
          <w:p w14:paraId="0B976192">
            <w:pPr>
              <w:widowControl/>
              <w:contextualSpacing/>
              <w:jc w:val="center"/>
              <w:rPr>
                <w:rFonts w:hint="default" w:ascii="Arial" w:hAnsi="Arial" w:eastAsia="宋体" w:cs="Arial"/>
                <w:kern w:val="0"/>
                <w:szCs w:val="21"/>
              </w:rPr>
            </w:pPr>
            <w:r>
              <w:rPr>
                <w:rFonts w:hint="default" w:ascii="Arial" w:hAnsi="Arial" w:eastAsia="宋体" w:cs="Arial"/>
                <w:kern w:val="0"/>
                <w:szCs w:val="21"/>
              </w:rPr>
              <w:t>NO</w:t>
            </w:r>
            <w:r>
              <w:rPr>
                <w:rFonts w:hint="default" w:ascii="Arial" w:hAnsi="Arial" w:eastAsia="宋体" w:cs="Arial"/>
                <w:kern w:val="0"/>
                <w:szCs w:val="21"/>
                <w:vertAlign w:val="subscript"/>
              </w:rPr>
              <w:t>2</w:t>
            </w:r>
          </w:p>
        </w:tc>
        <w:tc>
          <w:tcPr>
            <w:tcW w:w="1794" w:type="dxa"/>
            <w:vAlign w:val="center"/>
          </w:tcPr>
          <w:p w14:paraId="5E73C6C5">
            <w:pPr>
              <w:widowControl/>
              <w:contextualSpacing/>
              <w:jc w:val="center"/>
              <w:rPr>
                <w:rFonts w:hint="default" w:ascii="Arial" w:hAnsi="Arial" w:eastAsia="宋体" w:cs="Arial"/>
                <w:kern w:val="0"/>
                <w:szCs w:val="21"/>
              </w:rPr>
            </w:pPr>
            <w:r>
              <w:rPr>
                <w:rFonts w:hint="default" w:ascii="Arial" w:hAnsi="Arial" w:eastAsia="宋体" w:cs="Arial"/>
                <w:kern w:val="0"/>
                <w:szCs w:val="21"/>
              </w:rPr>
              <w:t>年平均质量浓度</w:t>
            </w:r>
          </w:p>
        </w:tc>
        <w:tc>
          <w:tcPr>
            <w:tcW w:w="889" w:type="dxa"/>
            <w:vMerge w:val="continue"/>
            <w:vAlign w:val="center"/>
          </w:tcPr>
          <w:p w14:paraId="09AF38F7">
            <w:pPr>
              <w:widowControl/>
              <w:jc w:val="left"/>
              <w:rPr>
                <w:rFonts w:hint="default" w:ascii="Arial" w:hAnsi="Arial" w:eastAsia="宋体" w:cs="Arial"/>
                <w:szCs w:val="21"/>
              </w:rPr>
            </w:pPr>
          </w:p>
        </w:tc>
        <w:tc>
          <w:tcPr>
            <w:tcW w:w="1134" w:type="dxa"/>
            <w:vAlign w:val="center"/>
          </w:tcPr>
          <w:p w14:paraId="7ADD797C">
            <w:pPr>
              <w:jc w:val="center"/>
              <w:rPr>
                <w:rFonts w:hint="default" w:ascii="Arial" w:hAnsi="Arial" w:eastAsia="宋体" w:cs="Arial"/>
                <w:kern w:val="0"/>
                <w:szCs w:val="21"/>
              </w:rPr>
            </w:pPr>
            <w:r>
              <w:rPr>
                <w:rFonts w:hint="default" w:ascii="Arial" w:hAnsi="Arial" w:eastAsia="宋体" w:cs="Arial"/>
                <w:color w:val="000000"/>
                <w:szCs w:val="21"/>
                <w:lang w:val="en-US" w:eastAsia="zh-CN"/>
              </w:rPr>
              <w:t>24</w:t>
            </w:r>
          </w:p>
        </w:tc>
        <w:tc>
          <w:tcPr>
            <w:tcW w:w="1039" w:type="dxa"/>
            <w:vAlign w:val="center"/>
          </w:tcPr>
          <w:p w14:paraId="7D06DC47">
            <w:pPr>
              <w:jc w:val="center"/>
              <w:rPr>
                <w:rFonts w:hint="default" w:ascii="Arial" w:hAnsi="Arial" w:eastAsia="宋体" w:cs="Arial"/>
                <w:kern w:val="0"/>
                <w:szCs w:val="21"/>
              </w:rPr>
            </w:pPr>
            <w:r>
              <w:rPr>
                <w:rFonts w:hint="default" w:ascii="Arial" w:hAnsi="Arial" w:eastAsia="宋体" w:cs="Arial"/>
                <w:color w:val="000000"/>
                <w:szCs w:val="21"/>
              </w:rPr>
              <w:t>40</w:t>
            </w:r>
          </w:p>
        </w:tc>
        <w:tc>
          <w:tcPr>
            <w:tcW w:w="1229" w:type="dxa"/>
            <w:vAlign w:val="center"/>
          </w:tcPr>
          <w:p w14:paraId="3333248F">
            <w:pPr>
              <w:jc w:val="center"/>
              <w:rPr>
                <w:rFonts w:hint="default" w:ascii="Arial" w:hAnsi="Arial" w:eastAsia="宋体" w:cs="Arial"/>
                <w:kern w:val="0"/>
                <w:szCs w:val="21"/>
              </w:rPr>
            </w:pPr>
            <w:r>
              <w:rPr>
                <w:rFonts w:hint="default" w:ascii="Arial" w:hAnsi="Arial" w:eastAsia="宋体" w:cs="Arial"/>
                <w:color w:val="000000"/>
                <w:szCs w:val="21"/>
                <w:lang w:val="en-US" w:eastAsia="zh-CN"/>
              </w:rPr>
              <w:t>60.0</w:t>
            </w:r>
          </w:p>
        </w:tc>
        <w:tc>
          <w:tcPr>
            <w:tcW w:w="1089" w:type="dxa"/>
            <w:vAlign w:val="center"/>
          </w:tcPr>
          <w:p w14:paraId="2FD253D6">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r w14:paraId="375D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Merge w:val="continue"/>
            <w:vAlign w:val="center"/>
          </w:tcPr>
          <w:p w14:paraId="7EE5492D">
            <w:pPr>
              <w:widowControl/>
              <w:jc w:val="left"/>
              <w:rPr>
                <w:rFonts w:hint="default" w:ascii="Arial" w:hAnsi="Arial" w:eastAsia="宋体" w:cs="Arial"/>
                <w:kern w:val="0"/>
                <w:szCs w:val="21"/>
              </w:rPr>
            </w:pPr>
          </w:p>
        </w:tc>
        <w:tc>
          <w:tcPr>
            <w:tcW w:w="1794" w:type="dxa"/>
            <w:vAlign w:val="center"/>
          </w:tcPr>
          <w:p w14:paraId="6C51E4CC">
            <w:pPr>
              <w:widowControl/>
              <w:contextualSpacing/>
              <w:jc w:val="center"/>
              <w:rPr>
                <w:rFonts w:hint="default" w:ascii="Arial" w:hAnsi="Arial" w:eastAsia="宋体" w:cs="Arial"/>
                <w:kern w:val="0"/>
                <w:szCs w:val="21"/>
              </w:rPr>
            </w:pPr>
            <w:r>
              <w:rPr>
                <w:rFonts w:hint="default" w:ascii="Arial" w:hAnsi="Arial" w:eastAsia="宋体" w:cs="Arial"/>
                <w:kern w:val="0"/>
                <w:szCs w:val="21"/>
              </w:rPr>
              <w:t>第98百分位数日平均质量浓度</w:t>
            </w:r>
          </w:p>
        </w:tc>
        <w:tc>
          <w:tcPr>
            <w:tcW w:w="889" w:type="dxa"/>
            <w:vMerge w:val="continue"/>
            <w:vAlign w:val="center"/>
          </w:tcPr>
          <w:p w14:paraId="39AE7DE8">
            <w:pPr>
              <w:widowControl/>
              <w:jc w:val="left"/>
              <w:rPr>
                <w:rFonts w:hint="default" w:ascii="Arial" w:hAnsi="Arial" w:eastAsia="宋体" w:cs="Arial"/>
                <w:szCs w:val="21"/>
              </w:rPr>
            </w:pPr>
          </w:p>
        </w:tc>
        <w:tc>
          <w:tcPr>
            <w:tcW w:w="1134" w:type="dxa"/>
            <w:vAlign w:val="center"/>
          </w:tcPr>
          <w:p w14:paraId="0DC86B04">
            <w:pPr>
              <w:jc w:val="center"/>
              <w:rPr>
                <w:rFonts w:hint="default" w:ascii="Arial" w:hAnsi="Arial" w:eastAsia="宋体" w:cs="Arial"/>
                <w:kern w:val="0"/>
                <w:szCs w:val="21"/>
              </w:rPr>
            </w:pPr>
            <w:r>
              <w:rPr>
                <w:rFonts w:hint="default" w:ascii="Arial" w:hAnsi="Arial" w:eastAsia="宋体" w:cs="Arial"/>
                <w:color w:val="000000"/>
                <w:szCs w:val="21"/>
                <w:lang w:val="en-US" w:eastAsia="zh-CN"/>
              </w:rPr>
              <w:t>60</w:t>
            </w:r>
          </w:p>
        </w:tc>
        <w:tc>
          <w:tcPr>
            <w:tcW w:w="1039" w:type="dxa"/>
            <w:vAlign w:val="center"/>
          </w:tcPr>
          <w:p w14:paraId="20347EAD">
            <w:pPr>
              <w:jc w:val="center"/>
              <w:rPr>
                <w:rFonts w:hint="default" w:ascii="Arial" w:hAnsi="Arial" w:eastAsia="宋体" w:cs="Arial"/>
                <w:kern w:val="0"/>
                <w:szCs w:val="21"/>
              </w:rPr>
            </w:pPr>
            <w:r>
              <w:rPr>
                <w:rFonts w:hint="default" w:ascii="Arial" w:hAnsi="Arial" w:eastAsia="宋体" w:cs="Arial"/>
                <w:color w:val="000000"/>
                <w:szCs w:val="21"/>
              </w:rPr>
              <w:t>80</w:t>
            </w:r>
          </w:p>
        </w:tc>
        <w:tc>
          <w:tcPr>
            <w:tcW w:w="1229" w:type="dxa"/>
            <w:vAlign w:val="center"/>
          </w:tcPr>
          <w:p w14:paraId="6E243255">
            <w:pPr>
              <w:jc w:val="center"/>
              <w:rPr>
                <w:rFonts w:hint="default" w:ascii="Arial" w:hAnsi="Arial" w:eastAsia="宋体" w:cs="Arial"/>
                <w:kern w:val="0"/>
                <w:szCs w:val="21"/>
              </w:rPr>
            </w:pPr>
            <w:r>
              <w:rPr>
                <w:rFonts w:hint="default" w:ascii="Arial" w:hAnsi="Arial" w:eastAsia="宋体" w:cs="Arial"/>
                <w:color w:val="000000"/>
                <w:szCs w:val="21"/>
                <w:lang w:val="en-US" w:eastAsia="zh-CN"/>
              </w:rPr>
              <w:t>75.0</w:t>
            </w:r>
          </w:p>
        </w:tc>
        <w:tc>
          <w:tcPr>
            <w:tcW w:w="1089" w:type="dxa"/>
            <w:vAlign w:val="center"/>
          </w:tcPr>
          <w:p w14:paraId="48278A01">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r w14:paraId="01D7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Merge w:val="restart"/>
            <w:vAlign w:val="center"/>
          </w:tcPr>
          <w:p w14:paraId="6A1B1A5C">
            <w:pPr>
              <w:widowControl/>
              <w:contextualSpacing/>
              <w:jc w:val="center"/>
              <w:rPr>
                <w:rFonts w:hint="default" w:ascii="Arial" w:hAnsi="Arial" w:eastAsia="宋体" w:cs="Arial"/>
                <w:kern w:val="0"/>
                <w:szCs w:val="21"/>
              </w:rPr>
            </w:pPr>
            <w:r>
              <w:rPr>
                <w:rFonts w:hint="default" w:ascii="Arial" w:hAnsi="Arial" w:eastAsia="宋体" w:cs="Arial"/>
                <w:kern w:val="0"/>
                <w:szCs w:val="21"/>
              </w:rPr>
              <w:t>SO</w:t>
            </w:r>
            <w:r>
              <w:rPr>
                <w:rFonts w:hint="default" w:ascii="Arial" w:hAnsi="Arial" w:eastAsia="宋体" w:cs="Arial"/>
                <w:kern w:val="0"/>
                <w:szCs w:val="21"/>
                <w:vertAlign w:val="subscript"/>
              </w:rPr>
              <w:t>2</w:t>
            </w:r>
          </w:p>
        </w:tc>
        <w:tc>
          <w:tcPr>
            <w:tcW w:w="1794" w:type="dxa"/>
            <w:vAlign w:val="center"/>
          </w:tcPr>
          <w:p w14:paraId="21425897">
            <w:pPr>
              <w:widowControl/>
              <w:contextualSpacing/>
              <w:jc w:val="center"/>
              <w:rPr>
                <w:rFonts w:hint="default" w:ascii="Arial" w:hAnsi="Arial" w:eastAsia="宋体" w:cs="Arial"/>
                <w:kern w:val="0"/>
                <w:szCs w:val="21"/>
              </w:rPr>
            </w:pPr>
            <w:r>
              <w:rPr>
                <w:rFonts w:hint="default" w:ascii="Arial" w:hAnsi="Arial" w:eastAsia="宋体" w:cs="Arial"/>
                <w:kern w:val="0"/>
                <w:szCs w:val="21"/>
              </w:rPr>
              <w:t>年平均质量浓度</w:t>
            </w:r>
          </w:p>
        </w:tc>
        <w:tc>
          <w:tcPr>
            <w:tcW w:w="889" w:type="dxa"/>
            <w:vMerge w:val="continue"/>
            <w:vAlign w:val="center"/>
          </w:tcPr>
          <w:p w14:paraId="418C30AB">
            <w:pPr>
              <w:widowControl/>
              <w:jc w:val="left"/>
              <w:rPr>
                <w:rFonts w:hint="default" w:ascii="Arial" w:hAnsi="Arial" w:eastAsia="宋体" w:cs="Arial"/>
                <w:szCs w:val="21"/>
              </w:rPr>
            </w:pPr>
          </w:p>
        </w:tc>
        <w:tc>
          <w:tcPr>
            <w:tcW w:w="1134" w:type="dxa"/>
            <w:vAlign w:val="center"/>
          </w:tcPr>
          <w:p w14:paraId="14671AD6">
            <w:pPr>
              <w:jc w:val="center"/>
              <w:rPr>
                <w:rFonts w:hint="default" w:ascii="Arial" w:hAnsi="Arial" w:eastAsia="宋体" w:cs="Arial"/>
                <w:kern w:val="0"/>
                <w:szCs w:val="21"/>
              </w:rPr>
            </w:pPr>
            <w:r>
              <w:rPr>
                <w:rFonts w:hint="default" w:ascii="Arial" w:hAnsi="Arial" w:eastAsia="宋体" w:cs="Arial"/>
                <w:color w:val="000000"/>
                <w:szCs w:val="21"/>
                <w:lang w:val="en-US" w:eastAsia="zh-CN"/>
              </w:rPr>
              <w:t>6</w:t>
            </w:r>
          </w:p>
        </w:tc>
        <w:tc>
          <w:tcPr>
            <w:tcW w:w="1039" w:type="dxa"/>
            <w:vAlign w:val="center"/>
          </w:tcPr>
          <w:p w14:paraId="0A8CC644">
            <w:pPr>
              <w:jc w:val="center"/>
              <w:rPr>
                <w:rFonts w:hint="default" w:ascii="Arial" w:hAnsi="Arial" w:eastAsia="宋体" w:cs="Arial"/>
                <w:kern w:val="0"/>
                <w:szCs w:val="21"/>
              </w:rPr>
            </w:pPr>
            <w:r>
              <w:rPr>
                <w:rFonts w:hint="default" w:ascii="Arial" w:hAnsi="Arial" w:eastAsia="宋体" w:cs="Arial"/>
                <w:color w:val="000000"/>
                <w:szCs w:val="21"/>
              </w:rPr>
              <w:t>60</w:t>
            </w:r>
          </w:p>
        </w:tc>
        <w:tc>
          <w:tcPr>
            <w:tcW w:w="1229" w:type="dxa"/>
            <w:vAlign w:val="center"/>
          </w:tcPr>
          <w:p w14:paraId="592B6879">
            <w:pPr>
              <w:jc w:val="center"/>
              <w:rPr>
                <w:rFonts w:hint="default" w:ascii="Arial" w:hAnsi="Arial" w:eastAsia="宋体" w:cs="Arial"/>
                <w:kern w:val="0"/>
                <w:szCs w:val="21"/>
              </w:rPr>
            </w:pPr>
            <w:r>
              <w:rPr>
                <w:rFonts w:hint="default" w:ascii="Arial" w:hAnsi="Arial" w:eastAsia="宋体" w:cs="Arial"/>
                <w:color w:val="000000"/>
                <w:szCs w:val="21"/>
                <w:lang w:val="en-US" w:eastAsia="zh-CN"/>
              </w:rPr>
              <w:t>10.0</w:t>
            </w:r>
          </w:p>
        </w:tc>
        <w:tc>
          <w:tcPr>
            <w:tcW w:w="1089" w:type="dxa"/>
            <w:vAlign w:val="center"/>
          </w:tcPr>
          <w:p w14:paraId="1CA94498">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r w14:paraId="3799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Merge w:val="continue"/>
            <w:vAlign w:val="center"/>
          </w:tcPr>
          <w:p w14:paraId="46D9D054">
            <w:pPr>
              <w:widowControl/>
              <w:jc w:val="left"/>
              <w:rPr>
                <w:rFonts w:hint="default" w:ascii="Arial" w:hAnsi="Arial" w:eastAsia="宋体" w:cs="Arial"/>
                <w:kern w:val="0"/>
                <w:szCs w:val="21"/>
              </w:rPr>
            </w:pPr>
          </w:p>
        </w:tc>
        <w:tc>
          <w:tcPr>
            <w:tcW w:w="1794" w:type="dxa"/>
            <w:vAlign w:val="center"/>
          </w:tcPr>
          <w:p w14:paraId="7627BC91">
            <w:pPr>
              <w:widowControl/>
              <w:contextualSpacing/>
              <w:jc w:val="center"/>
              <w:rPr>
                <w:rFonts w:hint="default" w:ascii="Arial" w:hAnsi="Arial" w:eastAsia="宋体" w:cs="Arial"/>
                <w:kern w:val="0"/>
                <w:szCs w:val="21"/>
              </w:rPr>
            </w:pPr>
            <w:r>
              <w:rPr>
                <w:rFonts w:hint="default" w:ascii="Arial" w:hAnsi="Arial" w:eastAsia="宋体" w:cs="Arial"/>
                <w:kern w:val="0"/>
                <w:szCs w:val="21"/>
              </w:rPr>
              <w:t>第98百分位数日平均质量浓度</w:t>
            </w:r>
          </w:p>
        </w:tc>
        <w:tc>
          <w:tcPr>
            <w:tcW w:w="889" w:type="dxa"/>
            <w:vMerge w:val="continue"/>
            <w:vAlign w:val="center"/>
          </w:tcPr>
          <w:p w14:paraId="66C3FE50">
            <w:pPr>
              <w:widowControl/>
              <w:jc w:val="left"/>
              <w:rPr>
                <w:rFonts w:hint="default" w:ascii="Arial" w:hAnsi="Arial" w:eastAsia="宋体" w:cs="Arial"/>
                <w:szCs w:val="21"/>
              </w:rPr>
            </w:pPr>
          </w:p>
        </w:tc>
        <w:tc>
          <w:tcPr>
            <w:tcW w:w="1134" w:type="dxa"/>
            <w:vAlign w:val="center"/>
          </w:tcPr>
          <w:p w14:paraId="43E03530">
            <w:pPr>
              <w:jc w:val="center"/>
              <w:rPr>
                <w:rFonts w:hint="default" w:ascii="Arial" w:hAnsi="Arial" w:eastAsia="宋体" w:cs="Arial"/>
                <w:kern w:val="0"/>
                <w:szCs w:val="21"/>
              </w:rPr>
            </w:pPr>
            <w:r>
              <w:rPr>
                <w:rFonts w:hint="default" w:ascii="Arial" w:hAnsi="Arial" w:eastAsia="宋体" w:cs="Arial"/>
                <w:color w:val="000000"/>
                <w:szCs w:val="21"/>
                <w:lang w:val="en-US" w:eastAsia="zh-CN"/>
              </w:rPr>
              <w:t>10</w:t>
            </w:r>
          </w:p>
        </w:tc>
        <w:tc>
          <w:tcPr>
            <w:tcW w:w="1039" w:type="dxa"/>
            <w:vAlign w:val="center"/>
          </w:tcPr>
          <w:p w14:paraId="7079F654">
            <w:pPr>
              <w:jc w:val="center"/>
              <w:rPr>
                <w:rFonts w:hint="default" w:ascii="Arial" w:hAnsi="Arial" w:eastAsia="宋体" w:cs="Arial"/>
                <w:kern w:val="0"/>
                <w:szCs w:val="21"/>
              </w:rPr>
            </w:pPr>
            <w:r>
              <w:rPr>
                <w:rFonts w:hint="default" w:ascii="Arial" w:hAnsi="Arial" w:eastAsia="宋体" w:cs="Arial"/>
                <w:color w:val="000000"/>
                <w:szCs w:val="21"/>
              </w:rPr>
              <w:t>150</w:t>
            </w:r>
          </w:p>
        </w:tc>
        <w:tc>
          <w:tcPr>
            <w:tcW w:w="1229" w:type="dxa"/>
            <w:vAlign w:val="center"/>
          </w:tcPr>
          <w:p w14:paraId="2036B7C2">
            <w:pPr>
              <w:jc w:val="center"/>
              <w:rPr>
                <w:rFonts w:hint="default" w:ascii="Arial" w:hAnsi="Arial" w:eastAsia="宋体" w:cs="Arial"/>
                <w:kern w:val="0"/>
                <w:szCs w:val="21"/>
              </w:rPr>
            </w:pPr>
            <w:r>
              <w:rPr>
                <w:rFonts w:hint="default" w:ascii="Arial" w:hAnsi="Arial" w:eastAsia="宋体" w:cs="Arial"/>
                <w:color w:val="000000"/>
                <w:szCs w:val="21"/>
                <w:lang w:val="en-US" w:eastAsia="zh-CN"/>
              </w:rPr>
              <w:t>6.7</w:t>
            </w:r>
          </w:p>
        </w:tc>
        <w:tc>
          <w:tcPr>
            <w:tcW w:w="1089" w:type="dxa"/>
            <w:vAlign w:val="center"/>
          </w:tcPr>
          <w:p w14:paraId="0F5969D0">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r w14:paraId="62DC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3F03D21F">
            <w:pPr>
              <w:widowControl/>
              <w:contextualSpacing/>
              <w:jc w:val="center"/>
              <w:rPr>
                <w:rFonts w:hint="default" w:ascii="Arial" w:hAnsi="Arial" w:eastAsia="宋体" w:cs="Arial"/>
                <w:kern w:val="0"/>
                <w:szCs w:val="21"/>
              </w:rPr>
            </w:pPr>
            <w:r>
              <w:rPr>
                <w:rFonts w:hint="default" w:ascii="Arial" w:hAnsi="Arial" w:eastAsia="宋体" w:cs="Arial"/>
                <w:kern w:val="0"/>
                <w:szCs w:val="21"/>
              </w:rPr>
              <w:t>O</w:t>
            </w:r>
            <w:r>
              <w:rPr>
                <w:rFonts w:hint="default" w:ascii="Arial" w:hAnsi="Arial" w:eastAsia="宋体" w:cs="Arial"/>
                <w:kern w:val="0"/>
                <w:szCs w:val="21"/>
                <w:vertAlign w:val="subscript"/>
              </w:rPr>
              <w:t>3</w:t>
            </w:r>
          </w:p>
        </w:tc>
        <w:tc>
          <w:tcPr>
            <w:tcW w:w="1794" w:type="dxa"/>
            <w:vAlign w:val="center"/>
          </w:tcPr>
          <w:p w14:paraId="397C23D6">
            <w:pPr>
              <w:widowControl/>
              <w:contextualSpacing/>
              <w:jc w:val="center"/>
              <w:rPr>
                <w:rFonts w:hint="default" w:ascii="Arial" w:hAnsi="Arial" w:eastAsia="宋体" w:cs="Arial"/>
                <w:kern w:val="0"/>
                <w:szCs w:val="21"/>
              </w:rPr>
            </w:pPr>
            <w:r>
              <w:rPr>
                <w:rFonts w:hint="default" w:ascii="Arial" w:hAnsi="Arial" w:eastAsia="宋体" w:cs="Arial"/>
                <w:kern w:val="0"/>
                <w:szCs w:val="21"/>
              </w:rPr>
              <w:t>第90百分位数日最大8h平均质量浓度</w:t>
            </w:r>
          </w:p>
        </w:tc>
        <w:tc>
          <w:tcPr>
            <w:tcW w:w="889" w:type="dxa"/>
            <w:vMerge w:val="continue"/>
            <w:vAlign w:val="center"/>
          </w:tcPr>
          <w:p w14:paraId="232E629C">
            <w:pPr>
              <w:widowControl/>
              <w:jc w:val="left"/>
              <w:rPr>
                <w:rFonts w:hint="default" w:ascii="Arial" w:hAnsi="Arial" w:eastAsia="宋体" w:cs="Arial"/>
                <w:szCs w:val="21"/>
              </w:rPr>
            </w:pPr>
          </w:p>
        </w:tc>
        <w:tc>
          <w:tcPr>
            <w:tcW w:w="1134" w:type="dxa"/>
            <w:vAlign w:val="center"/>
          </w:tcPr>
          <w:p w14:paraId="64CC709E">
            <w:pPr>
              <w:widowControl/>
              <w:contextualSpacing/>
              <w:jc w:val="center"/>
              <w:rPr>
                <w:rFonts w:hint="default" w:ascii="Arial" w:hAnsi="Arial" w:eastAsia="宋体" w:cs="Arial"/>
                <w:kern w:val="0"/>
                <w:szCs w:val="21"/>
              </w:rPr>
            </w:pPr>
            <w:r>
              <w:rPr>
                <w:rFonts w:hint="default" w:ascii="Arial" w:hAnsi="Arial" w:eastAsia="宋体" w:cs="Arial"/>
                <w:color w:val="000000"/>
                <w:kern w:val="0"/>
                <w:szCs w:val="21"/>
                <w:lang w:val="en-US" w:eastAsia="zh-CN"/>
              </w:rPr>
              <w:t>134</w:t>
            </w:r>
          </w:p>
        </w:tc>
        <w:tc>
          <w:tcPr>
            <w:tcW w:w="1039" w:type="dxa"/>
            <w:vAlign w:val="center"/>
          </w:tcPr>
          <w:p w14:paraId="7BA779A5">
            <w:pPr>
              <w:widowControl/>
              <w:contextualSpacing/>
              <w:jc w:val="center"/>
              <w:rPr>
                <w:rFonts w:hint="default" w:ascii="Arial" w:hAnsi="Arial" w:eastAsia="宋体" w:cs="Arial"/>
                <w:kern w:val="0"/>
                <w:szCs w:val="21"/>
              </w:rPr>
            </w:pPr>
            <w:r>
              <w:rPr>
                <w:rFonts w:hint="default" w:ascii="Arial" w:hAnsi="Arial" w:eastAsia="宋体" w:cs="Arial"/>
                <w:color w:val="000000"/>
                <w:kern w:val="0"/>
                <w:szCs w:val="21"/>
              </w:rPr>
              <w:t>160</w:t>
            </w:r>
          </w:p>
        </w:tc>
        <w:tc>
          <w:tcPr>
            <w:tcW w:w="1229" w:type="dxa"/>
            <w:vAlign w:val="center"/>
          </w:tcPr>
          <w:p w14:paraId="52671D24">
            <w:pPr>
              <w:jc w:val="center"/>
              <w:rPr>
                <w:rFonts w:hint="default" w:ascii="Arial" w:hAnsi="Arial" w:eastAsia="宋体" w:cs="Arial"/>
                <w:kern w:val="0"/>
                <w:szCs w:val="21"/>
              </w:rPr>
            </w:pPr>
            <w:r>
              <w:rPr>
                <w:rFonts w:hint="default" w:ascii="Arial" w:hAnsi="Arial" w:eastAsia="宋体" w:cs="Arial"/>
                <w:color w:val="000000"/>
                <w:szCs w:val="21"/>
                <w:lang w:val="en-US" w:eastAsia="zh-CN"/>
              </w:rPr>
              <w:t>83.8</w:t>
            </w:r>
          </w:p>
        </w:tc>
        <w:tc>
          <w:tcPr>
            <w:tcW w:w="1089" w:type="dxa"/>
            <w:vAlign w:val="center"/>
          </w:tcPr>
          <w:p w14:paraId="5B60A2B9">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r w14:paraId="1C72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252FDF39">
            <w:pPr>
              <w:widowControl/>
              <w:contextualSpacing/>
              <w:jc w:val="center"/>
              <w:rPr>
                <w:rFonts w:hint="default" w:ascii="Arial" w:hAnsi="Arial" w:eastAsia="宋体" w:cs="Arial"/>
                <w:kern w:val="0"/>
                <w:szCs w:val="21"/>
              </w:rPr>
            </w:pPr>
            <w:r>
              <w:rPr>
                <w:rFonts w:hint="default" w:ascii="Arial" w:hAnsi="Arial" w:eastAsia="宋体" w:cs="Arial"/>
                <w:kern w:val="0"/>
                <w:szCs w:val="21"/>
              </w:rPr>
              <w:t>CO</w:t>
            </w:r>
          </w:p>
        </w:tc>
        <w:tc>
          <w:tcPr>
            <w:tcW w:w="1794" w:type="dxa"/>
            <w:vAlign w:val="center"/>
          </w:tcPr>
          <w:p w14:paraId="0C795463">
            <w:pPr>
              <w:widowControl/>
              <w:contextualSpacing/>
              <w:jc w:val="center"/>
              <w:rPr>
                <w:rFonts w:hint="default" w:ascii="Arial" w:hAnsi="Arial" w:eastAsia="宋体" w:cs="Arial"/>
                <w:kern w:val="0"/>
                <w:szCs w:val="21"/>
              </w:rPr>
            </w:pPr>
            <w:r>
              <w:rPr>
                <w:rFonts w:hint="default" w:ascii="Arial" w:hAnsi="Arial" w:eastAsia="宋体" w:cs="Arial"/>
                <w:kern w:val="0"/>
                <w:szCs w:val="21"/>
              </w:rPr>
              <w:t>第95百分位数日平均质量浓度</w:t>
            </w:r>
          </w:p>
        </w:tc>
        <w:tc>
          <w:tcPr>
            <w:tcW w:w="889" w:type="dxa"/>
            <w:vAlign w:val="center"/>
          </w:tcPr>
          <w:p w14:paraId="2870BCC6">
            <w:pPr>
              <w:widowControl/>
              <w:contextualSpacing/>
              <w:jc w:val="center"/>
              <w:rPr>
                <w:rFonts w:hint="default" w:ascii="Arial" w:hAnsi="Arial" w:eastAsia="宋体" w:cs="Arial"/>
                <w:kern w:val="0"/>
                <w:szCs w:val="21"/>
              </w:rPr>
            </w:pPr>
            <w:r>
              <w:rPr>
                <w:rFonts w:hint="default" w:ascii="Arial" w:hAnsi="Arial" w:eastAsia="宋体" w:cs="Arial"/>
                <w:szCs w:val="21"/>
              </w:rPr>
              <w:t>mg/m</w:t>
            </w:r>
            <w:r>
              <w:rPr>
                <w:rFonts w:hint="default" w:ascii="Arial" w:hAnsi="Arial" w:eastAsia="宋体" w:cs="Arial"/>
                <w:szCs w:val="21"/>
                <w:vertAlign w:val="superscript"/>
              </w:rPr>
              <w:t>3</w:t>
            </w:r>
          </w:p>
        </w:tc>
        <w:tc>
          <w:tcPr>
            <w:tcW w:w="1134" w:type="dxa"/>
            <w:vAlign w:val="center"/>
          </w:tcPr>
          <w:p w14:paraId="0F2BD27B">
            <w:pPr>
              <w:widowControl/>
              <w:contextualSpacing/>
              <w:jc w:val="center"/>
              <w:rPr>
                <w:rFonts w:hint="default" w:ascii="Arial" w:hAnsi="Arial" w:eastAsia="宋体" w:cs="Arial"/>
                <w:kern w:val="0"/>
                <w:szCs w:val="21"/>
              </w:rPr>
            </w:pPr>
            <w:r>
              <w:rPr>
                <w:rFonts w:hint="default" w:ascii="Arial" w:hAnsi="Arial" w:eastAsia="宋体" w:cs="Arial"/>
                <w:color w:val="000000"/>
                <w:kern w:val="0"/>
                <w:szCs w:val="21"/>
                <w:lang w:val="en-US" w:eastAsia="zh-CN"/>
              </w:rPr>
              <w:t>1.0</w:t>
            </w:r>
          </w:p>
        </w:tc>
        <w:tc>
          <w:tcPr>
            <w:tcW w:w="1039" w:type="dxa"/>
            <w:vAlign w:val="center"/>
          </w:tcPr>
          <w:p w14:paraId="07AA3A7B">
            <w:pPr>
              <w:widowControl/>
              <w:contextualSpacing/>
              <w:jc w:val="center"/>
              <w:rPr>
                <w:rFonts w:hint="default" w:ascii="Arial" w:hAnsi="Arial" w:eastAsia="宋体" w:cs="Arial"/>
                <w:kern w:val="0"/>
                <w:szCs w:val="21"/>
              </w:rPr>
            </w:pPr>
            <w:r>
              <w:rPr>
                <w:rFonts w:hint="default" w:ascii="Arial" w:hAnsi="Arial" w:eastAsia="宋体" w:cs="Arial"/>
                <w:color w:val="000000"/>
                <w:kern w:val="0"/>
                <w:szCs w:val="21"/>
              </w:rPr>
              <w:t>4</w:t>
            </w:r>
          </w:p>
        </w:tc>
        <w:tc>
          <w:tcPr>
            <w:tcW w:w="1229" w:type="dxa"/>
            <w:vAlign w:val="center"/>
          </w:tcPr>
          <w:p w14:paraId="505A8F73">
            <w:pPr>
              <w:jc w:val="center"/>
              <w:rPr>
                <w:rFonts w:hint="default" w:ascii="Arial" w:hAnsi="Arial" w:eastAsia="宋体" w:cs="Arial"/>
                <w:kern w:val="0"/>
                <w:szCs w:val="21"/>
              </w:rPr>
            </w:pPr>
            <w:r>
              <w:rPr>
                <w:rFonts w:hint="default" w:ascii="Arial" w:hAnsi="Arial" w:eastAsia="宋体" w:cs="Arial"/>
                <w:color w:val="000000"/>
                <w:szCs w:val="21"/>
                <w:lang w:val="en-US" w:eastAsia="zh-CN"/>
              </w:rPr>
              <w:t>25</w:t>
            </w:r>
          </w:p>
        </w:tc>
        <w:tc>
          <w:tcPr>
            <w:tcW w:w="1089" w:type="dxa"/>
            <w:vAlign w:val="center"/>
          </w:tcPr>
          <w:p w14:paraId="465BA400">
            <w:pPr>
              <w:widowControl/>
              <w:contextualSpacing/>
              <w:jc w:val="center"/>
              <w:rPr>
                <w:rFonts w:hint="default" w:ascii="Arial" w:hAnsi="Arial" w:eastAsia="宋体" w:cs="Arial"/>
                <w:kern w:val="0"/>
                <w:szCs w:val="21"/>
              </w:rPr>
            </w:pPr>
            <w:r>
              <w:rPr>
                <w:rFonts w:hint="default" w:ascii="Arial" w:hAnsi="Arial" w:eastAsia="宋体" w:cs="Arial"/>
                <w:b w:val="0"/>
                <w:color w:val="000000"/>
                <w:kern w:val="0"/>
                <w:szCs w:val="21"/>
                <w:highlight w:val="none"/>
              </w:rPr>
              <w:t>达标</w:t>
            </w:r>
          </w:p>
        </w:tc>
      </w:tr>
    </w:tbl>
    <w:p w14:paraId="22EC76F0">
      <w:pPr>
        <w:pStyle w:val="76"/>
        <w:keepNext w:val="0"/>
        <w:keepLines w:val="0"/>
        <w:pageBreakBefore w:val="0"/>
        <w:widowControl w:val="0"/>
        <w:numPr>
          <w:ilvl w:val="3"/>
          <w:numId w:val="4"/>
        </w:numPr>
        <w:kinsoku/>
        <w:wordWrap/>
        <w:overflowPunct/>
        <w:topLinePunct w:val="0"/>
        <w:autoSpaceDE/>
        <w:autoSpaceDN/>
        <w:bidi w:val="0"/>
        <w:adjustRightInd/>
        <w:snapToGrid/>
        <w:spacing w:before="171" w:beforeLines="50"/>
        <w:ind w:left="777" w:leftChars="0"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w:t>
      </w:r>
      <w:r>
        <w:rPr>
          <w:rFonts w:hint="default" w:ascii="Arial" w:hAnsi="Arial" w:eastAsia="宋体" w:cs="Arial"/>
          <w:b/>
          <w:bCs/>
          <w:sz w:val="24"/>
          <w:szCs w:val="24"/>
          <w:lang w:val="en-US" w:eastAsia="zh-CN"/>
        </w:rPr>
        <w:t>嘉兴</w:t>
      </w:r>
      <w:r>
        <w:rPr>
          <w:rFonts w:hint="default" w:ascii="Arial" w:hAnsi="Arial" w:eastAsia="宋体" w:cs="Arial"/>
          <w:b/>
          <w:bCs/>
          <w:color w:val="000000" w:themeColor="text1"/>
          <w:sz w:val="24"/>
          <w:szCs w:val="24"/>
          <w:lang w:val="en-US" w:eastAsia="zh-CN"/>
          <w14:textFill>
            <w14:solidFill>
              <w14:schemeClr w14:val="tx1"/>
            </w14:solidFill>
          </w14:textFill>
        </w:rPr>
        <w:t>市区202</w:t>
      </w:r>
      <w:r>
        <w:rPr>
          <w:rFonts w:hint="eastAsia" w:ascii="Arial" w:hAnsi="Arial" w:eastAsia="宋体" w:cs="Arial"/>
          <w:b/>
          <w:bCs/>
          <w:color w:val="000000" w:themeColor="text1"/>
          <w:sz w:val="24"/>
          <w:szCs w:val="24"/>
          <w:lang w:val="en-US" w:eastAsia="zh-CN"/>
          <w14:textFill>
            <w14:solidFill>
              <w14:schemeClr w14:val="tx1"/>
            </w14:solidFill>
          </w14:textFill>
        </w:rPr>
        <w:t>4</w:t>
      </w:r>
      <w:r>
        <w:rPr>
          <w:rFonts w:hint="default" w:ascii="Arial" w:hAnsi="Arial" w:eastAsia="宋体" w:cs="Arial"/>
          <w:b/>
          <w:bCs/>
          <w:color w:val="000000" w:themeColor="text1"/>
          <w:sz w:val="24"/>
          <w:szCs w:val="24"/>
          <w14:textFill>
            <w14:solidFill>
              <w14:schemeClr w14:val="tx1"/>
            </w14:solidFill>
          </w14:textFill>
        </w:rPr>
        <w:t>年环境质量数据汇总</w:t>
      </w:r>
      <w:r>
        <w:rPr>
          <w:rFonts w:hint="default" w:ascii="Arial" w:hAnsi="Arial" w:eastAsia="宋体" w:cs="Arial"/>
          <w:b/>
          <w:bCs/>
          <w:sz w:val="24"/>
          <w:szCs w:val="24"/>
        </w:rPr>
        <w:t>表</w:t>
      </w:r>
    </w:p>
    <w:tbl>
      <w:tblPr>
        <w:tblStyle w:val="52"/>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942"/>
        <w:gridCol w:w="1794"/>
        <w:gridCol w:w="889"/>
        <w:gridCol w:w="1134"/>
        <w:gridCol w:w="1039"/>
        <w:gridCol w:w="1229"/>
        <w:gridCol w:w="1089"/>
      </w:tblGrid>
      <w:tr w14:paraId="50B6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7C3B6E77">
            <w:pPr>
              <w:widowControl/>
              <w:contextualSpacing/>
              <w:jc w:val="center"/>
              <w:rPr>
                <w:rFonts w:hint="default" w:ascii="Arial" w:hAnsi="Arial" w:eastAsia="宋体" w:cs="Arial"/>
                <w:kern w:val="0"/>
                <w:szCs w:val="21"/>
              </w:rPr>
            </w:pPr>
            <w:r>
              <w:rPr>
                <w:rFonts w:hint="default" w:ascii="Arial" w:hAnsi="Arial" w:eastAsia="宋体" w:cs="Arial"/>
                <w:kern w:val="0"/>
                <w:szCs w:val="21"/>
              </w:rPr>
              <w:t>污染物</w:t>
            </w:r>
          </w:p>
        </w:tc>
        <w:tc>
          <w:tcPr>
            <w:tcW w:w="1794" w:type="dxa"/>
            <w:vAlign w:val="center"/>
          </w:tcPr>
          <w:p w14:paraId="0BDB0C12">
            <w:pPr>
              <w:widowControl/>
              <w:contextualSpacing/>
              <w:jc w:val="center"/>
              <w:rPr>
                <w:rFonts w:hint="default" w:ascii="Arial" w:hAnsi="Arial" w:eastAsia="宋体" w:cs="Arial"/>
                <w:kern w:val="0"/>
                <w:szCs w:val="21"/>
              </w:rPr>
            </w:pPr>
            <w:r>
              <w:rPr>
                <w:rFonts w:hint="default" w:ascii="Arial" w:hAnsi="Arial" w:eastAsia="宋体" w:cs="Arial"/>
                <w:kern w:val="0"/>
                <w:szCs w:val="21"/>
              </w:rPr>
              <w:t>年评价指标</w:t>
            </w:r>
          </w:p>
        </w:tc>
        <w:tc>
          <w:tcPr>
            <w:tcW w:w="889" w:type="dxa"/>
            <w:vAlign w:val="center"/>
          </w:tcPr>
          <w:p w14:paraId="284F543F">
            <w:pPr>
              <w:widowControl/>
              <w:contextualSpacing/>
              <w:jc w:val="center"/>
              <w:rPr>
                <w:rFonts w:hint="default" w:ascii="Arial" w:hAnsi="Arial" w:eastAsia="宋体" w:cs="Arial"/>
                <w:kern w:val="0"/>
                <w:szCs w:val="21"/>
              </w:rPr>
            </w:pPr>
            <w:r>
              <w:rPr>
                <w:rFonts w:hint="default" w:ascii="Arial" w:hAnsi="Arial" w:eastAsia="宋体" w:cs="Arial"/>
                <w:kern w:val="0"/>
                <w:szCs w:val="21"/>
              </w:rPr>
              <w:t>单位</w:t>
            </w:r>
          </w:p>
        </w:tc>
        <w:tc>
          <w:tcPr>
            <w:tcW w:w="1134" w:type="dxa"/>
            <w:vAlign w:val="center"/>
          </w:tcPr>
          <w:p w14:paraId="4FE987DE">
            <w:pPr>
              <w:widowControl/>
              <w:contextualSpacing/>
              <w:jc w:val="center"/>
              <w:rPr>
                <w:rFonts w:hint="default" w:ascii="Arial" w:hAnsi="Arial" w:eastAsia="宋体" w:cs="Arial"/>
                <w:kern w:val="0"/>
                <w:szCs w:val="21"/>
              </w:rPr>
            </w:pPr>
            <w:r>
              <w:rPr>
                <w:rFonts w:hint="default" w:ascii="Arial" w:hAnsi="Arial" w:eastAsia="宋体" w:cs="Arial"/>
                <w:kern w:val="0"/>
                <w:szCs w:val="21"/>
              </w:rPr>
              <w:t>现状浓度</w:t>
            </w:r>
          </w:p>
        </w:tc>
        <w:tc>
          <w:tcPr>
            <w:tcW w:w="1039" w:type="dxa"/>
            <w:vAlign w:val="center"/>
          </w:tcPr>
          <w:p w14:paraId="0EF1B87A">
            <w:pPr>
              <w:widowControl/>
              <w:contextualSpacing/>
              <w:jc w:val="center"/>
              <w:rPr>
                <w:rFonts w:hint="default" w:ascii="Arial" w:hAnsi="Arial" w:eastAsia="宋体" w:cs="Arial"/>
                <w:kern w:val="0"/>
                <w:szCs w:val="21"/>
              </w:rPr>
            </w:pPr>
            <w:r>
              <w:rPr>
                <w:rFonts w:hint="default" w:ascii="Arial" w:hAnsi="Arial" w:eastAsia="宋体" w:cs="Arial"/>
                <w:kern w:val="0"/>
                <w:szCs w:val="21"/>
              </w:rPr>
              <w:t>标准值</w:t>
            </w:r>
          </w:p>
        </w:tc>
        <w:tc>
          <w:tcPr>
            <w:tcW w:w="1229" w:type="dxa"/>
            <w:vAlign w:val="center"/>
          </w:tcPr>
          <w:p w14:paraId="6AA34019">
            <w:pPr>
              <w:widowControl/>
              <w:contextualSpacing/>
              <w:jc w:val="center"/>
              <w:rPr>
                <w:rFonts w:hint="default" w:ascii="Arial" w:hAnsi="Arial" w:eastAsia="宋体" w:cs="Arial"/>
                <w:kern w:val="0"/>
                <w:szCs w:val="21"/>
              </w:rPr>
            </w:pPr>
            <w:r>
              <w:rPr>
                <w:rFonts w:hint="default" w:ascii="Arial" w:hAnsi="Arial" w:eastAsia="宋体" w:cs="Arial"/>
                <w:kern w:val="0"/>
                <w:szCs w:val="21"/>
              </w:rPr>
              <w:t>占标率（%）</w:t>
            </w:r>
          </w:p>
        </w:tc>
        <w:tc>
          <w:tcPr>
            <w:tcW w:w="1089" w:type="dxa"/>
            <w:vAlign w:val="center"/>
          </w:tcPr>
          <w:p w14:paraId="4B425BCB">
            <w:pPr>
              <w:widowControl/>
              <w:contextualSpacing/>
              <w:jc w:val="center"/>
              <w:rPr>
                <w:rFonts w:hint="default" w:ascii="Arial" w:hAnsi="Arial" w:eastAsia="宋体" w:cs="Arial"/>
                <w:kern w:val="0"/>
                <w:szCs w:val="21"/>
              </w:rPr>
            </w:pPr>
            <w:r>
              <w:rPr>
                <w:rFonts w:hint="default" w:ascii="Arial" w:hAnsi="Arial" w:eastAsia="宋体" w:cs="Arial"/>
                <w:kern w:val="0"/>
                <w:szCs w:val="21"/>
              </w:rPr>
              <w:t>达标情况</w:t>
            </w:r>
          </w:p>
        </w:tc>
      </w:tr>
      <w:tr w14:paraId="4458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6B19B4AA">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PM</w:t>
            </w:r>
            <w:r>
              <w:rPr>
                <w:rFonts w:hint="default" w:ascii="Arial" w:hAnsi="Arial" w:eastAsia="宋体" w:cs="Arial"/>
                <w:color w:val="auto"/>
                <w:kern w:val="0"/>
                <w:szCs w:val="21"/>
                <w:vertAlign w:val="subscript"/>
              </w:rPr>
              <w:t>2.5</w:t>
            </w:r>
          </w:p>
        </w:tc>
        <w:tc>
          <w:tcPr>
            <w:tcW w:w="1794" w:type="dxa"/>
            <w:vAlign w:val="center"/>
          </w:tcPr>
          <w:p w14:paraId="3BDF81C9">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年平均质量浓度</w:t>
            </w:r>
          </w:p>
        </w:tc>
        <w:tc>
          <w:tcPr>
            <w:tcW w:w="889" w:type="dxa"/>
            <w:vMerge w:val="restart"/>
            <w:vAlign w:val="center"/>
          </w:tcPr>
          <w:p w14:paraId="6F7C1879">
            <w:pPr>
              <w:contextualSpacing/>
              <w:jc w:val="center"/>
              <w:rPr>
                <w:rFonts w:hint="default" w:ascii="Arial" w:hAnsi="Arial" w:eastAsia="宋体" w:cs="Arial"/>
                <w:color w:val="auto"/>
                <w:szCs w:val="21"/>
              </w:rPr>
            </w:pPr>
            <w:r>
              <w:rPr>
                <w:rFonts w:hint="default" w:ascii="Arial" w:hAnsi="Arial" w:eastAsia="宋体" w:cs="Arial"/>
                <w:color w:val="auto"/>
                <w:szCs w:val="21"/>
              </w:rPr>
              <w:t>μg/m</w:t>
            </w:r>
            <w:r>
              <w:rPr>
                <w:rFonts w:hint="default" w:ascii="Arial" w:hAnsi="Arial" w:eastAsia="宋体" w:cs="Arial"/>
                <w:color w:val="auto"/>
                <w:szCs w:val="21"/>
                <w:vertAlign w:val="superscript"/>
              </w:rPr>
              <w:t>3</w:t>
            </w:r>
          </w:p>
        </w:tc>
        <w:tc>
          <w:tcPr>
            <w:tcW w:w="1134" w:type="dxa"/>
            <w:vAlign w:val="center"/>
          </w:tcPr>
          <w:p w14:paraId="36FB749E">
            <w:pPr>
              <w:widowControl/>
              <w:contextualSpacing/>
              <w:jc w:val="center"/>
              <w:rPr>
                <w:rFonts w:hint="default" w:ascii="Arial" w:hAnsi="Arial" w:eastAsia="宋体" w:cs="Arial"/>
                <w:color w:val="auto"/>
                <w:kern w:val="0"/>
                <w:szCs w:val="21"/>
                <w:lang w:val="en-US" w:eastAsia="zh-CN"/>
              </w:rPr>
            </w:pPr>
            <w:r>
              <w:rPr>
                <w:rFonts w:hint="default" w:ascii="Arial" w:hAnsi="Arial" w:eastAsia="宋体" w:cs="Arial"/>
                <w:color w:val="auto"/>
                <w:kern w:val="0"/>
                <w:szCs w:val="21"/>
              </w:rPr>
              <w:t>2</w:t>
            </w:r>
            <w:r>
              <w:rPr>
                <w:rFonts w:hint="default" w:ascii="Arial" w:hAnsi="Arial" w:eastAsia="宋体" w:cs="Arial"/>
                <w:color w:val="auto"/>
                <w:kern w:val="0"/>
                <w:szCs w:val="21"/>
                <w:lang w:val="en-US" w:eastAsia="zh-CN"/>
              </w:rPr>
              <w:t>5</w:t>
            </w:r>
          </w:p>
        </w:tc>
        <w:tc>
          <w:tcPr>
            <w:tcW w:w="1039" w:type="dxa"/>
            <w:vAlign w:val="center"/>
          </w:tcPr>
          <w:p w14:paraId="314446C6">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35</w:t>
            </w:r>
          </w:p>
        </w:tc>
        <w:tc>
          <w:tcPr>
            <w:tcW w:w="1229" w:type="dxa"/>
            <w:vAlign w:val="center"/>
          </w:tcPr>
          <w:p w14:paraId="40768ACD">
            <w:pPr>
              <w:widowControl/>
              <w:contextualSpacing/>
              <w:jc w:val="center"/>
              <w:rPr>
                <w:rFonts w:hint="default" w:ascii="Arial" w:hAnsi="Arial" w:eastAsia="宋体" w:cs="Arial"/>
                <w:color w:val="auto"/>
                <w:kern w:val="0"/>
                <w:szCs w:val="21"/>
                <w:lang w:val="en-US" w:eastAsia="zh-CN"/>
              </w:rPr>
            </w:pPr>
            <w:r>
              <w:rPr>
                <w:rFonts w:hint="default" w:ascii="Arial" w:hAnsi="Arial" w:eastAsia="宋体" w:cs="Arial"/>
                <w:color w:val="auto"/>
                <w:kern w:val="0"/>
                <w:szCs w:val="21"/>
                <w:lang w:val="en-US" w:eastAsia="zh-CN"/>
              </w:rPr>
              <w:t>71.43</w:t>
            </w:r>
          </w:p>
        </w:tc>
        <w:tc>
          <w:tcPr>
            <w:tcW w:w="1089" w:type="dxa"/>
            <w:vAlign w:val="center"/>
          </w:tcPr>
          <w:p w14:paraId="00829F8E">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达标</w:t>
            </w:r>
          </w:p>
        </w:tc>
      </w:tr>
      <w:tr w14:paraId="7500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6D49B507">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PM</w:t>
            </w:r>
            <w:r>
              <w:rPr>
                <w:rFonts w:hint="default" w:ascii="Arial" w:hAnsi="Arial" w:eastAsia="宋体" w:cs="Arial"/>
                <w:color w:val="auto"/>
                <w:kern w:val="0"/>
                <w:szCs w:val="21"/>
                <w:vertAlign w:val="subscript"/>
              </w:rPr>
              <w:t>10</w:t>
            </w:r>
          </w:p>
        </w:tc>
        <w:tc>
          <w:tcPr>
            <w:tcW w:w="1794" w:type="dxa"/>
            <w:vAlign w:val="center"/>
          </w:tcPr>
          <w:p w14:paraId="0101F39E">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年平均质量浓度</w:t>
            </w:r>
          </w:p>
        </w:tc>
        <w:tc>
          <w:tcPr>
            <w:tcW w:w="889" w:type="dxa"/>
            <w:vMerge w:val="continue"/>
            <w:vAlign w:val="center"/>
          </w:tcPr>
          <w:p w14:paraId="3E54A9C3">
            <w:pPr>
              <w:widowControl/>
              <w:jc w:val="left"/>
              <w:rPr>
                <w:rFonts w:hint="default" w:ascii="Arial" w:hAnsi="Arial" w:eastAsia="宋体" w:cs="Arial"/>
                <w:color w:val="auto"/>
                <w:szCs w:val="21"/>
              </w:rPr>
            </w:pPr>
          </w:p>
        </w:tc>
        <w:tc>
          <w:tcPr>
            <w:tcW w:w="1134" w:type="dxa"/>
            <w:vAlign w:val="center"/>
          </w:tcPr>
          <w:p w14:paraId="2A388589">
            <w:pPr>
              <w:widowControl/>
              <w:contextualSpacing/>
              <w:jc w:val="center"/>
              <w:rPr>
                <w:rFonts w:hint="default" w:ascii="Arial" w:hAnsi="Arial" w:eastAsia="宋体" w:cs="Arial"/>
                <w:color w:val="auto"/>
                <w:kern w:val="0"/>
                <w:szCs w:val="21"/>
                <w:lang w:val="en-US" w:eastAsia="zh-CN"/>
              </w:rPr>
            </w:pPr>
            <w:r>
              <w:rPr>
                <w:rFonts w:hint="default" w:ascii="Arial" w:hAnsi="Arial" w:eastAsia="宋体" w:cs="Arial"/>
                <w:color w:val="auto"/>
                <w:kern w:val="0"/>
                <w:szCs w:val="21"/>
                <w:lang w:val="en-US" w:eastAsia="zh-CN"/>
              </w:rPr>
              <w:t>4</w:t>
            </w:r>
            <w:r>
              <w:rPr>
                <w:rFonts w:hint="eastAsia" w:ascii="Arial" w:hAnsi="Arial" w:eastAsia="宋体" w:cs="Arial"/>
                <w:color w:val="auto"/>
                <w:kern w:val="0"/>
                <w:szCs w:val="21"/>
                <w:lang w:val="en-US" w:eastAsia="zh-CN"/>
              </w:rPr>
              <w:t>5</w:t>
            </w:r>
          </w:p>
        </w:tc>
        <w:tc>
          <w:tcPr>
            <w:tcW w:w="1039" w:type="dxa"/>
            <w:vAlign w:val="center"/>
          </w:tcPr>
          <w:p w14:paraId="739DBE7E">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70</w:t>
            </w:r>
          </w:p>
        </w:tc>
        <w:tc>
          <w:tcPr>
            <w:tcW w:w="1229" w:type="dxa"/>
            <w:vAlign w:val="center"/>
          </w:tcPr>
          <w:p w14:paraId="0ED0BD53">
            <w:pPr>
              <w:widowControl/>
              <w:contextualSpacing/>
              <w:jc w:val="center"/>
              <w:rPr>
                <w:rFonts w:hint="default" w:ascii="Arial" w:hAnsi="Arial" w:eastAsia="宋体" w:cs="Arial"/>
                <w:color w:val="auto"/>
                <w:kern w:val="0"/>
                <w:szCs w:val="21"/>
                <w:lang w:val="en-US" w:eastAsia="zh-CN"/>
              </w:rPr>
            </w:pPr>
            <w:r>
              <w:rPr>
                <w:rFonts w:hint="default" w:ascii="Arial" w:hAnsi="Arial" w:eastAsia="宋体" w:cs="Arial"/>
                <w:color w:val="auto"/>
                <w:kern w:val="0"/>
                <w:szCs w:val="21"/>
              </w:rPr>
              <w:t>6</w:t>
            </w:r>
            <w:r>
              <w:rPr>
                <w:rFonts w:hint="eastAsia" w:ascii="Arial" w:hAnsi="Arial" w:eastAsia="宋体" w:cs="Arial"/>
                <w:color w:val="auto"/>
                <w:kern w:val="0"/>
                <w:szCs w:val="21"/>
                <w:lang w:val="en-US" w:eastAsia="zh-CN"/>
              </w:rPr>
              <w:t>4.29</w:t>
            </w:r>
          </w:p>
        </w:tc>
        <w:tc>
          <w:tcPr>
            <w:tcW w:w="1089" w:type="dxa"/>
            <w:vAlign w:val="center"/>
          </w:tcPr>
          <w:p w14:paraId="42196093">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达标</w:t>
            </w:r>
          </w:p>
        </w:tc>
      </w:tr>
      <w:tr w14:paraId="2B77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78E2B992">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NO</w:t>
            </w:r>
            <w:r>
              <w:rPr>
                <w:rFonts w:hint="default" w:ascii="Arial" w:hAnsi="Arial" w:eastAsia="宋体" w:cs="Arial"/>
                <w:color w:val="auto"/>
                <w:kern w:val="0"/>
                <w:szCs w:val="21"/>
                <w:vertAlign w:val="subscript"/>
              </w:rPr>
              <w:t>2</w:t>
            </w:r>
          </w:p>
        </w:tc>
        <w:tc>
          <w:tcPr>
            <w:tcW w:w="1794" w:type="dxa"/>
            <w:vAlign w:val="center"/>
          </w:tcPr>
          <w:p w14:paraId="02804B88">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年平均质量浓度</w:t>
            </w:r>
          </w:p>
        </w:tc>
        <w:tc>
          <w:tcPr>
            <w:tcW w:w="889" w:type="dxa"/>
            <w:vMerge w:val="continue"/>
            <w:vAlign w:val="center"/>
          </w:tcPr>
          <w:p w14:paraId="15127291">
            <w:pPr>
              <w:widowControl/>
              <w:jc w:val="left"/>
              <w:rPr>
                <w:rFonts w:hint="default" w:ascii="Arial" w:hAnsi="Arial" w:eastAsia="宋体" w:cs="Arial"/>
                <w:color w:val="auto"/>
                <w:szCs w:val="21"/>
              </w:rPr>
            </w:pPr>
          </w:p>
        </w:tc>
        <w:tc>
          <w:tcPr>
            <w:tcW w:w="1134" w:type="dxa"/>
            <w:vAlign w:val="center"/>
          </w:tcPr>
          <w:p w14:paraId="2C1B4055">
            <w:pPr>
              <w:widowControl/>
              <w:contextualSpacing/>
              <w:jc w:val="center"/>
              <w:rPr>
                <w:rFonts w:hint="eastAsia" w:ascii="Arial" w:hAnsi="Arial" w:eastAsia="宋体" w:cs="Arial"/>
                <w:color w:val="auto"/>
                <w:kern w:val="0"/>
                <w:szCs w:val="21"/>
                <w:lang w:val="en-US" w:eastAsia="zh-CN"/>
              </w:rPr>
            </w:pPr>
            <w:r>
              <w:rPr>
                <w:rFonts w:hint="default" w:ascii="Arial" w:hAnsi="Arial" w:eastAsia="宋体" w:cs="Arial"/>
                <w:color w:val="auto"/>
                <w:kern w:val="0"/>
                <w:szCs w:val="21"/>
              </w:rPr>
              <w:t>2</w:t>
            </w:r>
            <w:r>
              <w:rPr>
                <w:rFonts w:hint="eastAsia" w:ascii="Arial" w:hAnsi="Arial" w:eastAsia="宋体" w:cs="Arial"/>
                <w:color w:val="auto"/>
                <w:kern w:val="0"/>
                <w:szCs w:val="21"/>
                <w:lang w:val="en-US" w:eastAsia="zh-CN"/>
              </w:rPr>
              <w:t>6</w:t>
            </w:r>
          </w:p>
        </w:tc>
        <w:tc>
          <w:tcPr>
            <w:tcW w:w="1039" w:type="dxa"/>
            <w:vAlign w:val="center"/>
          </w:tcPr>
          <w:p w14:paraId="1D5C10CF">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40</w:t>
            </w:r>
          </w:p>
        </w:tc>
        <w:tc>
          <w:tcPr>
            <w:tcW w:w="1229" w:type="dxa"/>
            <w:vAlign w:val="center"/>
          </w:tcPr>
          <w:p w14:paraId="433D13D2">
            <w:pPr>
              <w:widowControl/>
              <w:contextualSpacing/>
              <w:jc w:val="center"/>
              <w:rPr>
                <w:rFonts w:hint="default" w:ascii="Arial" w:hAnsi="Arial" w:eastAsia="宋体" w:cs="Arial"/>
                <w:color w:val="auto"/>
                <w:kern w:val="0"/>
                <w:szCs w:val="21"/>
                <w:lang w:val="en-US" w:eastAsia="zh-CN"/>
              </w:rPr>
            </w:pPr>
            <w:r>
              <w:rPr>
                <w:rFonts w:hint="eastAsia" w:ascii="Arial" w:hAnsi="Arial" w:eastAsia="宋体" w:cs="Arial"/>
                <w:color w:val="auto"/>
                <w:kern w:val="0"/>
                <w:szCs w:val="21"/>
                <w:lang w:val="en-US" w:eastAsia="zh-CN"/>
              </w:rPr>
              <w:t>65</w:t>
            </w:r>
          </w:p>
        </w:tc>
        <w:tc>
          <w:tcPr>
            <w:tcW w:w="1089" w:type="dxa"/>
            <w:vAlign w:val="center"/>
          </w:tcPr>
          <w:p w14:paraId="7E82612C">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达标</w:t>
            </w:r>
          </w:p>
        </w:tc>
      </w:tr>
      <w:tr w14:paraId="6CD3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7840DFE7">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SO</w:t>
            </w:r>
            <w:r>
              <w:rPr>
                <w:rFonts w:hint="default" w:ascii="Arial" w:hAnsi="Arial" w:eastAsia="宋体" w:cs="Arial"/>
                <w:color w:val="auto"/>
                <w:kern w:val="0"/>
                <w:szCs w:val="21"/>
                <w:vertAlign w:val="subscript"/>
              </w:rPr>
              <w:t>2</w:t>
            </w:r>
          </w:p>
        </w:tc>
        <w:tc>
          <w:tcPr>
            <w:tcW w:w="1794" w:type="dxa"/>
            <w:vAlign w:val="center"/>
          </w:tcPr>
          <w:p w14:paraId="6A5F2233">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年平均质量浓度</w:t>
            </w:r>
          </w:p>
        </w:tc>
        <w:tc>
          <w:tcPr>
            <w:tcW w:w="889" w:type="dxa"/>
            <w:vMerge w:val="continue"/>
            <w:vAlign w:val="center"/>
          </w:tcPr>
          <w:p w14:paraId="27042355">
            <w:pPr>
              <w:widowControl/>
              <w:jc w:val="left"/>
              <w:rPr>
                <w:rFonts w:hint="default" w:ascii="Arial" w:hAnsi="Arial" w:eastAsia="宋体" w:cs="Arial"/>
                <w:color w:val="auto"/>
                <w:szCs w:val="21"/>
              </w:rPr>
            </w:pPr>
          </w:p>
        </w:tc>
        <w:tc>
          <w:tcPr>
            <w:tcW w:w="1134" w:type="dxa"/>
            <w:vAlign w:val="center"/>
          </w:tcPr>
          <w:p w14:paraId="6B2A650F">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7</w:t>
            </w:r>
          </w:p>
        </w:tc>
        <w:tc>
          <w:tcPr>
            <w:tcW w:w="1039" w:type="dxa"/>
            <w:vAlign w:val="center"/>
          </w:tcPr>
          <w:p w14:paraId="6FD66837">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60</w:t>
            </w:r>
          </w:p>
        </w:tc>
        <w:tc>
          <w:tcPr>
            <w:tcW w:w="1229" w:type="dxa"/>
            <w:vAlign w:val="center"/>
          </w:tcPr>
          <w:p w14:paraId="100EF759">
            <w:pPr>
              <w:widowControl/>
              <w:contextualSpacing/>
              <w:jc w:val="center"/>
              <w:rPr>
                <w:rFonts w:hint="default" w:ascii="Arial" w:hAnsi="Arial" w:eastAsia="宋体" w:cs="Arial"/>
                <w:color w:val="auto"/>
                <w:kern w:val="0"/>
                <w:szCs w:val="21"/>
                <w:lang w:val="en-US" w:eastAsia="zh-CN"/>
              </w:rPr>
            </w:pPr>
            <w:r>
              <w:rPr>
                <w:rFonts w:hint="default" w:ascii="Arial" w:hAnsi="Arial" w:eastAsia="宋体" w:cs="Arial"/>
                <w:color w:val="auto"/>
                <w:kern w:val="0"/>
                <w:szCs w:val="21"/>
              </w:rPr>
              <w:t>11.</w:t>
            </w:r>
            <w:r>
              <w:rPr>
                <w:rFonts w:hint="default" w:ascii="Arial" w:hAnsi="Arial" w:eastAsia="宋体" w:cs="Arial"/>
                <w:color w:val="auto"/>
                <w:kern w:val="0"/>
                <w:szCs w:val="21"/>
                <w:lang w:val="en-US" w:eastAsia="zh-CN"/>
              </w:rPr>
              <w:t>67</w:t>
            </w:r>
          </w:p>
        </w:tc>
        <w:tc>
          <w:tcPr>
            <w:tcW w:w="1089" w:type="dxa"/>
            <w:vAlign w:val="center"/>
          </w:tcPr>
          <w:p w14:paraId="6D52B08C">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达标</w:t>
            </w:r>
          </w:p>
        </w:tc>
      </w:tr>
      <w:tr w14:paraId="7746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508BB5B9">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O</w:t>
            </w:r>
            <w:r>
              <w:rPr>
                <w:rFonts w:hint="default" w:ascii="Arial" w:hAnsi="Arial" w:eastAsia="宋体" w:cs="Arial"/>
                <w:color w:val="auto"/>
                <w:kern w:val="0"/>
                <w:szCs w:val="21"/>
                <w:vertAlign w:val="subscript"/>
              </w:rPr>
              <w:t>3</w:t>
            </w:r>
          </w:p>
        </w:tc>
        <w:tc>
          <w:tcPr>
            <w:tcW w:w="1794" w:type="dxa"/>
            <w:vAlign w:val="center"/>
          </w:tcPr>
          <w:p w14:paraId="23EE752E">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第90百分位数日最大8h平均质量浓度</w:t>
            </w:r>
          </w:p>
        </w:tc>
        <w:tc>
          <w:tcPr>
            <w:tcW w:w="889" w:type="dxa"/>
            <w:vMerge w:val="continue"/>
            <w:vAlign w:val="center"/>
          </w:tcPr>
          <w:p w14:paraId="23448ED8">
            <w:pPr>
              <w:widowControl/>
              <w:jc w:val="left"/>
              <w:rPr>
                <w:rFonts w:hint="default" w:ascii="Arial" w:hAnsi="Arial" w:eastAsia="宋体" w:cs="Arial"/>
                <w:color w:val="auto"/>
                <w:szCs w:val="21"/>
              </w:rPr>
            </w:pPr>
          </w:p>
        </w:tc>
        <w:tc>
          <w:tcPr>
            <w:tcW w:w="1134" w:type="dxa"/>
            <w:vAlign w:val="center"/>
          </w:tcPr>
          <w:p w14:paraId="0D2FA9DA">
            <w:pPr>
              <w:widowControl/>
              <w:contextualSpacing/>
              <w:jc w:val="center"/>
              <w:rPr>
                <w:rFonts w:hint="default" w:ascii="Arial" w:hAnsi="Arial" w:eastAsia="宋体" w:cs="Arial"/>
                <w:color w:val="auto"/>
                <w:kern w:val="0"/>
                <w:szCs w:val="21"/>
                <w:lang w:val="en-US" w:eastAsia="zh-CN"/>
              </w:rPr>
            </w:pPr>
            <w:r>
              <w:rPr>
                <w:rFonts w:hint="default" w:ascii="Arial" w:hAnsi="Arial" w:eastAsia="宋体" w:cs="Arial"/>
                <w:color w:val="auto"/>
                <w:kern w:val="0"/>
                <w:szCs w:val="21"/>
              </w:rPr>
              <w:t>1</w:t>
            </w:r>
            <w:r>
              <w:rPr>
                <w:rFonts w:hint="eastAsia" w:ascii="Arial" w:hAnsi="Arial" w:eastAsia="宋体" w:cs="Arial"/>
                <w:color w:val="auto"/>
                <w:kern w:val="0"/>
                <w:szCs w:val="21"/>
                <w:lang w:val="en-US" w:eastAsia="zh-CN"/>
              </w:rPr>
              <w:t>58</w:t>
            </w:r>
          </w:p>
        </w:tc>
        <w:tc>
          <w:tcPr>
            <w:tcW w:w="1039" w:type="dxa"/>
            <w:vAlign w:val="center"/>
          </w:tcPr>
          <w:p w14:paraId="1156074A">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160</w:t>
            </w:r>
          </w:p>
        </w:tc>
        <w:tc>
          <w:tcPr>
            <w:tcW w:w="1229" w:type="dxa"/>
            <w:vAlign w:val="center"/>
          </w:tcPr>
          <w:p w14:paraId="6E471C80">
            <w:pPr>
              <w:widowControl/>
              <w:contextualSpacing/>
              <w:jc w:val="center"/>
              <w:rPr>
                <w:rFonts w:hint="default" w:ascii="Arial" w:hAnsi="Arial" w:eastAsia="宋体" w:cs="Arial"/>
                <w:color w:val="auto"/>
                <w:kern w:val="0"/>
                <w:szCs w:val="21"/>
                <w:lang w:val="en-US" w:eastAsia="zh-CN"/>
              </w:rPr>
            </w:pPr>
            <w:r>
              <w:rPr>
                <w:rFonts w:hint="eastAsia" w:ascii="Arial" w:hAnsi="Arial" w:eastAsia="宋体" w:cs="Arial"/>
                <w:color w:val="auto"/>
                <w:kern w:val="0"/>
                <w:szCs w:val="21"/>
                <w:lang w:val="en-US" w:eastAsia="zh-CN"/>
              </w:rPr>
              <w:t>98.75</w:t>
            </w:r>
          </w:p>
        </w:tc>
        <w:tc>
          <w:tcPr>
            <w:tcW w:w="1089" w:type="dxa"/>
            <w:vAlign w:val="center"/>
          </w:tcPr>
          <w:p w14:paraId="5FD94F1E">
            <w:pPr>
              <w:widowControl/>
              <w:contextualSpacing/>
              <w:jc w:val="center"/>
              <w:rPr>
                <w:rFonts w:hint="default" w:ascii="Arial" w:hAnsi="Arial" w:eastAsia="宋体" w:cs="Arial"/>
                <w:color w:val="auto"/>
                <w:kern w:val="0"/>
                <w:szCs w:val="21"/>
              </w:rPr>
            </w:pPr>
            <w:r>
              <w:rPr>
                <w:rFonts w:hint="default" w:ascii="Arial" w:hAnsi="Arial" w:eastAsia="宋体" w:cs="Arial"/>
                <w:color w:val="auto"/>
                <w:kern w:val="0"/>
                <w:szCs w:val="21"/>
              </w:rPr>
              <w:t>达标</w:t>
            </w:r>
          </w:p>
        </w:tc>
      </w:tr>
      <w:tr w14:paraId="6334E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42" w:type="dxa"/>
            <w:vAlign w:val="center"/>
          </w:tcPr>
          <w:p w14:paraId="00F515E9">
            <w:pPr>
              <w:widowControl/>
              <w:contextualSpacing/>
              <w:jc w:val="center"/>
              <w:rPr>
                <w:rFonts w:hint="default" w:ascii="Arial" w:hAnsi="Arial" w:eastAsia="宋体" w:cs="Arial"/>
                <w:kern w:val="0"/>
                <w:szCs w:val="21"/>
              </w:rPr>
            </w:pPr>
            <w:r>
              <w:rPr>
                <w:rFonts w:hint="default" w:ascii="Arial" w:hAnsi="Arial" w:eastAsia="宋体" w:cs="Arial"/>
                <w:kern w:val="0"/>
                <w:szCs w:val="21"/>
              </w:rPr>
              <w:t>CO</w:t>
            </w:r>
          </w:p>
        </w:tc>
        <w:tc>
          <w:tcPr>
            <w:tcW w:w="1794" w:type="dxa"/>
            <w:vAlign w:val="center"/>
          </w:tcPr>
          <w:p w14:paraId="4FEF6F4A">
            <w:pPr>
              <w:widowControl/>
              <w:contextualSpacing/>
              <w:jc w:val="center"/>
              <w:rPr>
                <w:rFonts w:hint="default" w:ascii="Arial" w:hAnsi="Arial" w:eastAsia="宋体" w:cs="Arial"/>
                <w:kern w:val="0"/>
                <w:szCs w:val="21"/>
              </w:rPr>
            </w:pPr>
            <w:r>
              <w:rPr>
                <w:rFonts w:hint="default" w:ascii="Arial" w:hAnsi="Arial" w:eastAsia="宋体" w:cs="Arial"/>
                <w:kern w:val="0"/>
                <w:szCs w:val="21"/>
              </w:rPr>
              <w:t>第95百分位数日平均质量浓度</w:t>
            </w:r>
          </w:p>
        </w:tc>
        <w:tc>
          <w:tcPr>
            <w:tcW w:w="889" w:type="dxa"/>
            <w:vAlign w:val="center"/>
          </w:tcPr>
          <w:p w14:paraId="1ED62AF7">
            <w:pPr>
              <w:widowControl/>
              <w:contextualSpacing/>
              <w:jc w:val="center"/>
              <w:rPr>
                <w:rFonts w:hint="default" w:ascii="Arial" w:hAnsi="Arial" w:eastAsia="宋体" w:cs="Arial"/>
                <w:kern w:val="0"/>
                <w:szCs w:val="21"/>
              </w:rPr>
            </w:pPr>
            <w:r>
              <w:rPr>
                <w:rFonts w:hint="default" w:ascii="Arial" w:hAnsi="Arial" w:eastAsia="宋体" w:cs="Arial"/>
                <w:szCs w:val="21"/>
              </w:rPr>
              <w:t>mg/m</w:t>
            </w:r>
            <w:r>
              <w:rPr>
                <w:rFonts w:hint="default" w:ascii="Arial" w:hAnsi="Arial" w:eastAsia="宋体" w:cs="Arial"/>
                <w:szCs w:val="21"/>
                <w:vertAlign w:val="superscript"/>
              </w:rPr>
              <w:t>3</w:t>
            </w:r>
          </w:p>
        </w:tc>
        <w:tc>
          <w:tcPr>
            <w:tcW w:w="1134" w:type="dxa"/>
            <w:vAlign w:val="center"/>
          </w:tcPr>
          <w:p w14:paraId="6DBEC704">
            <w:pPr>
              <w:widowControl/>
              <w:contextualSpacing/>
              <w:jc w:val="center"/>
              <w:rPr>
                <w:rFonts w:hint="eastAsia" w:ascii="Arial" w:hAnsi="Arial" w:eastAsia="宋体" w:cs="Arial"/>
                <w:kern w:val="0"/>
                <w:szCs w:val="21"/>
                <w:lang w:val="en-US" w:eastAsia="zh-CN"/>
              </w:rPr>
            </w:pPr>
            <w:r>
              <w:rPr>
                <w:rFonts w:hint="default" w:ascii="Arial" w:hAnsi="Arial" w:eastAsia="宋体" w:cs="Arial"/>
                <w:kern w:val="0"/>
                <w:szCs w:val="21"/>
              </w:rPr>
              <w:t>1.</w:t>
            </w:r>
            <w:r>
              <w:rPr>
                <w:rFonts w:hint="eastAsia" w:ascii="Arial" w:hAnsi="Arial" w:eastAsia="宋体" w:cs="Arial"/>
                <w:kern w:val="0"/>
                <w:szCs w:val="21"/>
                <w:lang w:val="en-US" w:eastAsia="zh-CN"/>
              </w:rPr>
              <w:t>1</w:t>
            </w:r>
          </w:p>
        </w:tc>
        <w:tc>
          <w:tcPr>
            <w:tcW w:w="1039" w:type="dxa"/>
            <w:vAlign w:val="center"/>
          </w:tcPr>
          <w:p w14:paraId="52489588">
            <w:pPr>
              <w:widowControl/>
              <w:contextualSpacing/>
              <w:jc w:val="center"/>
              <w:rPr>
                <w:rFonts w:hint="default" w:ascii="Arial" w:hAnsi="Arial" w:eastAsia="宋体" w:cs="Arial"/>
                <w:kern w:val="0"/>
                <w:szCs w:val="21"/>
              </w:rPr>
            </w:pPr>
            <w:r>
              <w:rPr>
                <w:rFonts w:hint="default" w:ascii="Arial" w:hAnsi="Arial" w:eastAsia="宋体" w:cs="Arial"/>
                <w:kern w:val="0"/>
                <w:szCs w:val="21"/>
              </w:rPr>
              <w:t>4</w:t>
            </w:r>
          </w:p>
        </w:tc>
        <w:tc>
          <w:tcPr>
            <w:tcW w:w="1229" w:type="dxa"/>
            <w:vAlign w:val="center"/>
          </w:tcPr>
          <w:p w14:paraId="036BC8F4">
            <w:pPr>
              <w:widowControl/>
              <w:contextualSpacing/>
              <w:jc w:val="center"/>
              <w:rPr>
                <w:rFonts w:hint="default" w:ascii="Arial" w:hAnsi="Arial" w:eastAsia="宋体" w:cs="Arial"/>
                <w:kern w:val="0"/>
                <w:szCs w:val="21"/>
                <w:lang w:val="en-US" w:eastAsia="zh-CN"/>
              </w:rPr>
            </w:pPr>
            <w:r>
              <w:rPr>
                <w:rFonts w:hint="default" w:ascii="Arial" w:hAnsi="Arial" w:eastAsia="宋体" w:cs="Arial"/>
                <w:kern w:val="0"/>
                <w:szCs w:val="21"/>
              </w:rPr>
              <w:t>2</w:t>
            </w:r>
            <w:r>
              <w:rPr>
                <w:rFonts w:hint="eastAsia" w:ascii="Arial" w:hAnsi="Arial" w:eastAsia="宋体" w:cs="Arial"/>
                <w:kern w:val="0"/>
                <w:szCs w:val="21"/>
                <w:lang w:val="en-US" w:eastAsia="zh-CN"/>
              </w:rPr>
              <w:t>7.5</w:t>
            </w:r>
          </w:p>
        </w:tc>
        <w:tc>
          <w:tcPr>
            <w:tcW w:w="1089" w:type="dxa"/>
            <w:vAlign w:val="center"/>
          </w:tcPr>
          <w:p w14:paraId="24B8464B">
            <w:pPr>
              <w:widowControl/>
              <w:contextualSpacing/>
              <w:jc w:val="center"/>
              <w:rPr>
                <w:rFonts w:hint="default" w:ascii="Arial" w:hAnsi="Arial" w:eastAsia="宋体" w:cs="Arial"/>
                <w:kern w:val="0"/>
                <w:szCs w:val="21"/>
              </w:rPr>
            </w:pPr>
            <w:r>
              <w:rPr>
                <w:rFonts w:hint="default" w:ascii="Arial" w:hAnsi="Arial" w:eastAsia="宋体" w:cs="Arial"/>
                <w:kern w:val="0"/>
                <w:szCs w:val="21"/>
              </w:rPr>
              <w:t>达标</w:t>
            </w:r>
          </w:p>
        </w:tc>
      </w:tr>
    </w:tbl>
    <w:p w14:paraId="6F783612">
      <w:pPr>
        <w:pStyle w:val="76"/>
        <w:spacing w:line="360" w:lineRule="auto"/>
        <w:ind w:firstLine="480" w:firstLineChars="200"/>
        <w:rPr>
          <w:rFonts w:hint="default" w:ascii="Arial" w:hAnsi="Arial" w:eastAsia="宋体" w:cs="Arial"/>
          <w:bCs/>
          <w:color w:val="auto"/>
          <w:sz w:val="24"/>
          <w:szCs w:val="24"/>
          <w:lang w:val="en-US" w:eastAsia="zh-CN"/>
        </w:rPr>
      </w:pPr>
      <w:r>
        <w:rPr>
          <w:rFonts w:hint="default" w:ascii="Arial" w:hAnsi="Arial" w:eastAsia="宋体" w:cs="Arial"/>
          <w:bCs/>
          <w:color w:val="auto"/>
          <w:sz w:val="24"/>
          <w:szCs w:val="24"/>
        </w:rPr>
        <w:t>根据环境质量数据可知，平湖市</w:t>
      </w:r>
      <w:r>
        <w:rPr>
          <w:rFonts w:hint="eastAsia" w:ascii="Arial" w:hAnsi="Arial" w:eastAsia="宋体" w:cs="Arial"/>
          <w:bCs/>
          <w:color w:val="auto"/>
          <w:sz w:val="24"/>
          <w:szCs w:val="24"/>
          <w:lang w:eastAsia="zh-CN"/>
        </w:rPr>
        <w:t>、</w:t>
      </w:r>
      <w:r>
        <w:rPr>
          <w:rFonts w:hint="eastAsia" w:ascii="Arial" w:hAnsi="Arial" w:eastAsia="宋体" w:cs="Arial"/>
          <w:bCs/>
          <w:color w:val="auto"/>
          <w:sz w:val="24"/>
          <w:szCs w:val="24"/>
          <w:lang w:val="en-US" w:eastAsia="zh-CN"/>
        </w:rPr>
        <w:t>南湖区</w:t>
      </w:r>
      <w:r>
        <w:rPr>
          <w:rFonts w:hint="default" w:ascii="Arial" w:hAnsi="Arial" w:eastAsia="宋体" w:cs="Arial"/>
          <w:bCs/>
          <w:color w:val="auto"/>
          <w:sz w:val="24"/>
          <w:szCs w:val="24"/>
        </w:rPr>
        <w:t>202</w:t>
      </w:r>
      <w:r>
        <w:rPr>
          <w:rFonts w:hint="default" w:ascii="Arial" w:hAnsi="Arial" w:eastAsia="宋体" w:cs="Arial"/>
          <w:bCs/>
          <w:color w:val="auto"/>
          <w:sz w:val="24"/>
          <w:szCs w:val="24"/>
          <w:lang w:val="en-US" w:eastAsia="zh-CN"/>
        </w:rPr>
        <w:t>4</w:t>
      </w:r>
      <w:r>
        <w:rPr>
          <w:rFonts w:hint="default" w:ascii="Arial" w:hAnsi="Arial" w:eastAsia="宋体" w:cs="Arial"/>
          <w:bCs/>
          <w:color w:val="auto"/>
          <w:sz w:val="24"/>
          <w:szCs w:val="24"/>
        </w:rPr>
        <w:t>年各项污染物指标均符合《环境空气质量标准》（GB 3095—2012）及其修改单中的相关要求（生态环境部公告2018年第29号）中二级标准。</w:t>
      </w:r>
    </w:p>
    <w:p w14:paraId="29CED9BF">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地表水环境质量现状</w:t>
      </w:r>
    </w:p>
    <w:p w14:paraId="126FB86B">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lang w:val="en-US" w:eastAsia="zh-CN"/>
        </w:rPr>
        <w:t>1、</w:t>
      </w:r>
      <w:r>
        <w:rPr>
          <w:rFonts w:hint="default" w:ascii="Arial" w:hAnsi="Arial" w:eastAsia="宋体" w:cs="Arial"/>
          <w:b/>
          <w:bCs/>
          <w:sz w:val="24"/>
          <w:szCs w:val="24"/>
        </w:rPr>
        <w:t>污水处理厂受纳水体环境质量现状</w:t>
      </w:r>
    </w:p>
    <w:p w14:paraId="0E756536">
      <w:pPr>
        <w:pStyle w:val="76"/>
        <w:spacing w:line="360" w:lineRule="auto"/>
        <w:ind w:firstLine="480" w:firstLineChars="200"/>
        <w:rPr>
          <w:rFonts w:hint="default" w:ascii="Arial" w:hAnsi="Arial" w:eastAsia="宋体" w:cs="Arial"/>
          <w:color w:val="auto"/>
          <w:sz w:val="24"/>
          <w:szCs w:val="20"/>
          <w:highlight w:val="none"/>
        </w:rPr>
      </w:pPr>
      <w:r>
        <w:rPr>
          <w:rFonts w:hint="default" w:ascii="Arial" w:hAnsi="Arial" w:eastAsia="宋体" w:cs="Arial"/>
          <w:color w:val="auto"/>
          <w:sz w:val="24"/>
          <w:highlight w:val="none"/>
        </w:rPr>
        <w:t>建设项目废水由市政污水管网排入嘉兴市联合污水处理厂，处理达标后排入杭州湾，纳污水体为东海。根据《平湖市生态环境监测年鉴（202</w:t>
      </w:r>
      <w:r>
        <w:rPr>
          <w:rFonts w:hint="default" w:ascii="Arial" w:hAnsi="Arial" w:eastAsia="宋体" w:cs="Arial"/>
          <w:color w:val="auto"/>
          <w:sz w:val="24"/>
          <w:highlight w:val="none"/>
          <w:lang w:val="en-US" w:eastAsia="zh-CN"/>
        </w:rPr>
        <w:t>4</w:t>
      </w:r>
      <w:r>
        <w:rPr>
          <w:rFonts w:hint="default" w:ascii="Arial" w:hAnsi="Arial" w:eastAsia="宋体" w:cs="Arial"/>
          <w:color w:val="auto"/>
          <w:sz w:val="24"/>
          <w:highlight w:val="none"/>
        </w:rPr>
        <w:t>年度）》，202</w:t>
      </w:r>
      <w:r>
        <w:rPr>
          <w:rFonts w:hint="default" w:ascii="Arial" w:hAnsi="Arial" w:eastAsia="宋体" w:cs="Arial"/>
          <w:color w:val="auto"/>
          <w:sz w:val="24"/>
          <w:highlight w:val="none"/>
          <w:lang w:val="en-US" w:eastAsia="zh-CN"/>
        </w:rPr>
        <w:t>4</w:t>
      </w:r>
      <w:r>
        <w:rPr>
          <w:rFonts w:hint="default" w:ascii="Arial" w:hAnsi="Arial" w:eastAsia="宋体" w:cs="Arial"/>
          <w:color w:val="auto"/>
          <w:sz w:val="24"/>
          <w:highlight w:val="none"/>
        </w:rPr>
        <w:t>年平湖海域</w:t>
      </w:r>
      <w:r>
        <w:rPr>
          <w:rFonts w:hint="default" w:ascii="Arial" w:hAnsi="Arial" w:eastAsia="宋体" w:cs="Arial"/>
          <w:color w:val="auto"/>
          <w:sz w:val="24"/>
          <w:szCs w:val="20"/>
          <w:highlight w:val="none"/>
        </w:rPr>
        <w:t>水质情况如下：</w:t>
      </w:r>
    </w:p>
    <w:p w14:paraId="674FA3F8">
      <w:pPr>
        <w:pStyle w:val="76"/>
        <w:spacing w:line="360" w:lineRule="auto"/>
        <w:ind w:firstLine="480" w:firstLineChars="200"/>
        <w:rPr>
          <w:rFonts w:hint="default" w:ascii="Arial" w:hAnsi="Arial" w:eastAsia="宋体" w:cs="Arial"/>
          <w:color w:val="auto"/>
          <w:sz w:val="24"/>
          <w:highlight w:val="none"/>
        </w:rPr>
      </w:pPr>
      <w:r>
        <w:rPr>
          <w:rFonts w:hint="default" w:ascii="Arial" w:hAnsi="Arial" w:eastAsia="宋体" w:cs="Arial"/>
          <w:color w:val="auto"/>
          <w:sz w:val="24"/>
          <w:highlight w:val="none"/>
        </w:rPr>
        <w:t>平湖市设两个近岸海域监测断面，分别009号断面和013号断面。009号断面（121.2282°E，30.651°N）所在海域属于独山四类功能区，执行《海水水质标准》（GB3097-1997）第四类标准；013号断面（121.1524°E，30.5832°N）所在海域属于九龙山三类功能区，执行《海水水质标准》（GB3097-1997）第三类标准。</w:t>
      </w:r>
    </w:p>
    <w:p w14:paraId="75524532">
      <w:pPr>
        <w:pStyle w:val="76"/>
        <w:spacing w:line="360" w:lineRule="auto"/>
        <w:ind w:firstLine="480" w:firstLineChars="200"/>
        <w:rPr>
          <w:rFonts w:hint="default" w:ascii="Arial" w:hAnsi="Arial" w:eastAsia="宋体" w:cs="Arial"/>
          <w:color w:val="auto"/>
          <w:sz w:val="24"/>
          <w:highlight w:val="none"/>
        </w:rPr>
      </w:pPr>
      <w:r>
        <w:rPr>
          <w:rFonts w:hint="default" w:ascii="Arial" w:hAnsi="Arial" w:eastAsia="宋体" w:cs="Arial"/>
          <w:color w:val="auto"/>
          <w:sz w:val="24"/>
          <w:highlight w:val="none"/>
        </w:rPr>
        <w:t>202</w:t>
      </w:r>
      <w:r>
        <w:rPr>
          <w:rFonts w:hint="default" w:ascii="Arial" w:hAnsi="Arial" w:eastAsia="宋体" w:cs="Arial"/>
          <w:color w:val="auto"/>
          <w:sz w:val="24"/>
          <w:highlight w:val="none"/>
          <w:lang w:val="en-US" w:eastAsia="zh-CN"/>
        </w:rPr>
        <w:t>4</w:t>
      </w:r>
      <w:r>
        <w:rPr>
          <w:rFonts w:hint="default" w:ascii="Arial" w:hAnsi="Arial" w:eastAsia="宋体" w:cs="Arial"/>
          <w:color w:val="auto"/>
          <w:sz w:val="24"/>
          <w:highlight w:val="none"/>
        </w:rPr>
        <w:t>年</w:t>
      </w:r>
      <w:r>
        <w:rPr>
          <w:rFonts w:hint="default" w:ascii="Arial" w:hAnsi="Arial" w:eastAsia="宋体" w:cs="Arial"/>
          <w:color w:val="auto"/>
          <w:sz w:val="24"/>
          <w:highlight w:val="none"/>
          <w:lang w:val="en-US" w:eastAsia="zh-CN"/>
        </w:rPr>
        <w:t>平湖</w:t>
      </w:r>
      <w:r>
        <w:rPr>
          <w:rFonts w:hint="default" w:ascii="Arial" w:hAnsi="Arial" w:eastAsia="宋体" w:cs="Arial"/>
          <w:color w:val="auto"/>
          <w:sz w:val="24"/>
          <w:highlight w:val="none"/>
        </w:rPr>
        <w:t>市两个近岸海域监测断面水质均为劣Ⅳ类，均未达到所在海域功能区要求。两个断面定类指标均为无机氮。</w:t>
      </w:r>
    </w:p>
    <w:p w14:paraId="703582C7">
      <w:pPr>
        <w:pStyle w:val="76"/>
        <w:spacing w:line="360" w:lineRule="auto"/>
        <w:ind w:firstLine="480" w:firstLineChars="200"/>
        <w:rPr>
          <w:rFonts w:hint="default" w:ascii="Arial" w:hAnsi="Arial" w:eastAsia="宋体" w:cs="Arial"/>
          <w:color w:val="auto"/>
          <w:sz w:val="24"/>
          <w:highlight w:val="none"/>
        </w:rPr>
      </w:pPr>
      <w:r>
        <w:rPr>
          <w:rFonts w:hint="default" w:ascii="Arial" w:hAnsi="Arial" w:eastAsia="宋体" w:cs="Arial"/>
          <w:color w:val="auto"/>
          <w:sz w:val="24"/>
          <w:highlight w:val="none"/>
        </w:rPr>
        <w:t>009号断面无机氮平均浓度为</w:t>
      </w:r>
      <w:r>
        <w:rPr>
          <w:rFonts w:hint="default" w:ascii="Arial" w:hAnsi="Arial" w:eastAsia="宋体" w:cs="Arial"/>
          <w:color w:val="auto"/>
          <w:sz w:val="24"/>
          <w:highlight w:val="none"/>
          <w:lang w:val="en-US" w:eastAsia="zh-CN"/>
        </w:rPr>
        <w:t>0.991</w:t>
      </w:r>
      <w:r>
        <w:rPr>
          <w:rFonts w:hint="default" w:ascii="Arial" w:hAnsi="Arial" w:eastAsia="宋体" w:cs="Arial"/>
          <w:color w:val="auto"/>
          <w:sz w:val="24"/>
          <w:highlight w:val="none"/>
        </w:rPr>
        <w:t>毫克/升，比上年</w:t>
      </w:r>
      <w:r>
        <w:rPr>
          <w:rFonts w:hint="default" w:ascii="Arial" w:hAnsi="Arial" w:eastAsia="宋体" w:cs="Arial"/>
          <w:color w:val="auto"/>
          <w:sz w:val="24"/>
          <w:highlight w:val="none"/>
          <w:lang w:val="en-US" w:eastAsia="zh-CN"/>
        </w:rPr>
        <w:t>下降</w:t>
      </w:r>
      <w:r>
        <w:rPr>
          <w:rFonts w:hint="default" w:ascii="Arial" w:hAnsi="Arial" w:eastAsia="宋体" w:cs="Arial"/>
          <w:color w:val="auto"/>
          <w:sz w:val="24"/>
          <w:highlight w:val="none"/>
        </w:rPr>
        <w:t>2</w:t>
      </w:r>
      <w:r>
        <w:rPr>
          <w:rFonts w:hint="default" w:ascii="Arial" w:hAnsi="Arial" w:eastAsia="宋体" w:cs="Arial"/>
          <w:color w:val="auto"/>
          <w:sz w:val="24"/>
          <w:highlight w:val="none"/>
          <w:lang w:val="en-US" w:eastAsia="zh-CN"/>
        </w:rPr>
        <w:t>4.4</w:t>
      </w:r>
      <w:r>
        <w:rPr>
          <w:rFonts w:hint="default" w:ascii="Arial" w:hAnsi="Arial" w:eastAsia="宋体" w:cs="Arial"/>
          <w:color w:val="auto"/>
          <w:sz w:val="24"/>
          <w:highlight w:val="none"/>
        </w:rPr>
        <w:t>%。</w:t>
      </w:r>
    </w:p>
    <w:p w14:paraId="4DEA43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Arial" w:hAnsi="Arial" w:eastAsia="宋体" w:cs="Arial"/>
          <w:color w:val="auto"/>
          <w:sz w:val="24"/>
          <w:highlight w:val="none"/>
        </w:rPr>
      </w:pPr>
      <w:r>
        <w:rPr>
          <w:rFonts w:hint="default" w:ascii="Arial" w:hAnsi="Arial" w:eastAsia="宋体" w:cs="Arial"/>
          <w:color w:val="auto"/>
          <w:sz w:val="24"/>
          <w:highlight w:val="none"/>
        </w:rPr>
        <w:t>013号断面无机氮平均浓度为</w:t>
      </w:r>
      <w:r>
        <w:rPr>
          <w:rFonts w:hint="default" w:ascii="Arial" w:hAnsi="Arial" w:eastAsia="宋体" w:cs="Arial"/>
          <w:color w:val="auto"/>
          <w:sz w:val="24"/>
          <w:highlight w:val="none"/>
          <w:lang w:val="en-US" w:eastAsia="zh-CN"/>
        </w:rPr>
        <w:t>0.532</w:t>
      </w:r>
      <w:r>
        <w:rPr>
          <w:rFonts w:hint="default" w:ascii="Arial" w:hAnsi="Arial" w:eastAsia="宋体" w:cs="Arial"/>
          <w:color w:val="auto"/>
          <w:sz w:val="24"/>
          <w:highlight w:val="none"/>
        </w:rPr>
        <w:t>毫克/升，比上年</w:t>
      </w:r>
      <w:r>
        <w:rPr>
          <w:rFonts w:hint="default" w:ascii="Arial" w:hAnsi="Arial" w:eastAsia="宋体" w:cs="Arial"/>
          <w:color w:val="auto"/>
          <w:sz w:val="24"/>
          <w:highlight w:val="none"/>
          <w:lang w:val="en-US" w:eastAsia="zh-CN"/>
        </w:rPr>
        <w:t>下降71.7</w:t>
      </w:r>
      <w:r>
        <w:rPr>
          <w:rFonts w:hint="default" w:ascii="Arial" w:hAnsi="Arial" w:eastAsia="宋体" w:cs="Arial"/>
          <w:color w:val="auto"/>
          <w:sz w:val="24"/>
          <w:highlight w:val="none"/>
        </w:rPr>
        <w:t>%。</w:t>
      </w:r>
    </w:p>
    <w:p w14:paraId="7EEF00EF">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lang w:val="en-US" w:eastAsia="zh-CN"/>
        </w:rPr>
        <w:t>2、</w:t>
      </w:r>
      <w:r>
        <w:rPr>
          <w:rFonts w:hint="default" w:ascii="Arial" w:hAnsi="Arial" w:eastAsia="宋体" w:cs="Arial"/>
          <w:b/>
          <w:bCs/>
          <w:sz w:val="24"/>
          <w:szCs w:val="24"/>
        </w:rPr>
        <w:t>项目周围地表水环境质量现状评价</w:t>
      </w:r>
    </w:p>
    <w:p w14:paraId="6B4B6AE1">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为了解项目附近地表水环境现状质量，本环评引用</w:t>
      </w:r>
      <w:r>
        <w:rPr>
          <w:rFonts w:hint="default" w:ascii="Arial" w:hAnsi="Arial" w:eastAsia="宋体" w:cs="Arial"/>
          <w:bCs/>
          <w:sz w:val="24"/>
          <w:szCs w:val="24"/>
        </w:rPr>
        <w:t>嘉兴市生态环境局平湖分局提供的《平湖市生态环境监测年鉴（202</w:t>
      </w:r>
      <w:r>
        <w:rPr>
          <w:rFonts w:hint="default" w:ascii="Arial" w:hAnsi="Arial" w:eastAsia="宋体" w:cs="Arial"/>
          <w:bCs/>
          <w:sz w:val="24"/>
          <w:szCs w:val="24"/>
          <w:lang w:val="en-US" w:eastAsia="zh-CN"/>
        </w:rPr>
        <w:t>4</w:t>
      </w:r>
      <w:r>
        <w:rPr>
          <w:rFonts w:hint="default" w:ascii="Arial" w:hAnsi="Arial" w:eastAsia="宋体" w:cs="Arial"/>
          <w:bCs/>
          <w:sz w:val="24"/>
          <w:szCs w:val="24"/>
        </w:rPr>
        <w:t>年度）》</w:t>
      </w:r>
      <w:r>
        <w:rPr>
          <w:rFonts w:hint="default" w:ascii="Arial" w:hAnsi="Arial" w:eastAsia="宋体" w:cs="Arial"/>
          <w:sz w:val="24"/>
          <w:szCs w:val="24"/>
        </w:rPr>
        <w:t>中荒田浜（万盛桥）断面的地表水水质监测数据（仅选取与本项目相关指标）进行评价，具体监测数据及评价结果见表3-</w:t>
      </w:r>
      <w:r>
        <w:rPr>
          <w:rFonts w:hint="default" w:ascii="Arial" w:hAnsi="Arial" w:eastAsia="宋体" w:cs="Arial"/>
          <w:sz w:val="24"/>
          <w:szCs w:val="24"/>
          <w:lang w:val="en-US" w:eastAsia="zh-CN"/>
        </w:rPr>
        <w:t>3</w:t>
      </w:r>
      <w:r>
        <w:rPr>
          <w:rFonts w:hint="default" w:ascii="Arial" w:hAnsi="Arial" w:eastAsia="宋体" w:cs="Arial"/>
          <w:sz w:val="24"/>
          <w:szCs w:val="24"/>
        </w:rPr>
        <w:t>。</w:t>
      </w:r>
    </w:p>
    <w:p w14:paraId="4108CDB2">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地表水监测点位水质监测结果  单位：mg/L</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969"/>
        <w:gridCol w:w="659"/>
        <w:gridCol w:w="1223"/>
        <w:gridCol w:w="941"/>
        <w:gridCol w:w="854"/>
        <w:gridCol w:w="854"/>
        <w:gridCol w:w="854"/>
        <w:gridCol w:w="854"/>
      </w:tblGrid>
      <w:tr w14:paraId="6A52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Align w:val="center"/>
          </w:tcPr>
          <w:p w14:paraId="05E1C7C0">
            <w:pPr>
              <w:jc w:val="center"/>
              <w:outlineLvl w:val="3"/>
              <w:rPr>
                <w:rFonts w:hint="default" w:ascii="Arial" w:hAnsi="Arial" w:eastAsia="宋体" w:cs="Arial"/>
                <w:bCs/>
                <w:szCs w:val="21"/>
              </w:rPr>
            </w:pPr>
            <w:r>
              <w:rPr>
                <w:rFonts w:hint="default" w:ascii="Arial" w:hAnsi="Arial" w:eastAsia="宋体" w:cs="Arial"/>
                <w:bCs/>
                <w:szCs w:val="21"/>
              </w:rPr>
              <w:t>河流</w:t>
            </w:r>
          </w:p>
        </w:tc>
        <w:tc>
          <w:tcPr>
            <w:tcW w:w="969" w:type="dxa"/>
            <w:vAlign w:val="center"/>
          </w:tcPr>
          <w:p w14:paraId="49F9E61A">
            <w:pPr>
              <w:jc w:val="center"/>
              <w:outlineLvl w:val="3"/>
              <w:rPr>
                <w:rFonts w:hint="default" w:ascii="Arial" w:hAnsi="Arial" w:eastAsia="宋体" w:cs="Arial"/>
                <w:bCs/>
                <w:szCs w:val="21"/>
              </w:rPr>
            </w:pPr>
            <w:r>
              <w:rPr>
                <w:rFonts w:hint="default" w:ascii="Arial" w:hAnsi="Arial" w:eastAsia="宋体" w:cs="Arial"/>
                <w:bCs/>
                <w:szCs w:val="21"/>
              </w:rPr>
              <w:t>监测断面</w:t>
            </w:r>
          </w:p>
        </w:tc>
        <w:tc>
          <w:tcPr>
            <w:tcW w:w="659" w:type="dxa"/>
            <w:vAlign w:val="center"/>
          </w:tcPr>
          <w:p w14:paraId="6C27E471">
            <w:pPr>
              <w:jc w:val="center"/>
              <w:outlineLvl w:val="3"/>
              <w:rPr>
                <w:rFonts w:hint="default" w:ascii="Arial" w:hAnsi="Arial" w:eastAsia="宋体" w:cs="Arial"/>
                <w:bCs/>
                <w:szCs w:val="21"/>
              </w:rPr>
            </w:pPr>
            <w:r>
              <w:rPr>
                <w:rFonts w:hint="default" w:ascii="Arial" w:hAnsi="Arial" w:eastAsia="宋体" w:cs="Arial"/>
                <w:bCs/>
                <w:szCs w:val="21"/>
              </w:rPr>
              <w:t>年份</w:t>
            </w:r>
          </w:p>
        </w:tc>
        <w:tc>
          <w:tcPr>
            <w:tcW w:w="1223" w:type="dxa"/>
            <w:tcBorders>
              <w:tl2br w:val="nil"/>
            </w:tcBorders>
            <w:vAlign w:val="center"/>
          </w:tcPr>
          <w:p w14:paraId="1864A809">
            <w:pPr>
              <w:jc w:val="center"/>
              <w:outlineLvl w:val="3"/>
              <w:rPr>
                <w:rFonts w:hint="default" w:ascii="Arial" w:hAnsi="Arial" w:eastAsia="宋体" w:cs="Arial"/>
                <w:bCs/>
                <w:szCs w:val="21"/>
              </w:rPr>
            </w:pPr>
            <w:r>
              <w:rPr>
                <w:rFonts w:hint="default" w:ascii="Arial" w:hAnsi="Arial" w:eastAsia="宋体" w:cs="Arial"/>
                <w:bCs/>
                <w:szCs w:val="21"/>
              </w:rPr>
              <w:t>类别</w:t>
            </w:r>
          </w:p>
        </w:tc>
        <w:tc>
          <w:tcPr>
            <w:tcW w:w="941" w:type="dxa"/>
            <w:vAlign w:val="center"/>
          </w:tcPr>
          <w:p w14:paraId="2F914E61">
            <w:pPr>
              <w:snapToGrid w:val="0"/>
              <w:jc w:val="center"/>
              <w:rPr>
                <w:rFonts w:hint="default" w:ascii="Arial" w:hAnsi="Arial" w:eastAsia="宋体" w:cs="Arial"/>
                <w:szCs w:val="21"/>
              </w:rPr>
            </w:pPr>
            <w:r>
              <w:rPr>
                <w:rFonts w:hint="default" w:ascii="Arial" w:hAnsi="Arial" w:eastAsia="宋体" w:cs="Arial"/>
                <w:bCs/>
                <w:szCs w:val="21"/>
              </w:rPr>
              <w:t>COD</w:t>
            </w:r>
            <w:r>
              <w:rPr>
                <w:rFonts w:hint="default" w:ascii="Arial" w:hAnsi="Arial" w:eastAsia="宋体" w:cs="Arial"/>
                <w:bCs/>
                <w:szCs w:val="21"/>
                <w:vertAlign w:val="subscript"/>
              </w:rPr>
              <w:t>Mn</w:t>
            </w:r>
          </w:p>
        </w:tc>
        <w:tc>
          <w:tcPr>
            <w:tcW w:w="854" w:type="dxa"/>
            <w:vAlign w:val="center"/>
          </w:tcPr>
          <w:p w14:paraId="1A7525CC">
            <w:pPr>
              <w:snapToGrid w:val="0"/>
              <w:jc w:val="center"/>
              <w:rPr>
                <w:rFonts w:hint="default" w:ascii="Arial" w:hAnsi="Arial" w:eastAsia="宋体" w:cs="Arial"/>
                <w:bCs/>
                <w:szCs w:val="21"/>
              </w:rPr>
            </w:pPr>
            <w:r>
              <w:rPr>
                <w:rFonts w:hint="default" w:ascii="Arial" w:hAnsi="Arial" w:eastAsia="宋体" w:cs="Arial"/>
                <w:bCs/>
                <w:szCs w:val="21"/>
              </w:rPr>
              <w:t>NH</w:t>
            </w:r>
            <w:r>
              <w:rPr>
                <w:rFonts w:hint="default" w:ascii="Arial" w:hAnsi="Arial" w:eastAsia="宋体" w:cs="Arial"/>
                <w:bCs/>
                <w:szCs w:val="21"/>
                <w:vertAlign w:val="subscript"/>
              </w:rPr>
              <w:t>3</w:t>
            </w:r>
            <w:r>
              <w:rPr>
                <w:rFonts w:hint="default" w:ascii="Arial" w:hAnsi="Arial" w:eastAsia="宋体" w:cs="Arial"/>
                <w:bCs/>
                <w:szCs w:val="21"/>
              </w:rPr>
              <w:t>-N</w:t>
            </w:r>
          </w:p>
        </w:tc>
        <w:tc>
          <w:tcPr>
            <w:tcW w:w="854" w:type="dxa"/>
            <w:vAlign w:val="center"/>
          </w:tcPr>
          <w:p w14:paraId="4512756A">
            <w:pPr>
              <w:snapToGrid w:val="0"/>
              <w:jc w:val="center"/>
              <w:rPr>
                <w:rFonts w:hint="default" w:ascii="Arial" w:hAnsi="Arial" w:eastAsia="宋体" w:cs="Arial"/>
                <w:bCs/>
                <w:szCs w:val="21"/>
              </w:rPr>
            </w:pPr>
            <w:r>
              <w:rPr>
                <w:rFonts w:hint="default" w:ascii="Arial" w:hAnsi="Arial" w:eastAsia="宋体" w:cs="Arial"/>
                <w:bCs/>
                <w:szCs w:val="21"/>
              </w:rPr>
              <w:t>TP</w:t>
            </w:r>
          </w:p>
        </w:tc>
        <w:tc>
          <w:tcPr>
            <w:tcW w:w="854" w:type="dxa"/>
            <w:vAlign w:val="center"/>
          </w:tcPr>
          <w:p w14:paraId="051F8444">
            <w:pPr>
              <w:snapToGrid w:val="0"/>
              <w:jc w:val="center"/>
              <w:rPr>
                <w:rFonts w:hint="default" w:ascii="Arial" w:hAnsi="Arial" w:eastAsia="宋体" w:cs="Arial"/>
                <w:bCs/>
                <w:szCs w:val="21"/>
              </w:rPr>
            </w:pPr>
            <w:r>
              <w:rPr>
                <w:rFonts w:hint="default" w:ascii="Arial" w:hAnsi="Arial" w:eastAsia="宋体" w:cs="Arial"/>
                <w:bCs/>
                <w:szCs w:val="21"/>
              </w:rPr>
              <w:t>BOD</w:t>
            </w:r>
            <w:r>
              <w:rPr>
                <w:rFonts w:hint="default" w:ascii="Arial" w:hAnsi="Arial" w:eastAsia="宋体" w:cs="Arial"/>
                <w:bCs/>
                <w:szCs w:val="21"/>
                <w:vertAlign w:val="subscript"/>
              </w:rPr>
              <w:t>5</w:t>
            </w:r>
          </w:p>
        </w:tc>
        <w:tc>
          <w:tcPr>
            <w:tcW w:w="854" w:type="dxa"/>
            <w:vAlign w:val="center"/>
          </w:tcPr>
          <w:p w14:paraId="466EADAC">
            <w:pPr>
              <w:snapToGrid w:val="0"/>
              <w:jc w:val="center"/>
              <w:rPr>
                <w:rFonts w:hint="default" w:ascii="Arial" w:hAnsi="Arial" w:eastAsia="宋体" w:cs="Arial"/>
                <w:bCs/>
                <w:szCs w:val="21"/>
              </w:rPr>
            </w:pPr>
            <w:r>
              <w:rPr>
                <w:rFonts w:hint="default" w:ascii="Arial" w:hAnsi="Arial" w:eastAsia="宋体" w:cs="Arial"/>
                <w:bCs/>
                <w:szCs w:val="21"/>
              </w:rPr>
              <w:t>石油类</w:t>
            </w:r>
          </w:p>
        </w:tc>
      </w:tr>
      <w:tr w14:paraId="59B5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Merge w:val="restart"/>
            <w:vAlign w:val="center"/>
          </w:tcPr>
          <w:p w14:paraId="7D641E82">
            <w:pPr>
              <w:jc w:val="center"/>
              <w:outlineLvl w:val="3"/>
              <w:rPr>
                <w:rFonts w:hint="default" w:ascii="Arial" w:hAnsi="Arial" w:eastAsia="宋体" w:cs="Arial"/>
                <w:bCs/>
                <w:szCs w:val="21"/>
              </w:rPr>
            </w:pPr>
            <w:r>
              <w:rPr>
                <w:rFonts w:hint="default" w:ascii="Arial" w:hAnsi="Arial" w:eastAsia="宋体" w:cs="Arial"/>
                <w:bCs/>
                <w:szCs w:val="21"/>
              </w:rPr>
              <w:t>嘉兴塘</w:t>
            </w:r>
          </w:p>
        </w:tc>
        <w:tc>
          <w:tcPr>
            <w:tcW w:w="969" w:type="dxa"/>
            <w:vMerge w:val="restart"/>
            <w:vAlign w:val="center"/>
          </w:tcPr>
          <w:p w14:paraId="5958EA5F">
            <w:pPr>
              <w:jc w:val="center"/>
              <w:outlineLvl w:val="3"/>
              <w:rPr>
                <w:rFonts w:hint="default" w:ascii="Arial" w:hAnsi="Arial" w:eastAsia="宋体" w:cs="Arial"/>
                <w:bCs/>
                <w:szCs w:val="21"/>
              </w:rPr>
            </w:pPr>
            <w:r>
              <w:rPr>
                <w:rFonts w:hint="default" w:ascii="Arial" w:hAnsi="Arial" w:eastAsia="宋体" w:cs="Arial"/>
                <w:bCs/>
                <w:szCs w:val="21"/>
              </w:rPr>
              <w:t>荒田浜（万盛桥）</w:t>
            </w:r>
          </w:p>
        </w:tc>
        <w:tc>
          <w:tcPr>
            <w:tcW w:w="659" w:type="dxa"/>
            <w:vMerge w:val="restart"/>
            <w:vAlign w:val="center"/>
          </w:tcPr>
          <w:p w14:paraId="40BDAF6F">
            <w:pPr>
              <w:jc w:val="center"/>
              <w:outlineLvl w:val="3"/>
              <w:rPr>
                <w:rFonts w:hint="default" w:ascii="Arial" w:hAnsi="Arial" w:eastAsia="宋体" w:cs="Arial"/>
                <w:bCs/>
                <w:szCs w:val="21"/>
              </w:rPr>
            </w:pPr>
            <w:r>
              <w:rPr>
                <w:rFonts w:hint="default" w:ascii="Arial" w:hAnsi="Arial" w:eastAsia="宋体" w:cs="Arial"/>
                <w:bCs/>
                <w:szCs w:val="21"/>
              </w:rPr>
              <w:t>202</w:t>
            </w:r>
            <w:r>
              <w:rPr>
                <w:rFonts w:hint="default" w:ascii="Arial" w:hAnsi="Arial" w:eastAsia="宋体" w:cs="Arial"/>
                <w:bCs/>
                <w:szCs w:val="21"/>
                <w:lang w:val="en-US" w:eastAsia="zh-CN"/>
              </w:rPr>
              <w:t>4</w:t>
            </w:r>
            <w:r>
              <w:rPr>
                <w:rFonts w:hint="default" w:ascii="Arial" w:hAnsi="Arial" w:eastAsia="宋体" w:cs="Arial"/>
                <w:bCs/>
                <w:szCs w:val="21"/>
              </w:rPr>
              <w:t>年</w:t>
            </w:r>
          </w:p>
        </w:tc>
        <w:tc>
          <w:tcPr>
            <w:tcW w:w="1223" w:type="dxa"/>
            <w:vAlign w:val="center"/>
          </w:tcPr>
          <w:p w14:paraId="79429C4E">
            <w:pPr>
              <w:snapToGrid w:val="0"/>
              <w:jc w:val="center"/>
              <w:rPr>
                <w:rFonts w:hint="default" w:ascii="Arial" w:hAnsi="Arial" w:eastAsia="宋体" w:cs="Arial"/>
                <w:szCs w:val="21"/>
              </w:rPr>
            </w:pPr>
            <w:r>
              <w:rPr>
                <w:rFonts w:hint="default" w:ascii="Arial" w:hAnsi="Arial" w:eastAsia="宋体" w:cs="Arial"/>
                <w:szCs w:val="21"/>
              </w:rPr>
              <w:t>年均值</w:t>
            </w:r>
          </w:p>
        </w:tc>
        <w:tc>
          <w:tcPr>
            <w:tcW w:w="941" w:type="dxa"/>
            <w:vAlign w:val="center"/>
          </w:tcPr>
          <w:p w14:paraId="2829022E">
            <w:pPr>
              <w:jc w:val="center"/>
              <w:rPr>
                <w:rFonts w:hint="default" w:ascii="Arial" w:hAnsi="Arial" w:eastAsia="宋体" w:cs="Arial"/>
                <w:szCs w:val="21"/>
                <w:lang w:val="en-US" w:eastAsia="zh-CN"/>
              </w:rPr>
            </w:pPr>
            <w:r>
              <w:rPr>
                <w:rFonts w:hint="default" w:ascii="Arial" w:hAnsi="Arial" w:eastAsia="宋体" w:cs="Arial"/>
                <w:szCs w:val="21"/>
              </w:rPr>
              <w:t>4.</w:t>
            </w:r>
            <w:r>
              <w:rPr>
                <w:rFonts w:hint="default" w:ascii="Arial" w:hAnsi="Arial" w:eastAsia="宋体" w:cs="Arial"/>
                <w:szCs w:val="21"/>
                <w:lang w:val="en-US" w:eastAsia="zh-CN"/>
              </w:rPr>
              <w:t>1</w:t>
            </w:r>
          </w:p>
        </w:tc>
        <w:tc>
          <w:tcPr>
            <w:tcW w:w="854" w:type="dxa"/>
            <w:vAlign w:val="center"/>
          </w:tcPr>
          <w:p w14:paraId="0196CF78">
            <w:pPr>
              <w:jc w:val="center"/>
              <w:rPr>
                <w:rFonts w:hint="default" w:ascii="Arial" w:hAnsi="Arial" w:eastAsia="宋体" w:cs="Arial"/>
                <w:szCs w:val="21"/>
                <w:lang w:val="en-US" w:eastAsia="zh-CN"/>
              </w:rPr>
            </w:pPr>
            <w:r>
              <w:rPr>
                <w:rFonts w:hint="default" w:ascii="Arial" w:hAnsi="Arial" w:eastAsia="宋体" w:cs="Arial"/>
                <w:szCs w:val="21"/>
              </w:rPr>
              <w:t>0.</w:t>
            </w:r>
            <w:r>
              <w:rPr>
                <w:rFonts w:hint="default" w:ascii="Arial" w:hAnsi="Arial" w:eastAsia="宋体" w:cs="Arial"/>
                <w:szCs w:val="21"/>
                <w:lang w:val="en-US" w:eastAsia="zh-CN"/>
              </w:rPr>
              <w:t>27</w:t>
            </w:r>
          </w:p>
        </w:tc>
        <w:tc>
          <w:tcPr>
            <w:tcW w:w="854" w:type="dxa"/>
            <w:vAlign w:val="center"/>
          </w:tcPr>
          <w:p w14:paraId="13FCD409">
            <w:pPr>
              <w:jc w:val="center"/>
              <w:rPr>
                <w:rFonts w:hint="default" w:ascii="Arial" w:hAnsi="Arial" w:eastAsia="宋体" w:cs="Arial"/>
                <w:szCs w:val="21"/>
                <w:lang w:val="en-US" w:eastAsia="zh-CN"/>
              </w:rPr>
            </w:pPr>
            <w:r>
              <w:rPr>
                <w:rFonts w:hint="default" w:ascii="Arial" w:hAnsi="Arial" w:eastAsia="宋体" w:cs="Arial"/>
                <w:szCs w:val="21"/>
              </w:rPr>
              <w:t>0.15</w:t>
            </w:r>
            <w:r>
              <w:rPr>
                <w:rFonts w:hint="default" w:ascii="Arial" w:hAnsi="Arial" w:eastAsia="宋体" w:cs="Arial"/>
                <w:szCs w:val="21"/>
                <w:lang w:val="en-US" w:eastAsia="zh-CN"/>
              </w:rPr>
              <w:t>4</w:t>
            </w:r>
          </w:p>
        </w:tc>
        <w:tc>
          <w:tcPr>
            <w:tcW w:w="854" w:type="dxa"/>
            <w:vAlign w:val="center"/>
          </w:tcPr>
          <w:p w14:paraId="7E6CECE6">
            <w:pPr>
              <w:jc w:val="center"/>
              <w:rPr>
                <w:rFonts w:hint="default" w:ascii="Arial" w:hAnsi="Arial" w:eastAsia="宋体" w:cs="Arial"/>
                <w:szCs w:val="21"/>
              </w:rPr>
            </w:pPr>
            <w:r>
              <w:rPr>
                <w:rFonts w:hint="default" w:ascii="Arial" w:hAnsi="Arial" w:eastAsia="宋体" w:cs="Arial"/>
                <w:szCs w:val="21"/>
              </w:rPr>
              <w:t>1.8</w:t>
            </w:r>
          </w:p>
        </w:tc>
        <w:tc>
          <w:tcPr>
            <w:tcW w:w="854" w:type="dxa"/>
            <w:vAlign w:val="center"/>
          </w:tcPr>
          <w:p w14:paraId="1419B291">
            <w:pPr>
              <w:jc w:val="center"/>
              <w:rPr>
                <w:rFonts w:hint="default" w:ascii="Arial" w:hAnsi="Arial" w:eastAsia="宋体" w:cs="Arial"/>
                <w:szCs w:val="21"/>
              </w:rPr>
            </w:pPr>
            <w:r>
              <w:rPr>
                <w:rFonts w:hint="default" w:ascii="Arial" w:hAnsi="Arial" w:eastAsia="宋体" w:cs="Arial"/>
                <w:szCs w:val="21"/>
              </w:rPr>
              <w:t>0.02</w:t>
            </w:r>
          </w:p>
        </w:tc>
      </w:tr>
      <w:tr w14:paraId="6801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Merge w:val="continue"/>
            <w:vAlign w:val="center"/>
          </w:tcPr>
          <w:p w14:paraId="67D0C1E9">
            <w:pPr>
              <w:widowControl/>
              <w:jc w:val="center"/>
              <w:rPr>
                <w:rFonts w:hint="default" w:ascii="Arial" w:hAnsi="Arial" w:eastAsia="宋体" w:cs="Arial"/>
                <w:szCs w:val="21"/>
              </w:rPr>
            </w:pPr>
          </w:p>
        </w:tc>
        <w:tc>
          <w:tcPr>
            <w:tcW w:w="969" w:type="dxa"/>
            <w:vMerge w:val="continue"/>
            <w:vAlign w:val="center"/>
          </w:tcPr>
          <w:p w14:paraId="6B8FA790">
            <w:pPr>
              <w:widowControl/>
              <w:jc w:val="center"/>
              <w:rPr>
                <w:rFonts w:hint="default" w:ascii="Arial" w:hAnsi="Arial" w:eastAsia="宋体" w:cs="Arial"/>
                <w:szCs w:val="21"/>
              </w:rPr>
            </w:pPr>
          </w:p>
        </w:tc>
        <w:tc>
          <w:tcPr>
            <w:tcW w:w="659" w:type="dxa"/>
            <w:vMerge w:val="continue"/>
            <w:vAlign w:val="center"/>
          </w:tcPr>
          <w:p w14:paraId="0EAB1DCF">
            <w:pPr>
              <w:widowControl/>
              <w:jc w:val="center"/>
              <w:rPr>
                <w:rFonts w:hint="default" w:ascii="Arial" w:hAnsi="Arial" w:eastAsia="宋体" w:cs="Arial"/>
                <w:szCs w:val="21"/>
              </w:rPr>
            </w:pPr>
          </w:p>
        </w:tc>
        <w:tc>
          <w:tcPr>
            <w:tcW w:w="1223" w:type="dxa"/>
            <w:vAlign w:val="center"/>
          </w:tcPr>
          <w:p w14:paraId="4924FE56">
            <w:pPr>
              <w:snapToGrid w:val="0"/>
              <w:jc w:val="center"/>
              <w:rPr>
                <w:rFonts w:hint="default" w:ascii="Arial" w:hAnsi="Arial" w:eastAsia="宋体" w:cs="Arial"/>
                <w:szCs w:val="21"/>
              </w:rPr>
            </w:pPr>
            <w:r>
              <w:rPr>
                <w:rFonts w:hint="default" w:ascii="Arial" w:hAnsi="Arial" w:eastAsia="宋体" w:cs="Arial"/>
                <w:szCs w:val="21"/>
              </w:rPr>
              <w:t>III类标准</w:t>
            </w:r>
          </w:p>
        </w:tc>
        <w:tc>
          <w:tcPr>
            <w:tcW w:w="941" w:type="dxa"/>
            <w:vAlign w:val="center"/>
          </w:tcPr>
          <w:p w14:paraId="3B7AF50F">
            <w:pPr>
              <w:jc w:val="center"/>
              <w:rPr>
                <w:rFonts w:hint="default" w:ascii="Arial" w:hAnsi="Arial" w:eastAsia="宋体" w:cs="Arial"/>
                <w:szCs w:val="21"/>
              </w:rPr>
            </w:pPr>
            <w:r>
              <w:rPr>
                <w:rFonts w:hint="default" w:ascii="Arial" w:hAnsi="Arial" w:eastAsia="宋体" w:cs="Arial"/>
                <w:szCs w:val="21"/>
              </w:rPr>
              <w:t>≤6</w:t>
            </w:r>
          </w:p>
        </w:tc>
        <w:tc>
          <w:tcPr>
            <w:tcW w:w="854" w:type="dxa"/>
            <w:vAlign w:val="center"/>
          </w:tcPr>
          <w:p w14:paraId="66B974D0">
            <w:pPr>
              <w:jc w:val="center"/>
              <w:rPr>
                <w:rFonts w:hint="default" w:ascii="Arial" w:hAnsi="Arial" w:eastAsia="宋体" w:cs="Arial"/>
                <w:szCs w:val="21"/>
              </w:rPr>
            </w:pPr>
            <w:r>
              <w:rPr>
                <w:rFonts w:hint="default" w:ascii="Arial" w:hAnsi="Arial" w:eastAsia="宋体" w:cs="Arial"/>
                <w:szCs w:val="21"/>
              </w:rPr>
              <w:t>≤1.0</w:t>
            </w:r>
          </w:p>
        </w:tc>
        <w:tc>
          <w:tcPr>
            <w:tcW w:w="854" w:type="dxa"/>
            <w:vAlign w:val="center"/>
          </w:tcPr>
          <w:p w14:paraId="699E468A">
            <w:pPr>
              <w:jc w:val="center"/>
              <w:rPr>
                <w:rFonts w:hint="default" w:ascii="Arial" w:hAnsi="Arial" w:eastAsia="宋体" w:cs="Arial"/>
                <w:szCs w:val="21"/>
              </w:rPr>
            </w:pPr>
            <w:r>
              <w:rPr>
                <w:rFonts w:hint="default" w:ascii="Arial" w:hAnsi="Arial" w:eastAsia="宋体" w:cs="Arial"/>
                <w:szCs w:val="21"/>
              </w:rPr>
              <w:t>≤0.2</w:t>
            </w:r>
          </w:p>
        </w:tc>
        <w:tc>
          <w:tcPr>
            <w:tcW w:w="854" w:type="dxa"/>
            <w:vAlign w:val="center"/>
          </w:tcPr>
          <w:p w14:paraId="53B07356">
            <w:pPr>
              <w:jc w:val="center"/>
              <w:rPr>
                <w:rFonts w:hint="default" w:ascii="Arial" w:hAnsi="Arial" w:eastAsia="宋体" w:cs="Arial"/>
                <w:szCs w:val="21"/>
              </w:rPr>
            </w:pPr>
            <w:r>
              <w:rPr>
                <w:rFonts w:hint="default" w:ascii="Arial" w:hAnsi="Arial" w:eastAsia="宋体" w:cs="Arial"/>
                <w:szCs w:val="21"/>
              </w:rPr>
              <w:t>≤4</w:t>
            </w:r>
          </w:p>
        </w:tc>
        <w:tc>
          <w:tcPr>
            <w:tcW w:w="854" w:type="dxa"/>
            <w:vAlign w:val="center"/>
          </w:tcPr>
          <w:p w14:paraId="7061F8D4">
            <w:pPr>
              <w:jc w:val="center"/>
              <w:rPr>
                <w:rFonts w:hint="default" w:ascii="Arial" w:hAnsi="Arial" w:eastAsia="宋体" w:cs="Arial"/>
                <w:szCs w:val="21"/>
              </w:rPr>
            </w:pPr>
            <w:r>
              <w:rPr>
                <w:rFonts w:hint="default" w:ascii="Arial" w:hAnsi="Arial" w:eastAsia="宋体" w:cs="Arial"/>
                <w:szCs w:val="21"/>
              </w:rPr>
              <w:t>≤0.05</w:t>
            </w:r>
          </w:p>
        </w:tc>
      </w:tr>
      <w:tr w14:paraId="2800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vMerge w:val="continue"/>
            <w:vAlign w:val="center"/>
          </w:tcPr>
          <w:p w14:paraId="22078DE5">
            <w:pPr>
              <w:widowControl/>
              <w:jc w:val="center"/>
              <w:rPr>
                <w:rFonts w:hint="default" w:ascii="Arial" w:hAnsi="Arial" w:eastAsia="宋体" w:cs="Arial"/>
                <w:szCs w:val="21"/>
              </w:rPr>
            </w:pPr>
          </w:p>
        </w:tc>
        <w:tc>
          <w:tcPr>
            <w:tcW w:w="969" w:type="dxa"/>
            <w:vMerge w:val="continue"/>
            <w:vAlign w:val="center"/>
          </w:tcPr>
          <w:p w14:paraId="732206EF">
            <w:pPr>
              <w:widowControl/>
              <w:jc w:val="center"/>
              <w:rPr>
                <w:rFonts w:hint="default" w:ascii="Arial" w:hAnsi="Arial" w:eastAsia="宋体" w:cs="Arial"/>
                <w:szCs w:val="21"/>
              </w:rPr>
            </w:pPr>
          </w:p>
        </w:tc>
        <w:tc>
          <w:tcPr>
            <w:tcW w:w="659" w:type="dxa"/>
            <w:vMerge w:val="continue"/>
            <w:vAlign w:val="center"/>
          </w:tcPr>
          <w:p w14:paraId="02F86A30">
            <w:pPr>
              <w:widowControl/>
              <w:jc w:val="center"/>
              <w:rPr>
                <w:rFonts w:hint="default" w:ascii="Arial" w:hAnsi="Arial" w:eastAsia="宋体" w:cs="Arial"/>
                <w:szCs w:val="21"/>
              </w:rPr>
            </w:pPr>
          </w:p>
        </w:tc>
        <w:tc>
          <w:tcPr>
            <w:tcW w:w="1223" w:type="dxa"/>
            <w:vAlign w:val="center"/>
          </w:tcPr>
          <w:p w14:paraId="028A836F">
            <w:pPr>
              <w:snapToGrid w:val="0"/>
              <w:jc w:val="center"/>
              <w:rPr>
                <w:rFonts w:hint="default" w:ascii="Arial" w:hAnsi="Arial" w:eastAsia="宋体" w:cs="Arial"/>
                <w:szCs w:val="21"/>
              </w:rPr>
            </w:pPr>
            <w:r>
              <w:rPr>
                <w:rFonts w:hint="default" w:ascii="Arial" w:hAnsi="Arial" w:eastAsia="宋体" w:cs="Arial"/>
                <w:szCs w:val="21"/>
              </w:rPr>
              <w:t>达标情况</w:t>
            </w:r>
          </w:p>
        </w:tc>
        <w:tc>
          <w:tcPr>
            <w:tcW w:w="941" w:type="dxa"/>
            <w:vAlign w:val="center"/>
          </w:tcPr>
          <w:p w14:paraId="67E1AA80">
            <w:pPr>
              <w:snapToGrid w:val="0"/>
              <w:jc w:val="center"/>
              <w:rPr>
                <w:rFonts w:hint="default" w:ascii="Arial" w:hAnsi="Arial" w:eastAsia="宋体" w:cs="Arial"/>
                <w:szCs w:val="21"/>
              </w:rPr>
            </w:pPr>
            <w:r>
              <w:rPr>
                <w:rFonts w:hint="default" w:ascii="Arial" w:hAnsi="Arial" w:eastAsia="宋体" w:cs="Arial"/>
                <w:szCs w:val="21"/>
              </w:rPr>
              <w:t>达标</w:t>
            </w:r>
          </w:p>
        </w:tc>
        <w:tc>
          <w:tcPr>
            <w:tcW w:w="854" w:type="dxa"/>
            <w:vAlign w:val="center"/>
          </w:tcPr>
          <w:p w14:paraId="0752F6EE">
            <w:pPr>
              <w:snapToGrid w:val="0"/>
              <w:jc w:val="center"/>
              <w:rPr>
                <w:rFonts w:hint="default" w:ascii="Arial" w:hAnsi="Arial" w:eastAsia="宋体" w:cs="Arial"/>
                <w:szCs w:val="21"/>
              </w:rPr>
            </w:pPr>
            <w:r>
              <w:rPr>
                <w:rFonts w:hint="default" w:ascii="Arial" w:hAnsi="Arial" w:eastAsia="宋体" w:cs="Arial"/>
                <w:szCs w:val="21"/>
              </w:rPr>
              <w:t>达标</w:t>
            </w:r>
          </w:p>
        </w:tc>
        <w:tc>
          <w:tcPr>
            <w:tcW w:w="854" w:type="dxa"/>
            <w:vAlign w:val="center"/>
          </w:tcPr>
          <w:p w14:paraId="3FFA9D08">
            <w:pPr>
              <w:snapToGrid w:val="0"/>
              <w:jc w:val="center"/>
              <w:rPr>
                <w:rFonts w:hint="default" w:ascii="Arial" w:hAnsi="Arial" w:eastAsia="宋体" w:cs="Arial"/>
                <w:szCs w:val="21"/>
              </w:rPr>
            </w:pPr>
            <w:r>
              <w:rPr>
                <w:rFonts w:hint="default" w:ascii="Arial" w:hAnsi="Arial" w:eastAsia="宋体" w:cs="Arial"/>
                <w:szCs w:val="21"/>
              </w:rPr>
              <w:t>达标</w:t>
            </w:r>
          </w:p>
        </w:tc>
        <w:tc>
          <w:tcPr>
            <w:tcW w:w="854" w:type="dxa"/>
            <w:vAlign w:val="center"/>
          </w:tcPr>
          <w:p w14:paraId="248FFE2D">
            <w:pPr>
              <w:snapToGrid w:val="0"/>
              <w:jc w:val="center"/>
              <w:rPr>
                <w:rFonts w:hint="default" w:ascii="Arial" w:hAnsi="Arial" w:eastAsia="宋体" w:cs="Arial"/>
                <w:szCs w:val="21"/>
              </w:rPr>
            </w:pPr>
            <w:r>
              <w:rPr>
                <w:rFonts w:hint="default" w:ascii="Arial" w:hAnsi="Arial" w:eastAsia="宋体" w:cs="Arial"/>
                <w:szCs w:val="21"/>
              </w:rPr>
              <w:t>达标</w:t>
            </w:r>
          </w:p>
        </w:tc>
        <w:tc>
          <w:tcPr>
            <w:tcW w:w="854" w:type="dxa"/>
            <w:vAlign w:val="center"/>
          </w:tcPr>
          <w:p w14:paraId="6251F859">
            <w:pPr>
              <w:snapToGrid w:val="0"/>
              <w:jc w:val="center"/>
              <w:rPr>
                <w:rFonts w:hint="default" w:ascii="Arial" w:hAnsi="Arial" w:eastAsia="宋体" w:cs="Arial"/>
                <w:szCs w:val="21"/>
              </w:rPr>
            </w:pPr>
            <w:r>
              <w:rPr>
                <w:rFonts w:hint="default" w:ascii="Arial" w:hAnsi="Arial" w:eastAsia="宋体" w:cs="Arial"/>
                <w:szCs w:val="21"/>
              </w:rPr>
              <w:t>达标</w:t>
            </w:r>
          </w:p>
        </w:tc>
      </w:tr>
    </w:tbl>
    <w:p w14:paraId="56223DDE">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由表3-</w:t>
      </w:r>
      <w:r>
        <w:rPr>
          <w:rFonts w:hint="default" w:ascii="Arial" w:hAnsi="Arial" w:eastAsia="宋体" w:cs="Arial"/>
          <w:sz w:val="24"/>
          <w:szCs w:val="24"/>
          <w:lang w:val="en-US" w:eastAsia="zh-CN"/>
        </w:rPr>
        <w:t>3</w:t>
      </w:r>
      <w:r>
        <w:rPr>
          <w:rFonts w:hint="default" w:ascii="Arial" w:hAnsi="Arial" w:eastAsia="宋体" w:cs="Arial"/>
          <w:sz w:val="24"/>
          <w:szCs w:val="24"/>
        </w:rPr>
        <w:t>可见，202</w:t>
      </w:r>
      <w:r>
        <w:rPr>
          <w:rFonts w:hint="default" w:ascii="Arial" w:hAnsi="Arial" w:eastAsia="宋体" w:cs="Arial"/>
          <w:sz w:val="24"/>
          <w:szCs w:val="24"/>
          <w:lang w:val="en-US" w:eastAsia="zh-CN"/>
        </w:rPr>
        <w:t>4</w:t>
      </w:r>
      <w:r>
        <w:rPr>
          <w:rFonts w:hint="default" w:ascii="Arial" w:hAnsi="Arial" w:eastAsia="宋体" w:cs="Arial"/>
          <w:sz w:val="24"/>
          <w:szCs w:val="24"/>
        </w:rPr>
        <w:t>年度嘉兴塘荒田浜（万盛桥）断面水质能满足《地表水环境质量标准》（GB 3838-2002）中的Ⅲ类水质标准，本项目附近区域地表水水质较好。</w:t>
      </w:r>
    </w:p>
    <w:p w14:paraId="02E56127">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声环境质量现状</w:t>
      </w:r>
    </w:p>
    <w:p w14:paraId="57BEDD14">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项目厂界外周围50米范围内无声环境保护目标，根据《建设项目环境影响报告表编制技术指南（污染影响类）》相关要求，不进行声环境质量现状调查。</w:t>
      </w:r>
    </w:p>
    <w:p w14:paraId="03F2B1F1">
      <w:pPr>
        <w:pStyle w:val="76"/>
        <w:numPr>
          <w:ilvl w:val="2"/>
          <w:numId w:val="7"/>
        </w:numPr>
        <w:spacing w:line="360" w:lineRule="auto"/>
        <w:ind w:left="3328" w:leftChars="0" w:firstLineChars="0"/>
        <w:outlineLvl w:val="2"/>
        <w:rPr>
          <w:rFonts w:hint="default" w:ascii="Arial" w:hAnsi="Arial" w:eastAsia="宋体" w:cs="Arial"/>
          <w:b/>
          <w:bCs/>
          <w:sz w:val="24"/>
          <w:szCs w:val="24"/>
        </w:rPr>
      </w:pPr>
      <w:r>
        <w:rPr>
          <w:rFonts w:hint="default" w:ascii="Arial" w:hAnsi="Arial" w:eastAsia="宋体" w:cs="Arial"/>
          <w:b/>
          <w:bCs/>
          <w:sz w:val="24"/>
          <w:szCs w:val="24"/>
        </w:rPr>
        <w:t>地下水及土壤环境质量现状</w:t>
      </w:r>
    </w:p>
    <w:p w14:paraId="15A5AECB">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项目将按要求设置专门的危废暂存场所并做好防腐防渗，生产过程不涉及重金属和持久性有机污染物。在正常工况企业设置有效的分区防控措施的前提下，不存在土壤、地下水污染途径。根据《建设项目环境影响报告表编制技术指南（污染影响类）》，原则上无需开展土壤、地下水现状调查。</w:t>
      </w:r>
    </w:p>
    <w:p w14:paraId="2BEF0DEE">
      <w:pPr>
        <w:pStyle w:val="76"/>
        <w:numPr>
          <w:ilvl w:val="2"/>
          <w:numId w:val="7"/>
        </w:numPr>
        <w:spacing w:line="360" w:lineRule="auto"/>
        <w:ind w:left="3328" w:leftChars="0" w:firstLineChars="0"/>
        <w:outlineLvl w:val="2"/>
        <w:rPr>
          <w:rFonts w:hint="default" w:ascii="Arial" w:hAnsi="Arial" w:eastAsia="宋体" w:cs="Arial"/>
          <w:b/>
          <w:bCs/>
          <w:sz w:val="24"/>
          <w:szCs w:val="24"/>
        </w:rPr>
      </w:pPr>
      <w:r>
        <w:rPr>
          <w:rFonts w:hint="default" w:ascii="Arial" w:hAnsi="Arial" w:eastAsia="宋体" w:cs="Arial"/>
          <w:b/>
          <w:bCs/>
          <w:sz w:val="24"/>
          <w:szCs w:val="24"/>
        </w:rPr>
        <w:t>生态环境质量现状</w:t>
      </w:r>
    </w:p>
    <w:p w14:paraId="478BE12B">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本项目位于浙江省嘉兴市平湖市五洲路</w:t>
      </w:r>
      <w:r>
        <w:rPr>
          <w:rFonts w:hint="default" w:ascii="Arial" w:hAnsi="Arial" w:eastAsia="宋体" w:cs="Arial"/>
          <w:sz w:val="24"/>
          <w:szCs w:val="24"/>
          <w:lang w:val="en-US" w:eastAsia="zh-CN"/>
        </w:rPr>
        <w:t>1268</w:t>
      </w:r>
      <w:r>
        <w:rPr>
          <w:rFonts w:hint="default" w:ascii="Arial" w:hAnsi="Arial" w:eastAsia="宋体" w:cs="Arial"/>
          <w:sz w:val="24"/>
          <w:szCs w:val="24"/>
        </w:rPr>
        <w:t>号，属于工业</w:t>
      </w:r>
      <w:r>
        <w:rPr>
          <w:rFonts w:hint="default" w:ascii="Arial" w:hAnsi="Arial" w:eastAsia="宋体" w:cs="Arial"/>
          <w:sz w:val="24"/>
          <w:szCs w:val="24"/>
          <w:lang w:val="en-US" w:eastAsia="zh-CN"/>
        </w:rPr>
        <w:t>聚集区</w:t>
      </w:r>
      <w:r>
        <w:rPr>
          <w:rFonts w:hint="default" w:ascii="Arial" w:hAnsi="Arial" w:eastAsia="宋体" w:cs="Arial"/>
          <w:sz w:val="24"/>
          <w:szCs w:val="24"/>
        </w:rPr>
        <w:t>，周围主要为企业、城市道路以及耕田等，无大面积的自然植被群落及珍稀动植物资源等生态环境保护目标，故本环评不进行生态现状调查。</w:t>
      </w:r>
    </w:p>
    <w:p w14:paraId="6EF44810">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电磁辐射现状</w:t>
      </w:r>
    </w:p>
    <w:p w14:paraId="51D15978">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sz w:val="24"/>
          <w:szCs w:val="24"/>
        </w:rPr>
      </w:pPr>
      <w:r>
        <w:rPr>
          <w:rFonts w:hint="default" w:ascii="Arial" w:hAnsi="Arial" w:eastAsia="宋体" w:cs="Arial"/>
          <w:sz w:val="24"/>
          <w:szCs w:val="24"/>
        </w:rPr>
        <w:t>本项目不涉及新建或改建、扩建广播电台、差转台、电视塔台、卫星地球上行站、雷达等电磁辐射类项目，因此，无需进行电磁辐射现状监测与评价。</w:t>
      </w:r>
    </w:p>
    <w:p w14:paraId="2D4A4978">
      <w:pPr>
        <w:pStyle w:val="76"/>
        <w:spacing w:line="360" w:lineRule="auto"/>
        <w:ind w:firstLine="480" w:firstLineChars="200"/>
        <w:rPr>
          <w:rFonts w:hint="default" w:ascii="Arial" w:hAnsi="Arial" w:eastAsia="宋体" w:cs="Arial"/>
          <w:sz w:val="24"/>
          <w:szCs w:val="24"/>
        </w:rPr>
      </w:pPr>
    </w:p>
    <w:p w14:paraId="735A76E8">
      <w:pPr>
        <w:pStyle w:val="76"/>
        <w:spacing w:line="360" w:lineRule="auto"/>
        <w:ind w:left="105" w:leftChars="50" w:firstLine="482"/>
        <w:rPr>
          <w:rFonts w:hint="default" w:ascii="Arial" w:hAnsi="Arial" w:eastAsia="宋体" w:cs="Arial"/>
          <w:b/>
          <w:bCs/>
          <w:sz w:val="24"/>
          <w:szCs w:val="24"/>
        </w:rPr>
        <w:sectPr>
          <w:headerReference r:id="rId16"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0D95007E">
      <w:pPr>
        <w:pStyle w:val="76"/>
        <w:keepNext w:val="0"/>
        <w:keepLines w:val="0"/>
        <w:pageBreakBefore w:val="0"/>
        <w:widowControl w:val="0"/>
        <w:numPr>
          <w:ilvl w:val="1"/>
          <w:numId w:val="4"/>
        </w:numPr>
        <w:kinsoku/>
        <w:wordWrap/>
        <w:overflowPunct/>
        <w:topLinePunct w:val="0"/>
        <w:autoSpaceDE/>
        <w:autoSpaceDN/>
        <w:bidi w:val="0"/>
        <w:adjustRightInd/>
        <w:snapToGrid/>
        <w:spacing w:line="360" w:lineRule="auto"/>
        <w:ind w:left="315" w:leftChars="0" w:firstLineChars="0"/>
        <w:textAlignment w:val="auto"/>
        <w:outlineLvl w:val="1"/>
        <w:rPr>
          <w:rFonts w:hint="default" w:ascii="Arial" w:hAnsi="Arial" w:eastAsia="宋体" w:cs="Arial"/>
          <w:b/>
          <w:bCs/>
          <w:sz w:val="24"/>
          <w:szCs w:val="24"/>
        </w:rPr>
      </w:pPr>
      <w:r>
        <w:rPr>
          <w:rFonts w:hint="default" w:ascii="Arial" w:hAnsi="Arial" w:eastAsia="宋体" w:cs="Arial"/>
          <w:b/>
          <w:bCs/>
          <w:sz w:val="24"/>
          <w:szCs w:val="24"/>
        </w:rPr>
        <w:t>环境保护目标</w:t>
      </w:r>
    </w:p>
    <w:p w14:paraId="66439C77">
      <w:pPr>
        <w:pStyle w:val="76"/>
        <w:keepNext w:val="0"/>
        <w:keepLines w:val="0"/>
        <w:pageBreakBefore w:val="0"/>
        <w:widowControl w:val="0"/>
        <w:numPr>
          <w:ilvl w:val="2"/>
          <w:numId w:val="4"/>
        </w:numPr>
        <w:kinsoku/>
        <w:wordWrap/>
        <w:overflowPunct/>
        <w:topLinePunct w:val="0"/>
        <w:autoSpaceDE/>
        <w:autoSpaceDN/>
        <w:bidi w:val="0"/>
        <w:adjustRightInd/>
        <w:snapToGrid/>
        <w:spacing w:line="360" w:lineRule="auto"/>
        <w:ind w:left="315" w:leftChars="0" w:firstLine="0" w:firstLineChars="0"/>
        <w:textAlignment w:val="auto"/>
        <w:outlineLvl w:val="2"/>
        <w:rPr>
          <w:rFonts w:hint="default" w:ascii="Arial" w:hAnsi="Arial" w:eastAsia="宋体" w:cs="Arial"/>
          <w:b/>
          <w:bCs/>
          <w:sz w:val="24"/>
          <w:szCs w:val="24"/>
        </w:rPr>
      </w:pPr>
      <w:r>
        <w:rPr>
          <w:rFonts w:hint="default" w:ascii="Arial" w:hAnsi="Arial" w:eastAsia="宋体" w:cs="Arial"/>
          <w:b/>
          <w:bCs/>
          <w:sz w:val="24"/>
          <w:szCs w:val="24"/>
        </w:rPr>
        <w:t>大气环境保护目标</w:t>
      </w:r>
    </w:p>
    <w:p w14:paraId="1680C14A">
      <w:pPr>
        <w:spacing w:line="360" w:lineRule="auto"/>
        <w:ind w:left="105" w:leftChars="50" w:right="105" w:rightChars="50" w:firstLine="480" w:firstLineChars="200"/>
        <w:rPr>
          <w:rFonts w:hint="default" w:ascii="Arial" w:hAnsi="Arial" w:eastAsia="宋体" w:cs="Arial"/>
          <w:sz w:val="24"/>
          <w:szCs w:val="24"/>
        </w:rPr>
      </w:pPr>
      <w:r>
        <w:rPr>
          <w:rFonts w:hint="default" w:ascii="Arial" w:hAnsi="Arial" w:eastAsia="宋体" w:cs="Arial"/>
          <w:sz w:val="24"/>
          <w:szCs w:val="24"/>
        </w:rPr>
        <w:t>本项目拟建地周边500m范围内的大气环境保护目标主要为</w:t>
      </w:r>
      <w:r>
        <w:rPr>
          <w:rFonts w:hint="default" w:ascii="Arial" w:hAnsi="Arial" w:eastAsia="宋体" w:cs="Arial"/>
          <w:sz w:val="24"/>
          <w:szCs w:val="24"/>
          <w:lang w:val="en-US" w:eastAsia="zh-CN"/>
        </w:rPr>
        <w:t>西北侧的南湖区南村民居</w:t>
      </w:r>
      <w:r>
        <w:rPr>
          <w:rFonts w:hint="default" w:ascii="Arial" w:hAnsi="Arial" w:eastAsia="宋体" w:cs="Arial"/>
          <w:sz w:val="24"/>
          <w:szCs w:val="24"/>
        </w:rPr>
        <w:t>。</w:t>
      </w:r>
    </w:p>
    <w:p w14:paraId="2E6792B5">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大气环境保护目标基本情况</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558"/>
        <w:gridCol w:w="1277"/>
        <w:gridCol w:w="1278"/>
        <w:gridCol w:w="554"/>
        <w:gridCol w:w="1148"/>
        <w:gridCol w:w="1558"/>
        <w:gridCol w:w="620"/>
        <w:gridCol w:w="944"/>
      </w:tblGrid>
      <w:tr w14:paraId="56AB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63" w:type="dxa"/>
            <w:vMerge w:val="restart"/>
            <w:vAlign w:val="center"/>
          </w:tcPr>
          <w:p w14:paraId="5176EC07">
            <w:pPr>
              <w:jc w:val="center"/>
              <w:rPr>
                <w:rFonts w:hint="default" w:ascii="Arial" w:hAnsi="Arial" w:eastAsia="宋体" w:cs="Arial"/>
                <w:szCs w:val="21"/>
              </w:rPr>
            </w:pPr>
            <w:r>
              <w:rPr>
                <w:rFonts w:hint="default" w:ascii="Arial" w:hAnsi="Arial" w:eastAsia="宋体" w:cs="Arial"/>
                <w:szCs w:val="21"/>
              </w:rPr>
              <w:t>保护目标名称</w:t>
            </w:r>
          </w:p>
        </w:tc>
        <w:tc>
          <w:tcPr>
            <w:tcW w:w="2581" w:type="dxa"/>
            <w:gridSpan w:val="2"/>
            <w:vAlign w:val="center"/>
          </w:tcPr>
          <w:p w14:paraId="27291556">
            <w:pPr>
              <w:jc w:val="center"/>
              <w:rPr>
                <w:rFonts w:hint="default" w:ascii="Arial" w:hAnsi="Arial" w:eastAsia="宋体" w:cs="Arial"/>
                <w:szCs w:val="21"/>
              </w:rPr>
            </w:pPr>
            <w:r>
              <w:rPr>
                <w:rFonts w:hint="default" w:ascii="Arial" w:hAnsi="Arial" w:eastAsia="宋体" w:cs="Arial"/>
                <w:szCs w:val="21"/>
              </w:rPr>
              <w:t>坐标</w:t>
            </w:r>
          </w:p>
        </w:tc>
        <w:tc>
          <w:tcPr>
            <w:tcW w:w="559" w:type="dxa"/>
            <w:vMerge w:val="restart"/>
            <w:vAlign w:val="center"/>
          </w:tcPr>
          <w:p w14:paraId="7DB3A77F">
            <w:pPr>
              <w:jc w:val="center"/>
              <w:rPr>
                <w:rFonts w:hint="default" w:ascii="Arial" w:hAnsi="Arial" w:eastAsia="宋体" w:cs="Arial"/>
                <w:szCs w:val="21"/>
              </w:rPr>
            </w:pPr>
            <w:r>
              <w:rPr>
                <w:rFonts w:hint="default" w:ascii="Arial" w:hAnsi="Arial" w:eastAsia="宋体" w:cs="Arial"/>
                <w:szCs w:val="21"/>
              </w:rPr>
              <w:t>保护对象</w:t>
            </w:r>
          </w:p>
        </w:tc>
        <w:tc>
          <w:tcPr>
            <w:tcW w:w="1160" w:type="dxa"/>
            <w:vMerge w:val="restart"/>
            <w:vAlign w:val="center"/>
          </w:tcPr>
          <w:p w14:paraId="68019090">
            <w:pPr>
              <w:jc w:val="center"/>
              <w:rPr>
                <w:rFonts w:hint="default" w:ascii="Arial" w:hAnsi="Arial" w:eastAsia="宋体" w:cs="Arial"/>
                <w:szCs w:val="21"/>
              </w:rPr>
            </w:pPr>
            <w:r>
              <w:rPr>
                <w:rFonts w:hint="default" w:ascii="Arial" w:hAnsi="Arial" w:eastAsia="宋体" w:cs="Arial"/>
                <w:szCs w:val="21"/>
              </w:rPr>
              <w:t>保护内容</w:t>
            </w:r>
          </w:p>
        </w:tc>
        <w:tc>
          <w:tcPr>
            <w:tcW w:w="1575" w:type="dxa"/>
            <w:vMerge w:val="restart"/>
            <w:vAlign w:val="center"/>
          </w:tcPr>
          <w:p w14:paraId="3B30E286">
            <w:pPr>
              <w:jc w:val="center"/>
              <w:rPr>
                <w:rFonts w:hint="default" w:ascii="Arial" w:hAnsi="Arial" w:eastAsia="宋体" w:cs="Arial"/>
                <w:szCs w:val="21"/>
              </w:rPr>
            </w:pPr>
            <w:r>
              <w:rPr>
                <w:rFonts w:hint="default" w:ascii="Arial" w:hAnsi="Arial" w:eastAsia="宋体" w:cs="Arial"/>
                <w:szCs w:val="21"/>
              </w:rPr>
              <w:t>环境功能区</w:t>
            </w:r>
          </w:p>
        </w:tc>
        <w:tc>
          <w:tcPr>
            <w:tcW w:w="626" w:type="dxa"/>
            <w:vMerge w:val="restart"/>
            <w:vAlign w:val="center"/>
          </w:tcPr>
          <w:p w14:paraId="0D903845">
            <w:pPr>
              <w:jc w:val="center"/>
              <w:rPr>
                <w:rFonts w:hint="default" w:ascii="Arial" w:hAnsi="Arial" w:eastAsia="宋体" w:cs="Arial"/>
                <w:szCs w:val="21"/>
              </w:rPr>
            </w:pPr>
            <w:r>
              <w:rPr>
                <w:rFonts w:hint="default" w:ascii="Arial" w:hAnsi="Arial" w:eastAsia="宋体" w:cs="Arial"/>
                <w:szCs w:val="21"/>
              </w:rPr>
              <w:t>方位</w:t>
            </w:r>
          </w:p>
        </w:tc>
        <w:tc>
          <w:tcPr>
            <w:tcW w:w="954" w:type="dxa"/>
            <w:vMerge w:val="restart"/>
            <w:vAlign w:val="center"/>
          </w:tcPr>
          <w:p w14:paraId="4E920BCD">
            <w:pPr>
              <w:jc w:val="center"/>
              <w:rPr>
                <w:rFonts w:hint="default" w:ascii="Arial" w:hAnsi="Arial" w:eastAsia="宋体" w:cs="Arial"/>
                <w:szCs w:val="21"/>
              </w:rPr>
            </w:pPr>
            <w:r>
              <w:rPr>
                <w:rFonts w:hint="default" w:ascii="Arial" w:hAnsi="Arial" w:eastAsia="宋体" w:cs="Arial"/>
                <w:szCs w:val="21"/>
              </w:rPr>
              <w:t>距厂界最近距离（m）</w:t>
            </w:r>
          </w:p>
        </w:tc>
      </w:tr>
      <w:tr w14:paraId="13F1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63" w:type="dxa"/>
            <w:vMerge w:val="continue"/>
            <w:vAlign w:val="center"/>
          </w:tcPr>
          <w:p w14:paraId="3787C4A2">
            <w:pPr>
              <w:widowControl/>
              <w:jc w:val="center"/>
              <w:rPr>
                <w:rFonts w:hint="default" w:ascii="Arial" w:hAnsi="Arial" w:eastAsia="宋体" w:cs="Arial"/>
                <w:szCs w:val="21"/>
              </w:rPr>
            </w:pPr>
          </w:p>
        </w:tc>
        <w:tc>
          <w:tcPr>
            <w:tcW w:w="1290" w:type="dxa"/>
            <w:vAlign w:val="center"/>
          </w:tcPr>
          <w:p w14:paraId="7DF7485B">
            <w:pPr>
              <w:jc w:val="center"/>
              <w:rPr>
                <w:rFonts w:hint="default" w:ascii="Arial" w:hAnsi="Arial" w:eastAsia="宋体" w:cs="Arial"/>
                <w:szCs w:val="21"/>
              </w:rPr>
            </w:pPr>
            <w:r>
              <w:rPr>
                <w:rFonts w:hint="default" w:ascii="Arial" w:hAnsi="Arial" w:eastAsia="宋体" w:cs="Arial"/>
                <w:szCs w:val="21"/>
              </w:rPr>
              <w:t>东经（°）</w:t>
            </w:r>
          </w:p>
        </w:tc>
        <w:tc>
          <w:tcPr>
            <w:tcW w:w="1291" w:type="dxa"/>
            <w:vAlign w:val="center"/>
          </w:tcPr>
          <w:p w14:paraId="4B5999AC">
            <w:pPr>
              <w:jc w:val="center"/>
              <w:rPr>
                <w:rFonts w:hint="default" w:ascii="Arial" w:hAnsi="Arial" w:eastAsia="宋体" w:cs="Arial"/>
                <w:szCs w:val="21"/>
              </w:rPr>
            </w:pPr>
            <w:r>
              <w:rPr>
                <w:rFonts w:hint="default" w:ascii="Arial" w:hAnsi="Arial" w:eastAsia="宋体" w:cs="Arial"/>
                <w:szCs w:val="21"/>
              </w:rPr>
              <w:t>北纬（°）</w:t>
            </w:r>
          </w:p>
        </w:tc>
        <w:tc>
          <w:tcPr>
            <w:tcW w:w="559" w:type="dxa"/>
            <w:vMerge w:val="continue"/>
            <w:vAlign w:val="center"/>
          </w:tcPr>
          <w:p w14:paraId="2210C8F7">
            <w:pPr>
              <w:widowControl/>
              <w:jc w:val="center"/>
              <w:rPr>
                <w:rFonts w:hint="default" w:ascii="Arial" w:hAnsi="Arial" w:eastAsia="宋体" w:cs="Arial"/>
                <w:szCs w:val="21"/>
              </w:rPr>
            </w:pPr>
          </w:p>
        </w:tc>
        <w:tc>
          <w:tcPr>
            <w:tcW w:w="1160" w:type="dxa"/>
            <w:vMerge w:val="continue"/>
            <w:vAlign w:val="center"/>
          </w:tcPr>
          <w:p w14:paraId="10535FF1">
            <w:pPr>
              <w:widowControl/>
              <w:jc w:val="center"/>
              <w:rPr>
                <w:rFonts w:hint="default" w:ascii="Arial" w:hAnsi="Arial" w:eastAsia="宋体" w:cs="Arial"/>
                <w:szCs w:val="21"/>
              </w:rPr>
            </w:pPr>
          </w:p>
        </w:tc>
        <w:tc>
          <w:tcPr>
            <w:tcW w:w="1575" w:type="dxa"/>
            <w:vMerge w:val="continue"/>
            <w:vAlign w:val="center"/>
          </w:tcPr>
          <w:p w14:paraId="0350F125">
            <w:pPr>
              <w:widowControl/>
              <w:jc w:val="center"/>
              <w:rPr>
                <w:rFonts w:hint="default" w:ascii="Arial" w:hAnsi="Arial" w:eastAsia="宋体" w:cs="Arial"/>
                <w:szCs w:val="21"/>
              </w:rPr>
            </w:pPr>
          </w:p>
        </w:tc>
        <w:tc>
          <w:tcPr>
            <w:tcW w:w="626" w:type="dxa"/>
            <w:vMerge w:val="continue"/>
            <w:vAlign w:val="center"/>
          </w:tcPr>
          <w:p w14:paraId="156B7856">
            <w:pPr>
              <w:widowControl/>
              <w:jc w:val="center"/>
              <w:rPr>
                <w:rFonts w:hint="default" w:ascii="Arial" w:hAnsi="Arial" w:eastAsia="宋体" w:cs="Arial"/>
                <w:szCs w:val="21"/>
              </w:rPr>
            </w:pPr>
          </w:p>
        </w:tc>
        <w:tc>
          <w:tcPr>
            <w:tcW w:w="954" w:type="dxa"/>
            <w:vMerge w:val="continue"/>
            <w:vAlign w:val="center"/>
          </w:tcPr>
          <w:p w14:paraId="2D87899F">
            <w:pPr>
              <w:widowControl/>
              <w:jc w:val="center"/>
              <w:rPr>
                <w:rFonts w:hint="default" w:ascii="Arial" w:hAnsi="Arial" w:eastAsia="宋体" w:cs="Arial"/>
                <w:szCs w:val="21"/>
              </w:rPr>
            </w:pPr>
          </w:p>
        </w:tc>
      </w:tr>
      <w:tr w14:paraId="1A55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563" w:type="dxa"/>
            <w:vAlign w:val="center"/>
          </w:tcPr>
          <w:p w14:paraId="3FBA4A37">
            <w:pPr>
              <w:widowControl/>
              <w:jc w:val="center"/>
              <w:rPr>
                <w:rFonts w:hint="default" w:ascii="Arial" w:hAnsi="Arial" w:eastAsia="宋体" w:cs="Arial"/>
                <w:szCs w:val="21"/>
                <w:lang w:val="en-US" w:eastAsia="zh-CN"/>
              </w:rPr>
            </w:pPr>
            <w:r>
              <w:rPr>
                <w:rFonts w:hint="default" w:ascii="Arial" w:hAnsi="Arial" w:eastAsia="宋体" w:cs="Arial"/>
                <w:szCs w:val="21"/>
                <w:lang w:val="en-US" w:eastAsia="zh-CN"/>
              </w:rPr>
              <w:t>南村</w:t>
            </w:r>
          </w:p>
        </w:tc>
        <w:tc>
          <w:tcPr>
            <w:tcW w:w="1290" w:type="dxa"/>
            <w:vAlign w:val="center"/>
          </w:tcPr>
          <w:p w14:paraId="700A2E19">
            <w:pPr>
              <w:jc w:val="center"/>
              <w:rPr>
                <w:rFonts w:hint="default" w:ascii="Arial" w:hAnsi="Arial" w:eastAsia="宋体" w:cs="Arial"/>
                <w:szCs w:val="21"/>
              </w:rPr>
            </w:pPr>
            <w:r>
              <w:rPr>
                <w:rFonts w:hint="default" w:ascii="Arial" w:hAnsi="Arial" w:eastAsia="宋体" w:cs="Arial"/>
                <w:szCs w:val="21"/>
              </w:rPr>
              <w:t>120.972333236</w:t>
            </w:r>
          </w:p>
        </w:tc>
        <w:tc>
          <w:tcPr>
            <w:tcW w:w="1291" w:type="dxa"/>
            <w:vAlign w:val="center"/>
          </w:tcPr>
          <w:p w14:paraId="7B56CC5C">
            <w:pPr>
              <w:jc w:val="center"/>
              <w:rPr>
                <w:rFonts w:hint="default" w:ascii="Arial" w:hAnsi="Arial" w:eastAsia="宋体" w:cs="Arial"/>
                <w:szCs w:val="21"/>
              </w:rPr>
            </w:pPr>
            <w:r>
              <w:rPr>
                <w:rFonts w:hint="default" w:ascii="Arial" w:hAnsi="Arial" w:eastAsia="宋体" w:cs="Arial"/>
                <w:szCs w:val="21"/>
              </w:rPr>
              <w:t>30.748986343</w:t>
            </w:r>
          </w:p>
        </w:tc>
        <w:tc>
          <w:tcPr>
            <w:tcW w:w="559" w:type="dxa"/>
            <w:vAlign w:val="center"/>
          </w:tcPr>
          <w:p w14:paraId="69EBE27A">
            <w:pPr>
              <w:widowControl/>
              <w:jc w:val="center"/>
              <w:rPr>
                <w:rFonts w:hint="default" w:ascii="Arial" w:hAnsi="Arial" w:eastAsia="宋体" w:cs="Arial"/>
                <w:szCs w:val="21"/>
              </w:rPr>
            </w:pPr>
            <w:r>
              <w:rPr>
                <w:rFonts w:hint="default" w:ascii="Arial" w:hAnsi="Arial" w:eastAsia="宋体" w:cs="Arial"/>
                <w:szCs w:val="21"/>
              </w:rPr>
              <w:t>居住区</w:t>
            </w:r>
          </w:p>
        </w:tc>
        <w:tc>
          <w:tcPr>
            <w:tcW w:w="1160" w:type="dxa"/>
            <w:vAlign w:val="center"/>
          </w:tcPr>
          <w:p w14:paraId="0849BE3D">
            <w:pPr>
              <w:widowControl/>
              <w:jc w:val="center"/>
              <w:rPr>
                <w:rFonts w:hint="default" w:ascii="Arial" w:hAnsi="Arial" w:eastAsia="宋体" w:cs="Arial"/>
                <w:szCs w:val="21"/>
              </w:rPr>
            </w:pPr>
            <w:r>
              <w:rPr>
                <w:rFonts w:hint="default" w:ascii="Arial" w:hAnsi="Arial" w:eastAsia="宋体" w:cs="Arial"/>
                <w:szCs w:val="21"/>
              </w:rPr>
              <w:t>评价范围内约</w:t>
            </w:r>
            <w:r>
              <w:rPr>
                <w:rFonts w:hint="default" w:ascii="Arial" w:hAnsi="Arial" w:eastAsia="宋体" w:cs="Arial"/>
                <w:szCs w:val="21"/>
                <w:lang w:val="en-US" w:eastAsia="zh-CN"/>
              </w:rPr>
              <w:t>20</w:t>
            </w:r>
            <w:r>
              <w:rPr>
                <w:rFonts w:hint="default" w:ascii="Arial" w:hAnsi="Arial" w:eastAsia="宋体" w:cs="Arial"/>
                <w:szCs w:val="21"/>
              </w:rPr>
              <w:t>户</w:t>
            </w:r>
          </w:p>
        </w:tc>
        <w:tc>
          <w:tcPr>
            <w:tcW w:w="1575" w:type="dxa"/>
            <w:vAlign w:val="center"/>
          </w:tcPr>
          <w:p w14:paraId="7DA81975">
            <w:pPr>
              <w:widowControl/>
              <w:jc w:val="center"/>
              <w:rPr>
                <w:rFonts w:hint="default" w:ascii="Arial" w:hAnsi="Arial" w:eastAsia="宋体" w:cs="Arial"/>
                <w:szCs w:val="21"/>
              </w:rPr>
            </w:pPr>
            <w:r>
              <w:rPr>
                <w:rFonts w:hint="default" w:ascii="Arial" w:hAnsi="Arial" w:eastAsia="宋体" w:cs="Arial"/>
                <w:szCs w:val="21"/>
              </w:rPr>
              <w:t>大气环境（GB 3095—2012）二级标准</w:t>
            </w:r>
          </w:p>
        </w:tc>
        <w:tc>
          <w:tcPr>
            <w:tcW w:w="626" w:type="dxa"/>
            <w:vAlign w:val="center"/>
          </w:tcPr>
          <w:p w14:paraId="240A03E8">
            <w:pPr>
              <w:widowControl/>
              <w:jc w:val="center"/>
              <w:rPr>
                <w:rFonts w:hint="default" w:ascii="Arial" w:hAnsi="Arial" w:eastAsia="宋体" w:cs="Arial"/>
                <w:szCs w:val="21"/>
                <w:lang w:val="en-US" w:eastAsia="zh-CN"/>
              </w:rPr>
            </w:pPr>
            <w:r>
              <w:rPr>
                <w:rFonts w:hint="default" w:ascii="Arial" w:hAnsi="Arial" w:eastAsia="宋体" w:cs="Arial"/>
                <w:szCs w:val="21"/>
              </w:rPr>
              <w:t>N</w:t>
            </w:r>
            <w:r>
              <w:rPr>
                <w:rFonts w:hint="default" w:ascii="Arial" w:hAnsi="Arial" w:eastAsia="宋体" w:cs="Arial"/>
                <w:szCs w:val="21"/>
                <w:lang w:val="en-US" w:eastAsia="zh-CN"/>
              </w:rPr>
              <w:t>W</w:t>
            </w:r>
          </w:p>
        </w:tc>
        <w:tc>
          <w:tcPr>
            <w:tcW w:w="954" w:type="dxa"/>
            <w:vAlign w:val="center"/>
          </w:tcPr>
          <w:p w14:paraId="3AA0F929">
            <w:pPr>
              <w:widowControl/>
              <w:jc w:val="center"/>
              <w:rPr>
                <w:rFonts w:hint="default" w:ascii="Arial" w:hAnsi="Arial" w:eastAsia="宋体" w:cs="Arial"/>
                <w:szCs w:val="21"/>
                <w:lang w:val="en-US" w:eastAsia="zh-CN"/>
              </w:rPr>
            </w:pPr>
            <w:r>
              <w:rPr>
                <w:rFonts w:hint="default" w:ascii="Arial" w:hAnsi="Arial" w:eastAsia="宋体" w:cs="Arial"/>
                <w:szCs w:val="21"/>
              </w:rPr>
              <w:t>约</w:t>
            </w:r>
            <w:r>
              <w:rPr>
                <w:rFonts w:hint="default" w:ascii="Arial" w:hAnsi="Arial" w:eastAsia="宋体" w:cs="Arial"/>
                <w:szCs w:val="21"/>
                <w:lang w:val="en-US" w:eastAsia="zh-CN"/>
              </w:rPr>
              <w:t>230</w:t>
            </w:r>
          </w:p>
        </w:tc>
      </w:tr>
    </w:tbl>
    <w:p w14:paraId="7238AC70">
      <w:pPr>
        <w:rPr>
          <w:rFonts w:hint="default" w:ascii="Arial" w:hAnsi="Arial" w:eastAsia="宋体" w:cs="Arial"/>
          <w:kern w:val="0"/>
          <w:sz w:val="24"/>
          <w:szCs w:val="24"/>
        </w:rPr>
      </w:pPr>
      <w:r>
        <w:rPr>
          <w:rFonts w:hint="default" w:ascii="Arial" w:hAnsi="Arial" w:eastAsia="宋体" w:cs="Arial"/>
        </w:rPr>
        <w:drawing>
          <wp:anchor distT="0" distB="0" distL="114300" distR="114300" simplePos="0" relativeHeight="251669504" behindDoc="0" locked="0" layoutInCell="1" allowOverlap="1">
            <wp:simplePos x="0" y="0"/>
            <wp:positionH relativeFrom="column">
              <wp:posOffset>4893945</wp:posOffset>
            </wp:positionH>
            <wp:positionV relativeFrom="paragraph">
              <wp:posOffset>82550</wp:posOffset>
            </wp:positionV>
            <wp:extent cx="293370" cy="290830"/>
            <wp:effectExtent l="0" t="0" r="11430" b="13970"/>
            <wp:wrapNone/>
            <wp:docPr id="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6"/>
                    <pic:cNvPicPr>
                      <a:picLocks noChangeAspect="1"/>
                    </pic:cNvPicPr>
                  </pic:nvPicPr>
                  <pic:blipFill>
                    <a:blip r:embed="rId46"/>
                    <a:stretch>
                      <a:fillRect/>
                    </a:stretch>
                  </pic:blipFill>
                  <pic:spPr>
                    <a:xfrm>
                      <a:off x="0" y="0"/>
                      <a:ext cx="293370" cy="290830"/>
                    </a:xfrm>
                    <a:prstGeom prst="rect">
                      <a:avLst/>
                    </a:prstGeom>
                    <a:noFill/>
                    <a:ln>
                      <a:noFill/>
                    </a:ln>
                  </pic:spPr>
                </pic:pic>
              </a:graphicData>
            </a:graphic>
          </wp:anchor>
        </w:drawing>
      </w:r>
      <w:r>
        <w:rPr>
          <w:rFonts w:hint="default" w:ascii="Arial" w:hAnsi="Arial" w:eastAsia="宋体" w:cs="Arial"/>
          <w:sz w:val="21"/>
        </w:rPr>
        <mc:AlternateContent>
          <mc:Choice Requires="wps">
            <w:drawing>
              <wp:anchor distT="0" distB="0" distL="114300" distR="114300" simplePos="0" relativeHeight="251668480" behindDoc="0" locked="0" layoutInCell="1" allowOverlap="1">
                <wp:simplePos x="0" y="0"/>
                <wp:positionH relativeFrom="column">
                  <wp:posOffset>2032000</wp:posOffset>
                </wp:positionH>
                <wp:positionV relativeFrom="paragraph">
                  <wp:posOffset>1239520</wp:posOffset>
                </wp:positionV>
                <wp:extent cx="1089025" cy="387350"/>
                <wp:effectExtent l="0" t="0" r="0" b="0"/>
                <wp:wrapNone/>
                <wp:docPr id="23" name="文本框 23"/>
                <wp:cNvGraphicFramePr/>
                <a:graphic xmlns:a="http://schemas.openxmlformats.org/drawingml/2006/main">
                  <a:graphicData uri="http://schemas.microsoft.com/office/word/2010/wordprocessingShape">
                    <wps:wsp>
                      <wps:cNvSpPr txBox="1"/>
                      <wps:spPr>
                        <a:xfrm>
                          <a:off x="3283585" y="4739005"/>
                          <a:ext cx="1089025" cy="387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764F3C">
                            <w:pPr>
                              <w:rPr>
                                <w:rFonts w:hint="default" w:eastAsiaTheme="minorEastAsia"/>
                                <w:b/>
                                <w:bCs/>
                                <w:color w:val="FF0000"/>
                                <w:lang w:val="en-US" w:eastAsia="zh-CN"/>
                              </w:rPr>
                            </w:pPr>
                            <w:r>
                              <w:rPr>
                                <w:rFonts w:hint="eastAsia"/>
                                <w:b/>
                                <w:bCs/>
                                <w:color w:val="FF0000"/>
                                <w:lang w:val="en-US" w:eastAsia="zh-CN"/>
                              </w:rPr>
                              <w:t>约230m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pt;margin-top:97.6pt;height:30.5pt;width:85.75pt;z-index:251668480;mso-width-relative:page;mso-height-relative:page;" filled="f" stroked="f" coordsize="21600,21600" o:gfxdata="UEsDBAoAAAAAAIdO4kAAAAAAAAAAAAAAAAAEAAAAZHJzL1BLAwQUAAAACACHTuJAamcLZNsAAAAL&#10;AQAADwAAAGRycy9kb3ducmV2LnhtbE2PTUvDQBCG74L/YRnBm90kmtLGbIoEiiB6aO3F2yQ7TYL7&#10;EbPbD/31jqd6HN6X532mXJ2tEUeawuCdgnSWgCDXej24TsHufX23ABEiOo3GO1LwTQFW1fVViYX2&#10;J7eh4zZ2giEuFKigj3EspAxtTxbDzI/kONv7yWLkc+qknvDEcGtkliRzaXFwvNDjSHVP7ef2YBW8&#10;1Os33DSZXfyY+vl1/zR+7T5ypW5v0uQRRKRzvJThT5/VoWKnxh+cDsIouGc8VzlY5hkIbjws0xxE&#10;oyDL5xnIqpT/f6h+AVBLAwQUAAAACACHTuJAMQwmcEkCAAB0BAAADgAAAGRycy9lMm9Eb2MueG1s&#10;rVRLbtswEN0X6B0I7mvJv/gDy4Ebw0UBowngFl3TFGUJIDksSVtyD9DeIKtuuu+5co4OKTtx0y6y&#10;6IYeckZv+N48enbdKEkOwroKdEa7nZQSoTnkld5l9NPH1ZsxJc4znTMJWmT0KBy9nr9+NavNVPSg&#10;BJkLSxBEu2ltMlp6b6ZJ4ngpFHMdMEJjsgCrmMet3SW5ZTWiK5n00vQqqcHmxgIXzuHpsk3SE6J9&#10;CSAURcXFEvheCe1bVCsk80jJlZVxdB5vWxSC+9uicMITmVFk6uOKTTDehjWZz9h0Z5kpK366AnvJ&#10;FZ5xUqzS2PQRask8I3tb/QWlKm7BQeE7HFTSEomKIItu+kybTcmMiFxQamceRXf/D5Z/ONxZUuUZ&#10;7fUp0UzhxB/uvz/8+PXw8xvBMxSoNm6KdRuDlb55Cw3a5nzu8DDwbgqrwi8yIpjv98b94XhIyTGj&#10;g1F/kqbDVmrReMIDQDqepD0s4FjRH4/6wziL5AnJWOffCVAkBBm1OMqoMDusncdbYem5JDTWsKqk&#10;jOOUmtQZvQqQf2TwC6nxw8CnvXeIfLNtTiS3kB+Ro4XWJs7wVYXN18z5O2bRF+gafDn+FpdCAjaB&#10;U0RJCfbrv85DPY4Ls5TU6LOMui97ZgUl8r3GQU66g0EwZtwMhqMebuxlZnuZ0Xt1A2jlLr5Rw2MY&#10;6r08h4UF9Rkf2CJ0xRTTHHtn1J/DG9+6Hx8oF4tFLEIrGubXemN4gG5FW+w9FFVUOsjUanNSD80Y&#10;B3B6OMHtl/tY9fRnMf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amcLZNsAAAALAQAADwAAAAAA&#10;AAABACAAAAAiAAAAZHJzL2Rvd25yZXYueG1sUEsBAhQAFAAAAAgAh07iQDEMJnBJAgAAdAQAAA4A&#10;AAAAAAAAAQAgAAAAKgEAAGRycy9lMm9Eb2MueG1sUEsFBgAAAAAGAAYAWQEAAOUFAAAAAA==&#10;">
                <v:fill on="f" focussize="0,0"/>
                <v:stroke on="f" weight="0.5pt"/>
                <v:imagedata o:title=""/>
                <o:lock v:ext="edit" aspectratio="f"/>
                <v:textbox>
                  <w:txbxContent>
                    <w:p w14:paraId="49764F3C">
                      <w:pPr>
                        <w:rPr>
                          <w:rFonts w:hint="default" w:eastAsiaTheme="minorEastAsia"/>
                          <w:b/>
                          <w:bCs/>
                          <w:color w:val="FF0000"/>
                          <w:lang w:val="en-US" w:eastAsia="zh-CN"/>
                        </w:rPr>
                      </w:pPr>
                      <w:r>
                        <w:rPr>
                          <w:rFonts w:hint="eastAsia"/>
                          <w:b/>
                          <w:bCs/>
                          <w:color w:val="FF0000"/>
                          <w:lang w:val="en-US" w:eastAsia="zh-CN"/>
                        </w:rPr>
                        <w:t>约230m</w:t>
                      </w:r>
                    </w:p>
                  </w:txbxContent>
                </v:textbox>
              </v:shape>
            </w:pict>
          </mc:Fallback>
        </mc:AlternateContent>
      </w:r>
      <w:r>
        <w:drawing>
          <wp:inline distT="0" distB="0" distL="114300" distR="114300">
            <wp:extent cx="5224780" cy="3973195"/>
            <wp:effectExtent l="0" t="0" r="13970" b="8255"/>
            <wp:docPr id="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7"/>
                    <pic:cNvPicPr>
                      <a:picLocks noChangeAspect="1"/>
                    </pic:cNvPicPr>
                  </pic:nvPicPr>
                  <pic:blipFill>
                    <a:blip r:embed="rId47"/>
                    <a:stretch>
                      <a:fillRect/>
                    </a:stretch>
                  </pic:blipFill>
                  <pic:spPr>
                    <a:xfrm>
                      <a:off x="0" y="0"/>
                      <a:ext cx="5224780" cy="3973195"/>
                    </a:xfrm>
                    <a:prstGeom prst="rect">
                      <a:avLst/>
                    </a:prstGeom>
                    <a:noFill/>
                    <a:ln>
                      <a:noFill/>
                    </a:ln>
                  </pic:spPr>
                </pic:pic>
              </a:graphicData>
            </a:graphic>
          </wp:inline>
        </w:drawing>
      </w:r>
      <w:r>
        <w:rPr>
          <w:rFonts w:hint="default" w:ascii="Arial" w:hAnsi="Arial" w:eastAsia="宋体" w:cs="Arial"/>
          <w:sz w:val="21"/>
        </w:rPr>
        <mc:AlternateContent>
          <mc:Choice Requires="wps">
            <w:drawing>
              <wp:anchor distT="0" distB="0" distL="114300" distR="114300" simplePos="0" relativeHeight="251667456" behindDoc="0" locked="0" layoutInCell="1" allowOverlap="1">
                <wp:simplePos x="0" y="0"/>
                <wp:positionH relativeFrom="column">
                  <wp:posOffset>1646555</wp:posOffset>
                </wp:positionH>
                <wp:positionV relativeFrom="paragraph">
                  <wp:posOffset>1292860</wp:posOffset>
                </wp:positionV>
                <wp:extent cx="535940" cy="417195"/>
                <wp:effectExtent l="0" t="0" r="16510" b="20955"/>
                <wp:wrapNone/>
                <wp:docPr id="22" name="直接箭头连接符 22"/>
                <wp:cNvGraphicFramePr/>
                <a:graphic xmlns:a="http://schemas.openxmlformats.org/drawingml/2006/main">
                  <a:graphicData uri="http://schemas.microsoft.com/office/word/2010/wordprocessingShape">
                    <wps:wsp>
                      <wps:cNvCnPr/>
                      <wps:spPr>
                        <a:xfrm flipH="1" flipV="1">
                          <a:off x="3481070" y="5345430"/>
                          <a:ext cx="535940" cy="417195"/>
                        </a:xfrm>
                        <a:prstGeom prst="straightConnector1">
                          <a:avLst/>
                        </a:prstGeom>
                        <a:ln w="285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29.65pt;margin-top:101.8pt;height:32.85pt;width:42.2pt;z-index:251667456;mso-width-relative:page;mso-height-relative:page;" filled="f" stroked="t" coordsize="21600,21600" o:gfxdata="UEsDBAoAAAAAAIdO4kAAAAAAAAAAAAAAAAAEAAAAZHJzL1BLAwQUAAAACACHTuJA3g7ey9cAAAAL&#10;AQAADwAAAGRycy9kb3ducmV2LnhtbE2PS0/DMBCE70j8B2uRuFG7MQQIcXqoqIR6I+XA0Y2XOGr8&#10;kO0++PcsJ7jt7oxmv2lXFzezE6Y8Ba9guRDA0A/BTH5U8LHb3D0By0V7o+fgUcE3Zlh111etbkw4&#10;+3c89WVkFOJzoxXYUmLDeR4sOp0XIaIn7SskpwutaeQm6TOFu5lXQtTc6cnTB6sjri0Oh/7oFAgp&#10;+/RWv8rduN1+OruJh2odlbq9WYoXYAUv5c8Mv/iEDh0x7cPRm8xmBdXDsyQrDULWwMgh7+UjsD1d&#10;apJ41/L/HbofUEsDBBQAAAAIAIdO4kCpuOm5JQIAAAUEAAAOAAAAZHJzL2Uyb0RvYy54bWytU81u&#10;1DAQviPxDpbvNPsXuo2a7aHLwgFBJX7us46TWPKfxu5m9yV4ASROwAk49c7TQHkMxkkoUC49kEM0&#10;9sx8M98349OzvdFsJzEoZ0s+PZpwJq1wlbJNyV+93DxYchYi2Aq0s7LkBxn42er+vdPOF3LmWqcr&#10;iYxAbCg6X/I2Rl9kWRCtNBCOnJeWnLVDA5GO2GQVQkfoRmezyeRh1jmsPDohQ6Db9eDkIyLeBdDV&#10;tRJy7cSlkTYOqCg1RKIUWuUDX/Xd1rUU8XldBxmZLjkxjf2fipC9Tf9sdQpFg+BbJcYW4C4t3OJk&#10;QFkqegO1hgjsEtU/UEYJdMHV8Ug4kw1EekWIxXRyS5sXLXjZcyGpg78RPfw/WPFsd4FMVSWfzTiz&#10;YGji12+vvr/5cP3l87f3Vz++vkv2p4+M/CRW50NBOef2AsdT8BeYmO9rNKzWyj+hreK99TpZyUc8&#10;2b7k88VyOjkm6Q8lz+eLfDEfByD3kQkKyOf5yYL8ggIW0+PpSZ5qZgN4AvIY4mPpDEtGyUNEUE0b&#10;z521NGqHQznYPQ1xSPyVkJKt2yit6R4KbVlHlJf5cU7VgNa4pvUh03iSItiGM9ANvQ8RsWcQnFZV&#10;Sk/ZAZvtuUa2A9qqzWZC39jnX2Gp9hpCO8T1rhQGhVGRnpBWpuTLlDyqEEHpR7Zi8eBpCoDouhFW&#10;W1IhST+Inaytqw79DPp72o5ep3GT0/r9ee6zf7/e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e&#10;Dt7L1wAAAAsBAAAPAAAAAAAAAAEAIAAAACIAAABkcnMvZG93bnJldi54bWxQSwECFAAUAAAACACH&#10;TuJAqbjpuSUCAAAFBAAADgAAAAAAAAABACAAAAAmAQAAZHJzL2Uyb0RvYy54bWxQSwUGAAAAAAYA&#10;BgBZAQAAvQUAAAAA&#10;">
                <v:fill on="f" focussize="0,0"/>
                <v:stroke weight="2.25pt" color="#FF0000 [3204]" miterlimit="8" joinstyle="miter" endarrow="open"/>
                <v:imagedata o:title=""/>
                <o:lock v:ext="edit" aspectratio="f"/>
              </v:shape>
            </w:pict>
          </mc:Fallback>
        </mc:AlternateContent>
      </w:r>
    </w:p>
    <w:p w14:paraId="0F02CA69">
      <w:pPr>
        <w:autoSpaceDE w:val="0"/>
        <w:autoSpaceDN w:val="0"/>
        <w:spacing w:line="360" w:lineRule="auto"/>
        <w:jc w:val="center"/>
        <w:rPr>
          <w:rFonts w:hint="default" w:ascii="Arial" w:hAnsi="Arial" w:eastAsia="宋体" w:cs="Arial"/>
          <w:b/>
          <w:bCs/>
          <w:sz w:val="24"/>
          <w:szCs w:val="24"/>
        </w:rPr>
      </w:pPr>
      <w:r>
        <w:rPr>
          <w:rFonts w:hint="default" w:ascii="Arial" w:hAnsi="Arial" w:eastAsia="宋体" w:cs="Arial"/>
          <w:b/>
          <w:bCs/>
          <w:sz w:val="24"/>
          <w:szCs w:val="24"/>
        </w:rPr>
        <w:t>图3-1  大气环境保护目标分布图</w:t>
      </w:r>
    </w:p>
    <w:p w14:paraId="779B54AA">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声环境保护目标</w:t>
      </w:r>
    </w:p>
    <w:p w14:paraId="127B480C">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项目厂界外50m范围内无声环境保护目标。</w:t>
      </w:r>
    </w:p>
    <w:p w14:paraId="001C72CA">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地下水环境保护目标</w:t>
      </w:r>
    </w:p>
    <w:p w14:paraId="350F11CB">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项目厂界外500m范围内无地下水集中式饮用水水源和热水、矿泉水、温泉等特殊地下水资源。</w:t>
      </w:r>
    </w:p>
    <w:p w14:paraId="735F375B">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生态环境保护目标</w:t>
      </w:r>
    </w:p>
    <w:p w14:paraId="09641020">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本项目选址位于</w:t>
      </w:r>
      <w:r>
        <w:rPr>
          <w:rFonts w:hint="default" w:ascii="Arial" w:hAnsi="Arial" w:eastAsia="宋体" w:cs="Arial"/>
          <w:sz w:val="24"/>
          <w:szCs w:val="24"/>
        </w:rPr>
        <w:t>浙江省嘉兴市平湖市五洲路</w:t>
      </w:r>
      <w:r>
        <w:rPr>
          <w:rFonts w:hint="default" w:ascii="Arial" w:hAnsi="Arial" w:eastAsia="宋体" w:cs="Arial"/>
          <w:sz w:val="24"/>
          <w:szCs w:val="24"/>
          <w:lang w:val="en-US" w:eastAsia="zh-CN"/>
        </w:rPr>
        <w:t>1268</w:t>
      </w:r>
      <w:r>
        <w:rPr>
          <w:rFonts w:hint="default" w:ascii="Arial" w:hAnsi="Arial" w:eastAsia="宋体" w:cs="Arial"/>
          <w:sz w:val="24"/>
          <w:szCs w:val="24"/>
        </w:rPr>
        <w:t>号</w:t>
      </w:r>
      <w:r>
        <w:rPr>
          <w:rFonts w:hint="default" w:ascii="Arial" w:hAnsi="Arial" w:eastAsia="宋体" w:cs="Arial"/>
          <w:bCs/>
          <w:sz w:val="24"/>
          <w:szCs w:val="24"/>
        </w:rPr>
        <w:t>，租用已建生产厂房进行实施，不涉及生态环境保护目标。</w:t>
      </w:r>
    </w:p>
    <w:p w14:paraId="6E39F875">
      <w:pPr>
        <w:rPr>
          <w:rFonts w:hint="default" w:ascii="Arial" w:hAnsi="Arial" w:eastAsia="宋体" w:cs="Arial"/>
          <w:b/>
          <w:bCs/>
          <w:sz w:val="24"/>
          <w:szCs w:val="24"/>
        </w:rPr>
        <w:sectPr>
          <w:headerReference r:id="rId17"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28B634AB">
      <w:pPr>
        <w:pStyle w:val="76"/>
        <w:numPr>
          <w:ilvl w:val="1"/>
          <w:numId w:val="4"/>
        </w:numPr>
        <w:spacing w:line="360" w:lineRule="auto"/>
        <w:ind w:left="210" w:leftChars="0" w:firstLineChars="0"/>
        <w:outlineLvl w:val="1"/>
        <w:rPr>
          <w:rFonts w:hint="default" w:ascii="Arial" w:hAnsi="Arial" w:eastAsia="宋体" w:cs="Arial"/>
          <w:b/>
          <w:bCs/>
          <w:sz w:val="24"/>
          <w:szCs w:val="24"/>
        </w:rPr>
      </w:pPr>
      <w:r>
        <w:rPr>
          <w:rFonts w:hint="default" w:ascii="Arial" w:hAnsi="Arial" w:eastAsia="宋体" w:cs="Arial"/>
          <w:b/>
          <w:bCs/>
          <w:sz w:val="24"/>
          <w:szCs w:val="24"/>
        </w:rPr>
        <w:t>污染物排放控制标准</w:t>
      </w:r>
    </w:p>
    <w:p w14:paraId="43E7BF88">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废水污染物排放控制标准</w:t>
      </w:r>
    </w:p>
    <w:p w14:paraId="18AA12DD">
      <w:pPr>
        <w:pStyle w:val="76"/>
        <w:spacing w:line="360" w:lineRule="auto"/>
        <w:ind w:firstLine="480" w:firstLineChars="200"/>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sz w:val="24"/>
          <w:szCs w:val="24"/>
        </w:rPr>
        <w:t>项目</w:t>
      </w:r>
      <w:r>
        <w:rPr>
          <w:rFonts w:hint="default" w:ascii="Arial" w:hAnsi="Arial" w:eastAsia="宋体" w:cs="Arial"/>
          <w:bCs/>
          <w:sz w:val="24"/>
          <w:szCs w:val="24"/>
          <w:lang w:val="en-US" w:eastAsia="zh-CN"/>
        </w:rPr>
        <w:t>生产废水、</w:t>
      </w:r>
      <w:r>
        <w:rPr>
          <w:rFonts w:hint="default" w:ascii="Arial" w:hAnsi="Arial" w:eastAsia="宋体" w:cs="Arial"/>
          <w:bCs/>
          <w:sz w:val="24"/>
          <w:szCs w:val="24"/>
        </w:rPr>
        <w:t xml:space="preserve">生活污水纳管标准执行《污水综合排放标准》（GB </w:t>
      </w:r>
      <w:r>
        <w:rPr>
          <w:rFonts w:hint="default" w:ascii="Arial" w:hAnsi="Arial" w:eastAsia="宋体" w:cs="Arial"/>
          <w:bCs/>
          <w:color w:val="auto"/>
          <w:sz w:val="24"/>
          <w:szCs w:val="24"/>
        </w:rPr>
        <w:t>8978-1996</w:t>
      </w:r>
      <w:r>
        <w:rPr>
          <w:rFonts w:hint="default" w:ascii="Arial" w:hAnsi="Arial" w:eastAsia="宋体" w:cs="Arial"/>
          <w:bCs/>
          <w:sz w:val="24"/>
          <w:szCs w:val="24"/>
        </w:rPr>
        <w:t>）三级标准</w:t>
      </w:r>
      <w:r>
        <w:rPr>
          <w:rFonts w:hint="default" w:ascii="Arial" w:hAnsi="Arial" w:eastAsia="宋体" w:cs="Arial"/>
          <w:bCs/>
          <w:sz w:val="24"/>
          <w:szCs w:val="24"/>
          <w:lang w:val="en-US" w:eastAsia="zh-CN"/>
        </w:rPr>
        <w:t>(</w:t>
      </w:r>
      <w:r>
        <w:rPr>
          <w:rFonts w:hint="default" w:ascii="Arial" w:hAnsi="Arial" w:eastAsia="宋体" w:cs="Arial"/>
          <w:bCs/>
          <w:sz w:val="24"/>
          <w:szCs w:val="24"/>
        </w:rPr>
        <w:t>其中NH</w:t>
      </w:r>
      <w:r>
        <w:rPr>
          <w:rFonts w:hint="default" w:ascii="Arial" w:hAnsi="Arial" w:eastAsia="宋体" w:cs="Arial"/>
          <w:bCs/>
          <w:sz w:val="24"/>
          <w:szCs w:val="24"/>
          <w:vertAlign w:val="subscript"/>
        </w:rPr>
        <w:t>3</w:t>
      </w:r>
      <w:r>
        <w:rPr>
          <w:rFonts w:hint="default" w:ascii="Arial" w:hAnsi="Arial" w:eastAsia="宋体" w:cs="Arial"/>
          <w:bCs/>
          <w:sz w:val="24"/>
          <w:szCs w:val="24"/>
        </w:rPr>
        <w:t>-N、TP参照执行《工业企业废水氮、磷污染物间接排放限值》（DB33/887-2013）：35mg/L、8mg/L</w:t>
      </w:r>
      <w:r>
        <w:rPr>
          <w:rFonts w:hint="default" w:ascii="Arial" w:hAnsi="Arial" w:eastAsia="宋体" w:cs="Arial"/>
          <w:bCs/>
          <w:sz w:val="24"/>
          <w:szCs w:val="24"/>
          <w:lang w:val="en-US" w:eastAsia="zh-CN"/>
        </w:rPr>
        <w:t>)、总氮参照执行</w:t>
      </w:r>
      <w:r>
        <w:rPr>
          <w:rFonts w:hint="default" w:ascii="Arial" w:hAnsi="Arial" w:eastAsia="宋体" w:cs="Arial"/>
          <w:spacing w:val="0"/>
          <w:sz w:val="24"/>
          <w:szCs w:val="24"/>
        </w:rPr>
        <w:t>《污水排入下水道水质标准》（GB/T31962-2015）B级标准</w:t>
      </w:r>
      <w:r>
        <w:rPr>
          <w:rFonts w:hint="default" w:ascii="Arial" w:hAnsi="Arial" w:eastAsia="宋体" w:cs="Arial"/>
          <w:bCs/>
          <w:sz w:val="24"/>
          <w:szCs w:val="24"/>
        </w:rPr>
        <w:t>。目前，嘉兴联合污水处理厂出水执行</w:t>
      </w:r>
      <w:bookmarkStart w:id="10" w:name="_Hlk138646621"/>
      <w:r>
        <w:rPr>
          <w:rFonts w:hint="default" w:ascii="Arial" w:hAnsi="Arial" w:eastAsia="宋体" w:cs="Arial"/>
          <w:bCs/>
          <w:sz w:val="24"/>
          <w:szCs w:val="24"/>
        </w:rPr>
        <w:t>《城镇污水处</w:t>
      </w:r>
      <w:r>
        <w:rPr>
          <w:rFonts w:hint="default" w:ascii="Arial" w:hAnsi="Arial" w:eastAsia="宋体" w:cs="Arial"/>
          <w:bCs/>
          <w:color w:val="000000" w:themeColor="text1"/>
          <w:sz w:val="24"/>
          <w:szCs w:val="24"/>
          <w14:textFill>
            <w14:solidFill>
              <w14:schemeClr w14:val="tx1"/>
            </w14:solidFill>
          </w14:textFill>
        </w:rPr>
        <w:t>理厂主要水污染物排放标准》（DB 33/2169-2018）表1标准</w:t>
      </w:r>
      <w:bookmarkEnd w:id="10"/>
      <w:r>
        <w:rPr>
          <w:rFonts w:hint="default" w:ascii="Arial" w:hAnsi="Arial" w:eastAsia="宋体" w:cs="Arial"/>
          <w:bCs/>
          <w:color w:val="000000" w:themeColor="text1"/>
          <w:sz w:val="24"/>
          <w:szCs w:val="24"/>
          <w14:textFill>
            <w14:solidFill>
              <w14:schemeClr w14:val="tx1"/>
            </w14:solidFill>
          </w14:textFill>
        </w:rPr>
        <w:t xml:space="preserve">,省标未规定的执行《城镇污水处理厂污染物排放标准》（GB </w:t>
      </w:r>
      <w:r>
        <w:rPr>
          <w:rFonts w:hint="default" w:ascii="Arial" w:hAnsi="Arial" w:eastAsia="宋体" w:cs="Arial"/>
          <w:bCs/>
          <w:color w:val="000000" w:themeColor="text1"/>
          <w:sz w:val="24"/>
          <w:szCs w:val="24"/>
          <w:lang w:val="en-US" w:eastAsia="zh-CN"/>
          <w14:textFill>
            <w14:solidFill>
              <w14:schemeClr w14:val="tx1"/>
            </w14:solidFill>
          </w14:textFill>
        </w:rPr>
        <w:t>1</w:t>
      </w:r>
      <w:r>
        <w:rPr>
          <w:rFonts w:hint="default" w:ascii="Arial" w:hAnsi="Arial" w:eastAsia="宋体" w:cs="Arial"/>
          <w:bCs/>
          <w:color w:val="000000" w:themeColor="text1"/>
          <w:sz w:val="24"/>
          <w:szCs w:val="24"/>
          <w14:textFill>
            <w14:solidFill>
              <w14:schemeClr w14:val="tx1"/>
            </w14:solidFill>
          </w14:textFill>
        </w:rPr>
        <w:t>8918-2002）中的一级A标准，具体标准值见表3-</w:t>
      </w:r>
      <w:r>
        <w:rPr>
          <w:rFonts w:hint="default" w:ascii="Arial" w:hAnsi="Arial" w:eastAsia="宋体" w:cs="Arial"/>
          <w:bCs/>
          <w:color w:val="000000" w:themeColor="text1"/>
          <w:sz w:val="24"/>
          <w:szCs w:val="24"/>
          <w:lang w:val="en-US" w:eastAsia="zh-CN"/>
          <w14:textFill>
            <w14:solidFill>
              <w14:schemeClr w14:val="tx1"/>
            </w14:solidFill>
          </w14:textFill>
        </w:rPr>
        <w:t>5</w:t>
      </w:r>
      <w:r>
        <w:rPr>
          <w:rFonts w:hint="default" w:ascii="Arial" w:hAnsi="Arial" w:eastAsia="宋体" w:cs="Arial"/>
          <w:bCs/>
          <w:color w:val="000000" w:themeColor="text1"/>
          <w:sz w:val="24"/>
          <w:szCs w:val="24"/>
          <w14:textFill>
            <w14:solidFill>
              <w14:schemeClr w14:val="tx1"/>
            </w14:solidFill>
          </w14:textFill>
        </w:rPr>
        <w:t>。</w:t>
      </w:r>
    </w:p>
    <w:p w14:paraId="054F6801">
      <w:pPr>
        <w:pStyle w:val="76"/>
        <w:numPr>
          <w:ilvl w:val="3"/>
          <w:numId w:val="4"/>
        </w:numPr>
        <w:ind w:left="777" w:leftChars="0" w:firstLine="482" w:firstLineChars="0"/>
        <w:jc w:val="right"/>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 xml:space="preserve">  废水排放标准        单位:mg/L，除pH外</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521"/>
        <w:gridCol w:w="2951"/>
        <w:gridCol w:w="2700"/>
      </w:tblGrid>
      <w:tr w14:paraId="72FD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088CD6B2">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序号</w:t>
            </w:r>
          </w:p>
        </w:tc>
        <w:tc>
          <w:tcPr>
            <w:tcW w:w="1521" w:type="dxa"/>
            <w:vAlign w:val="center"/>
          </w:tcPr>
          <w:p w14:paraId="561ABF9D">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项目</w:t>
            </w:r>
          </w:p>
        </w:tc>
        <w:tc>
          <w:tcPr>
            <w:tcW w:w="2951" w:type="dxa"/>
            <w:vAlign w:val="center"/>
          </w:tcPr>
          <w:p w14:paraId="16A3F4E0">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DB 33/2169-2018表1及GB18918-2002一级A标准</w:t>
            </w:r>
          </w:p>
        </w:tc>
        <w:tc>
          <w:tcPr>
            <w:tcW w:w="2700" w:type="dxa"/>
            <w:vAlign w:val="center"/>
          </w:tcPr>
          <w:p w14:paraId="0A3401EA">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GB8978-1996三级标准</w:t>
            </w:r>
          </w:p>
        </w:tc>
      </w:tr>
      <w:tr w14:paraId="58DD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4B99F0FB">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1</w:t>
            </w:r>
          </w:p>
        </w:tc>
        <w:tc>
          <w:tcPr>
            <w:tcW w:w="1521" w:type="dxa"/>
            <w:vAlign w:val="center"/>
          </w:tcPr>
          <w:p w14:paraId="75CD17CC">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pH值</w:t>
            </w:r>
          </w:p>
        </w:tc>
        <w:tc>
          <w:tcPr>
            <w:tcW w:w="2951" w:type="dxa"/>
            <w:vAlign w:val="center"/>
          </w:tcPr>
          <w:p w14:paraId="790417D7">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6～9</w:t>
            </w:r>
          </w:p>
        </w:tc>
        <w:tc>
          <w:tcPr>
            <w:tcW w:w="2700" w:type="dxa"/>
            <w:vAlign w:val="center"/>
          </w:tcPr>
          <w:p w14:paraId="3D797F25">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6～9</w:t>
            </w:r>
          </w:p>
        </w:tc>
      </w:tr>
      <w:tr w14:paraId="6D42A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5445F48E">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2</w:t>
            </w:r>
          </w:p>
        </w:tc>
        <w:tc>
          <w:tcPr>
            <w:tcW w:w="1521" w:type="dxa"/>
            <w:vAlign w:val="center"/>
          </w:tcPr>
          <w:p w14:paraId="6A29F8A9">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色度</w:t>
            </w:r>
          </w:p>
        </w:tc>
        <w:tc>
          <w:tcPr>
            <w:tcW w:w="2951" w:type="dxa"/>
            <w:vAlign w:val="center"/>
          </w:tcPr>
          <w:p w14:paraId="3F12E9A2">
            <w:pPr>
              <w:adjustRightInd w:val="0"/>
              <w:snapToGrid w:val="0"/>
              <w:jc w:val="center"/>
              <w:rPr>
                <w:rFonts w:hint="default" w:ascii="Arial" w:hAnsi="Arial" w:eastAsia="宋体" w:cs="Arial"/>
                <w:color w:val="000000" w:themeColor="text1"/>
                <w:szCs w:val="20"/>
                <w14:textFill>
                  <w14:solidFill>
                    <w14:schemeClr w14:val="tx1"/>
                  </w14:solidFill>
                </w14:textFill>
              </w:rPr>
            </w:pPr>
            <w:r>
              <w:rPr>
                <w:rFonts w:hint="default" w:ascii="Arial" w:hAnsi="Arial" w:eastAsia="宋体" w:cs="Arial"/>
                <w:color w:val="000000" w:themeColor="text1"/>
                <w:szCs w:val="20"/>
                <w14:textFill>
                  <w14:solidFill>
                    <w14:schemeClr w14:val="tx1"/>
                  </w14:solidFill>
                </w14:textFill>
              </w:rPr>
              <w:t>30</w:t>
            </w:r>
          </w:p>
        </w:tc>
        <w:tc>
          <w:tcPr>
            <w:tcW w:w="2700" w:type="dxa"/>
            <w:vAlign w:val="center"/>
          </w:tcPr>
          <w:p w14:paraId="2445C447">
            <w:pPr>
              <w:adjustRightInd w:val="0"/>
              <w:snapToGrid w:val="0"/>
              <w:ind w:firstLine="1155" w:firstLineChars="550"/>
              <w:rPr>
                <w:rFonts w:hint="default" w:ascii="Arial" w:hAnsi="Arial" w:eastAsia="宋体" w:cs="Arial"/>
                <w:color w:val="000000" w:themeColor="text1"/>
                <w:szCs w:val="20"/>
                <w14:textFill>
                  <w14:solidFill>
                    <w14:schemeClr w14:val="tx1"/>
                  </w14:solidFill>
                </w14:textFill>
              </w:rPr>
            </w:pPr>
            <w:r>
              <w:rPr>
                <w:rFonts w:hint="default" w:ascii="Arial" w:hAnsi="Arial" w:eastAsia="宋体" w:cs="Arial"/>
                <w:color w:val="000000" w:themeColor="text1"/>
                <w:szCs w:val="20"/>
                <w14:textFill>
                  <w14:solidFill>
                    <w14:schemeClr w14:val="tx1"/>
                  </w14:solidFill>
                </w14:textFill>
              </w:rPr>
              <w:t>－</w:t>
            </w:r>
          </w:p>
        </w:tc>
      </w:tr>
      <w:tr w14:paraId="065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1CE3D972">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3</w:t>
            </w:r>
          </w:p>
        </w:tc>
        <w:tc>
          <w:tcPr>
            <w:tcW w:w="1521" w:type="dxa"/>
            <w:vAlign w:val="center"/>
          </w:tcPr>
          <w:p w14:paraId="167B732A">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SS</w:t>
            </w:r>
          </w:p>
        </w:tc>
        <w:tc>
          <w:tcPr>
            <w:tcW w:w="2951" w:type="dxa"/>
            <w:vAlign w:val="center"/>
          </w:tcPr>
          <w:p w14:paraId="46C924DD">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10</w:t>
            </w:r>
          </w:p>
        </w:tc>
        <w:tc>
          <w:tcPr>
            <w:tcW w:w="2700" w:type="dxa"/>
            <w:vAlign w:val="center"/>
          </w:tcPr>
          <w:p w14:paraId="390F2848">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400</w:t>
            </w:r>
          </w:p>
        </w:tc>
      </w:tr>
      <w:tr w14:paraId="3F5E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7348BA1E">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4</w:t>
            </w:r>
          </w:p>
        </w:tc>
        <w:tc>
          <w:tcPr>
            <w:tcW w:w="1521" w:type="dxa"/>
            <w:vAlign w:val="center"/>
          </w:tcPr>
          <w:p w14:paraId="1950201E">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BOD</w:t>
            </w:r>
            <w:r>
              <w:rPr>
                <w:rFonts w:hint="default" w:ascii="Arial" w:hAnsi="Arial" w:eastAsia="宋体" w:cs="Arial"/>
                <w:color w:val="000000" w:themeColor="text1"/>
                <w:szCs w:val="21"/>
                <w:vertAlign w:val="subscript"/>
                <w14:textFill>
                  <w14:solidFill>
                    <w14:schemeClr w14:val="tx1"/>
                  </w14:solidFill>
                </w14:textFill>
              </w:rPr>
              <w:t>5</w:t>
            </w:r>
          </w:p>
        </w:tc>
        <w:tc>
          <w:tcPr>
            <w:tcW w:w="2951" w:type="dxa"/>
            <w:vAlign w:val="center"/>
          </w:tcPr>
          <w:p w14:paraId="1B4A38C4">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10</w:t>
            </w:r>
          </w:p>
        </w:tc>
        <w:tc>
          <w:tcPr>
            <w:tcW w:w="2700" w:type="dxa"/>
            <w:vAlign w:val="center"/>
          </w:tcPr>
          <w:p w14:paraId="3B32FCA7">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300</w:t>
            </w:r>
          </w:p>
        </w:tc>
      </w:tr>
      <w:tr w14:paraId="0D4A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1601395C">
            <w:pPr>
              <w:adjustRightInd w:val="0"/>
              <w:snapToGrid w:val="0"/>
              <w:jc w:val="center"/>
              <w:rPr>
                <w:rFonts w:hint="default" w:ascii="Arial" w:hAnsi="Arial" w:eastAsia="宋体" w:cs="Arial"/>
                <w:szCs w:val="21"/>
              </w:rPr>
            </w:pPr>
            <w:r>
              <w:rPr>
                <w:rFonts w:hint="default" w:ascii="Arial" w:hAnsi="Arial" w:eastAsia="宋体" w:cs="Arial"/>
                <w:szCs w:val="21"/>
              </w:rPr>
              <w:t>5</w:t>
            </w:r>
          </w:p>
        </w:tc>
        <w:tc>
          <w:tcPr>
            <w:tcW w:w="1521" w:type="dxa"/>
            <w:vAlign w:val="center"/>
          </w:tcPr>
          <w:p w14:paraId="436ADCC5">
            <w:pPr>
              <w:adjustRightInd w:val="0"/>
              <w:snapToGrid w:val="0"/>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tc>
        <w:tc>
          <w:tcPr>
            <w:tcW w:w="2951" w:type="dxa"/>
            <w:vAlign w:val="center"/>
          </w:tcPr>
          <w:p w14:paraId="6FF0A458">
            <w:pPr>
              <w:adjustRightInd w:val="0"/>
              <w:snapToGrid w:val="0"/>
              <w:jc w:val="center"/>
              <w:rPr>
                <w:rFonts w:hint="default" w:ascii="Arial" w:hAnsi="Arial" w:eastAsia="宋体" w:cs="Arial"/>
                <w:szCs w:val="21"/>
              </w:rPr>
            </w:pPr>
            <w:r>
              <w:rPr>
                <w:rFonts w:hint="default" w:ascii="Arial" w:hAnsi="Arial" w:eastAsia="宋体" w:cs="Arial"/>
                <w:szCs w:val="21"/>
              </w:rPr>
              <w:t>40※</w:t>
            </w:r>
          </w:p>
        </w:tc>
        <w:tc>
          <w:tcPr>
            <w:tcW w:w="2700" w:type="dxa"/>
            <w:vAlign w:val="center"/>
          </w:tcPr>
          <w:p w14:paraId="2BAC0D02">
            <w:pPr>
              <w:adjustRightInd w:val="0"/>
              <w:snapToGrid w:val="0"/>
              <w:jc w:val="center"/>
              <w:rPr>
                <w:rFonts w:hint="default" w:ascii="Arial" w:hAnsi="Arial" w:eastAsia="宋体" w:cs="Arial"/>
                <w:szCs w:val="21"/>
              </w:rPr>
            </w:pPr>
            <w:r>
              <w:rPr>
                <w:rFonts w:hint="default" w:ascii="Arial" w:hAnsi="Arial" w:eastAsia="宋体" w:cs="Arial"/>
                <w:szCs w:val="21"/>
              </w:rPr>
              <w:t>500</w:t>
            </w:r>
          </w:p>
        </w:tc>
      </w:tr>
      <w:tr w14:paraId="50995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6690706E">
            <w:pPr>
              <w:adjustRightInd w:val="0"/>
              <w:snapToGrid w:val="0"/>
              <w:jc w:val="center"/>
              <w:rPr>
                <w:rFonts w:hint="default" w:ascii="Arial" w:hAnsi="Arial" w:eastAsia="宋体" w:cs="Arial"/>
                <w:szCs w:val="21"/>
              </w:rPr>
            </w:pPr>
            <w:r>
              <w:rPr>
                <w:rFonts w:hint="default" w:ascii="Arial" w:hAnsi="Arial" w:eastAsia="宋体" w:cs="Arial"/>
                <w:szCs w:val="21"/>
              </w:rPr>
              <w:t>6</w:t>
            </w:r>
          </w:p>
        </w:tc>
        <w:tc>
          <w:tcPr>
            <w:tcW w:w="1521" w:type="dxa"/>
            <w:vAlign w:val="center"/>
          </w:tcPr>
          <w:p w14:paraId="69E0D5C4">
            <w:pPr>
              <w:adjustRightInd w:val="0"/>
              <w:snapToGrid w:val="0"/>
              <w:jc w:val="center"/>
              <w:rPr>
                <w:rFonts w:hint="default" w:ascii="Arial" w:hAnsi="Arial" w:eastAsia="宋体" w:cs="Arial"/>
                <w:szCs w:val="21"/>
              </w:rPr>
            </w:pPr>
            <w:r>
              <w:rPr>
                <w:rFonts w:hint="default" w:ascii="Arial" w:hAnsi="Arial" w:eastAsia="宋体" w:cs="Arial"/>
                <w:szCs w:val="21"/>
              </w:rPr>
              <w:t>氨氮</w:t>
            </w:r>
          </w:p>
        </w:tc>
        <w:tc>
          <w:tcPr>
            <w:tcW w:w="2951" w:type="dxa"/>
            <w:vAlign w:val="center"/>
          </w:tcPr>
          <w:p w14:paraId="221C4743">
            <w:pPr>
              <w:adjustRightInd w:val="0"/>
              <w:snapToGrid w:val="0"/>
              <w:jc w:val="center"/>
              <w:rPr>
                <w:rFonts w:hint="default" w:ascii="Arial" w:hAnsi="Arial" w:eastAsia="宋体" w:cs="Arial"/>
                <w:szCs w:val="21"/>
              </w:rPr>
            </w:pPr>
            <w:r>
              <w:rPr>
                <w:rFonts w:hint="default" w:ascii="Arial" w:hAnsi="Arial" w:eastAsia="宋体" w:cs="Arial"/>
                <w:szCs w:val="21"/>
              </w:rPr>
              <w:t>2（4）※</w:t>
            </w:r>
          </w:p>
        </w:tc>
        <w:tc>
          <w:tcPr>
            <w:tcW w:w="2700" w:type="dxa"/>
            <w:vAlign w:val="center"/>
          </w:tcPr>
          <w:p w14:paraId="0E8823BC">
            <w:pPr>
              <w:adjustRightInd w:val="0"/>
              <w:snapToGrid w:val="0"/>
              <w:jc w:val="center"/>
              <w:rPr>
                <w:rFonts w:hint="default" w:ascii="Arial" w:hAnsi="Arial" w:eastAsia="宋体" w:cs="Arial"/>
                <w:szCs w:val="21"/>
              </w:rPr>
            </w:pPr>
            <w:r>
              <w:rPr>
                <w:rFonts w:hint="default" w:ascii="Arial" w:hAnsi="Arial" w:eastAsia="宋体" w:cs="Arial"/>
                <w:szCs w:val="21"/>
              </w:rPr>
              <w:t>35*</w:t>
            </w:r>
          </w:p>
        </w:tc>
      </w:tr>
      <w:tr w14:paraId="15DC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72D399E6">
            <w:pPr>
              <w:adjustRightInd w:val="0"/>
              <w:snapToGrid w:val="0"/>
              <w:jc w:val="center"/>
              <w:rPr>
                <w:rFonts w:hint="default" w:ascii="Arial" w:hAnsi="Arial" w:eastAsia="宋体" w:cs="Arial"/>
                <w:szCs w:val="21"/>
              </w:rPr>
            </w:pPr>
            <w:r>
              <w:rPr>
                <w:rFonts w:hint="default" w:ascii="Arial" w:hAnsi="Arial" w:eastAsia="宋体" w:cs="Arial"/>
                <w:szCs w:val="21"/>
              </w:rPr>
              <w:t>7</w:t>
            </w:r>
          </w:p>
        </w:tc>
        <w:tc>
          <w:tcPr>
            <w:tcW w:w="1521" w:type="dxa"/>
            <w:vAlign w:val="center"/>
          </w:tcPr>
          <w:p w14:paraId="343B58D4">
            <w:pPr>
              <w:adjustRightInd w:val="0"/>
              <w:snapToGrid w:val="0"/>
              <w:jc w:val="center"/>
              <w:rPr>
                <w:rFonts w:hint="default" w:ascii="Arial" w:hAnsi="Arial" w:eastAsia="宋体" w:cs="Arial"/>
                <w:szCs w:val="21"/>
              </w:rPr>
            </w:pPr>
            <w:r>
              <w:rPr>
                <w:rFonts w:hint="default" w:ascii="Arial" w:hAnsi="Arial" w:eastAsia="宋体" w:cs="Arial"/>
                <w:szCs w:val="21"/>
              </w:rPr>
              <w:t>总氮</w:t>
            </w:r>
          </w:p>
        </w:tc>
        <w:tc>
          <w:tcPr>
            <w:tcW w:w="2951" w:type="dxa"/>
            <w:vAlign w:val="center"/>
          </w:tcPr>
          <w:p w14:paraId="503A48CE">
            <w:pPr>
              <w:adjustRightInd w:val="0"/>
              <w:snapToGrid w:val="0"/>
              <w:jc w:val="center"/>
              <w:rPr>
                <w:rFonts w:hint="default" w:ascii="Arial" w:hAnsi="Arial" w:eastAsia="宋体" w:cs="Arial"/>
                <w:szCs w:val="21"/>
              </w:rPr>
            </w:pPr>
            <w:r>
              <w:rPr>
                <w:rFonts w:hint="default" w:ascii="Arial" w:hAnsi="Arial" w:eastAsia="宋体" w:cs="Arial"/>
                <w:szCs w:val="21"/>
              </w:rPr>
              <w:t>12（15）※</w:t>
            </w:r>
          </w:p>
        </w:tc>
        <w:tc>
          <w:tcPr>
            <w:tcW w:w="2700" w:type="dxa"/>
            <w:vAlign w:val="center"/>
          </w:tcPr>
          <w:p w14:paraId="6A45EBEF">
            <w:pPr>
              <w:adjustRightInd w:val="0"/>
              <w:snapToGrid w:val="0"/>
              <w:jc w:val="center"/>
              <w:rPr>
                <w:rFonts w:hint="default" w:ascii="Arial" w:hAnsi="Arial" w:eastAsia="宋体" w:cs="Arial"/>
                <w:szCs w:val="21"/>
                <w:lang w:val="en-US"/>
              </w:rPr>
            </w:pPr>
            <w:r>
              <w:rPr>
                <w:rFonts w:hint="default" w:ascii="Arial" w:hAnsi="Arial" w:eastAsia="宋体" w:cs="Arial"/>
                <w:szCs w:val="21"/>
                <w:lang w:val="en-US" w:eastAsia="zh-CN"/>
              </w:rPr>
              <w:t>70</w:t>
            </w:r>
          </w:p>
        </w:tc>
      </w:tr>
      <w:tr w14:paraId="64EC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5D6753C7">
            <w:pPr>
              <w:adjustRightInd w:val="0"/>
              <w:snapToGrid w:val="0"/>
              <w:jc w:val="center"/>
              <w:rPr>
                <w:rFonts w:hint="default" w:ascii="Arial" w:hAnsi="Arial" w:eastAsia="宋体" w:cs="Arial"/>
                <w:szCs w:val="21"/>
              </w:rPr>
            </w:pPr>
            <w:r>
              <w:rPr>
                <w:rFonts w:hint="default" w:ascii="Arial" w:hAnsi="Arial" w:eastAsia="宋体" w:cs="Arial"/>
                <w:szCs w:val="21"/>
              </w:rPr>
              <w:t>8</w:t>
            </w:r>
          </w:p>
        </w:tc>
        <w:tc>
          <w:tcPr>
            <w:tcW w:w="1521" w:type="dxa"/>
            <w:vAlign w:val="center"/>
          </w:tcPr>
          <w:p w14:paraId="4B6623A8">
            <w:pPr>
              <w:adjustRightInd w:val="0"/>
              <w:snapToGrid w:val="0"/>
              <w:jc w:val="center"/>
              <w:rPr>
                <w:rFonts w:hint="default" w:ascii="Arial" w:hAnsi="Arial" w:eastAsia="宋体" w:cs="Arial"/>
                <w:szCs w:val="21"/>
              </w:rPr>
            </w:pPr>
            <w:r>
              <w:rPr>
                <w:rFonts w:hint="default" w:ascii="Arial" w:hAnsi="Arial" w:eastAsia="宋体" w:cs="Arial"/>
                <w:szCs w:val="21"/>
              </w:rPr>
              <w:t>TP</w:t>
            </w:r>
          </w:p>
        </w:tc>
        <w:tc>
          <w:tcPr>
            <w:tcW w:w="2951" w:type="dxa"/>
            <w:vAlign w:val="center"/>
          </w:tcPr>
          <w:p w14:paraId="651A578C">
            <w:pPr>
              <w:adjustRightInd w:val="0"/>
              <w:snapToGrid w:val="0"/>
              <w:jc w:val="center"/>
              <w:rPr>
                <w:rFonts w:hint="default" w:ascii="Arial" w:hAnsi="Arial" w:eastAsia="宋体" w:cs="Arial"/>
                <w:szCs w:val="21"/>
              </w:rPr>
            </w:pPr>
            <w:r>
              <w:rPr>
                <w:rFonts w:hint="default" w:ascii="Arial" w:hAnsi="Arial" w:eastAsia="宋体" w:cs="Arial"/>
                <w:szCs w:val="21"/>
              </w:rPr>
              <w:t>0.3※</w:t>
            </w:r>
          </w:p>
        </w:tc>
        <w:tc>
          <w:tcPr>
            <w:tcW w:w="2700" w:type="dxa"/>
            <w:vAlign w:val="center"/>
          </w:tcPr>
          <w:p w14:paraId="4604D5EB">
            <w:pPr>
              <w:adjustRightInd w:val="0"/>
              <w:snapToGrid w:val="0"/>
              <w:jc w:val="center"/>
              <w:rPr>
                <w:rFonts w:hint="default" w:ascii="Arial" w:hAnsi="Arial" w:eastAsia="宋体" w:cs="Arial"/>
                <w:szCs w:val="21"/>
              </w:rPr>
            </w:pPr>
            <w:r>
              <w:rPr>
                <w:rFonts w:hint="default" w:ascii="Arial" w:hAnsi="Arial" w:eastAsia="宋体" w:cs="Arial"/>
                <w:szCs w:val="21"/>
              </w:rPr>
              <w:t>8*</w:t>
            </w:r>
          </w:p>
        </w:tc>
      </w:tr>
      <w:tr w14:paraId="0AC8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5" w:type="dxa"/>
            <w:vAlign w:val="center"/>
          </w:tcPr>
          <w:p w14:paraId="68D9E256">
            <w:pPr>
              <w:adjustRightInd w:val="0"/>
              <w:snapToGrid w:val="0"/>
              <w:jc w:val="center"/>
              <w:rPr>
                <w:rFonts w:hint="default" w:ascii="Arial" w:hAnsi="Arial" w:eastAsia="宋体" w:cs="Arial"/>
                <w:szCs w:val="21"/>
              </w:rPr>
            </w:pPr>
            <w:r>
              <w:rPr>
                <w:rFonts w:hint="default" w:ascii="Arial" w:hAnsi="Arial" w:eastAsia="宋体" w:cs="Arial"/>
                <w:szCs w:val="21"/>
              </w:rPr>
              <w:t>9</w:t>
            </w:r>
          </w:p>
        </w:tc>
        <w:tc>
          <w:tcPr>
            <w:tcW w:w="1521" w:type="dxa"/>
            <w:shd w:val="clear" w:color="auto" w:fill="auto"/>
            <w:vAlign w:val="center"/>
          </w:tcPr>
          <w:p w14:paraId="7436B2E7">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石油类</w:t>
            </w:r>
          </w:p>
        </w:tc>
        <w:tc>
          <w:tcPr>
            <w:tcW w:w="2951" w:type="dxa"/>
            <w:shd w:val="clear" w:color="auto" w:fill="auto"/>
            <w:vAlign w:val="center"/>
          </w:tcPr>
          <w:p w14:paraId="30532341">
            <w:pPr>
              <w:adjustRightInd w:val="0"/>
              <w:snapToGrid w:val="0"/>
              <w:jc w:val="center"/>
              <w:rPr>
                <w:rFonts w:hint="default" w:ascii="Arial" w:hAnsi="Arial" w:eastAsia="宋体" w:cs="Arial"/>
                <w:kern w:val="2"/>
                <w:sz w:val="21"/>
                <w:szCs w:val="20"/>
                <w:lang w:val="en-US" w:eastAsia="zh-CN" w:bidi="ar-SA"/>
              </w:rPr>
            </w:pPr>
            <w:r>
              <w:rPr>
                <w:rFonts w:hint="default" w:ascii="Arial" w:hAnsi="Arial" w:eastAsia="宋体" w:cs="Arial"/>
                <w:szCs w:val="20"/>
              </w:rPr>
              <w:t>1</w:t>
            </w:r>
          </w:p>
        </w:tc>
        <w:tc>
          <w:tcPr>
            <w:tcW w:w="2700" w:type="dxa"/>
            <w:shd w:val="clear" w:color="auto" w:fill="auto"/>
            <w:vAlign w:val="center"/>
          </w:tcPr>
          <w:p w14:paraId="18DBBF65">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20</w:t>
            </w:r>
          </w:p>
        </w:tc>
      </w:tr>
      <w:tr w14:paraId="3413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37" w:type="dxa"/>
            <w:gridSpan w:val="4"/>
            <w:vAlign w:val="center"/>
          </w:tcPr>
          <w:p w14:paraId="4C4709D1">
            <w:pPr>
              <w:adjustRightInd w:val="0"/>
              <w:snapToGrid w:val="0"/>
              <w:rPr>
                <w:rFonts w:hint="default" w:ascii="Arial" w:hAnsi="Arial" w:eastAsia="宋体" w:cs="Arial"/>
                <w:szCs w:val="21"/>
              </w:rPr>
            </w:pPr>
            <w:r>
              <w:rPr>
                <w:rFonts w:hint="default" w:ascii="Arial" w:hAnsi="Arial" w:eastAsia="宋体" w:cs="Arial"/>
                <w:szCs w:val="21"/>
              </w:rPr>
              <w:t>注*：氨氮（NH</w:t>
            </w:r>
            <w:r>
              <w:rPr>
                <w:rFonts w:hint="default" w:ascii="Arial" w:hAnsi="Arial" w:eastAsia="宋体" w:cs="Arial"/>
                <w:szCs w:val="21"/>
                <w:vertAlign w:val="subscript"/>
              </w:rPr>
              <w:t>3</w:t>
            </w:r>
            <w:r>
              <w:rPr>
                <w:rFonts w:hint="default" w:ascii="Arial" w:hAnsi="Arial" w:eastAsia="宋体" w:cs="Arial"/>
                <w:szCs w:val="21"/>
              </w:rPr>
              <w:t>-N）、TP执行《工业企业废水氮、磷污染物间接排放限值》（DB 33/887—2013）。</w:t>
            </w:r>
          </w:p>
          <w:p w14:paraId="02A35B2C">
            <w:pPr>
              <w:adjustRightInd w:val="0"/>
              <w:snapToGrid w:val="0"/>
              <w:rPr>
                <w:rFonts w:hint="default" w:ascii="Arial" w:hAnsi="Arial" w:eastAsia="宋体" w:cs="Arial"/>
                <w:szCs w:val="21"/>
              </w:rPr>
            </w:pPr>
            <w:r>
              <w:rPr>
                <w:rFonts w:hint="default" w:ascii="Arial" w:hAnsi="Arial" w:eastAsia="宋体" w:cs="Arial"/>
                <w:szCs w:val="21"/>
              </w:rPr>
              <w:t>注※：COD</w:t>
            </w:r>
            <w:r>
              <w:rPr>
                <w:rFonts w:hint="default" w:ascii="Arial" w:hAnsi="Arial" w:eastAsia="宋体" w:cs="Arial"/>
                <w:szCs w:val="21"/>
                <w:vertAlign w:val="subscript"/>
              </w:rPr>
              <w:t>Cr</w:t>
            </w:r>
            <w:r>
              <w:rPr>
                <w:rFonts w:hint="default" w:ascii="Arial" w:hAnsi="Arial" w:eastAsia="宋体" w:cs="Arial"/>
                <w:szCs w:val="21"/>
              </w:rPr>
              <w:t>、氨氮、总氮、TP执行《城镇污水处理厂主要水污染物排放标准》（DB 33/2169-2018）表1标准。</w:t>
            </w:r>
          </w:p>
          <w:p w14:paraId="79F92B12">
            <w:pPr>
              <w:adjustRightInd w:val="0"/>
              <w:snapToGrid w:val="0"/>
              <w:rPr>
                <w:rFonts w:hint="default" w:ascii="Arial" w:hAnsi="Arial" w:eastAsia="宋体" w:cs="Arial"/>
                <w:szCs w:val="21"/>
              </w:rPr>
            </w:pPr>
            <w:r>
              <w:rPr>
                <w:rFonts w:hint="default" w:ascii="Arial" w:hAnsi="Arial" w:eastAsia="宋体" w:cs="Arial"/>
                <w:szCs w:val="21"/>
              </w:rPr>
              <w:t>注：括号内数值为每年11月1日至次年3月31日执行</w:t>
            </w:r>
          </w:p>
        </w:tc>
      </w:tr>
    </w:tbl>
    <w:p w14:paraId="75C66E78">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lang w:val="en-US" w:eastAsia="zh-CN"/>
        </w:rPr>
        <w:t>大气污染物排放控制标准</w:t>
      </w:r>
    </w:p>
    <w:p w14:paraId="61B81847">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outlineLvl w:val="2"/>
        <w:rPr>
          <w:rFonts w:hint="default" w:ascii="Arial" w:hAnsi="Arial" w:eastAsia="宋体" w:cs="Arial"/>
          <w:b w:val="0"/>
          <w:bCs w:val="0"/>
          <w:sz w:val="24"/>
          <w:szCs w:val="24"/>
          <w:lang w:eastAsia="zh-CN"/>
        </w:rPr>
      </w:pPr>
      <w:r>
        <w:rPr>
          <w:rFonts w:hint="default" w:ascii="Arial" w:hAnsi="Arial" w:eastAsia="宋体" w:cs="Arial"/>
          <w:b w:val="0"/>
          <w:bCs w:val="0"/>
          <w:sz w:val="24"/>
          <w:szCs w:val="24"/>
        </w:rPr>
        <w:t>企业厂区内挥发性有机物无组织排放限值执行《挥发性有机物无组织排放控制标准》（GB37822-2019）；企业边界非甲烷总烃</w:t>
      </w:r>
      <w:r>
        <w:rPr>
          <w:rFonts w:hint="default" w:ascii="Arial" w:hAnsi="Arial" w:eastAsia="宋体" w:cs="Arial"/>
          <w:b w:val="0"/>
          <w:bCs w:val="0"/>
          <w:sz w:val="24"/>
          <w:szCs w:val="24"/>
          <w:lang w:eastAsia="zh-CN"/>
        </w:rPr>
        <w:t>、</w:t>
      </w:r>
      <w:r>
        <w:rPr>
          <w:rFonts w:hint="default" w:ascii="Arial" w:hAnsi="Arial" w:eastAsia="宋体" w:cs="Arial"/>
          <w:b w:val="0"/>
          <w:bCs w:val="0"/>
          <w:sz w:val="24"/>
          <w:szCs w:val="24"/>
        </w:rPr>
        <w:t>颗粒物无组织排放监控浓度限值执行《大气污染物综合排放标准》（GB 16297-1996）二级标准</w:t>
      </w:r>
      <w:r>
        <w:rPr>
          <w:rFonts w:hint="default" w:ascii="Arial" w:hAnsi="Arial" w:eastAsia="宋体" w:cs="Arial"/>
          <w:b w:val="0"/>
          <w:bCs w:val="0"/>
          <w:sz w:val="24"/>
          <w:szCs w:val="24"/>
          <w:lang w:eastAsia="zh-CN"/>
        </w:rPr>
        <w:t>。</w:t>
      </w:r>
    </w:p>
    <w:p w14:paraId="2A55B77C">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283" w:leftChars="0" w:firstLine="480" w:firstLineChars="200"/>
        <w:textAlignment w:val="auto"/>
        <w:outlineLvl w:val="2"/>
        <w:rPr>
          <w:rFonts w:hint="default" w:ascii="Arial" w:hAnsi="Arial" w:eastAsia="宋体" w:cs="Arial"/>
          <w:b w:val="0"/>
          <w:bCs w:val="0"/>
          <w:sz w:val="24"/>
          <w:szCs w:val="24"/>
          <w:lang w:eastAsia="zh-CN"/>
        </w:rPr>
      </w:pPr>
    </w:p>
    <w:p w14:paraId="56FB7E3F">
      <w:pPr>
        <w:pStyle w:val="76"/>
        <w:numPr>
          <w:ilvl w:val="3"/>
          <w:numId w:val="4"/>
        </w:numPr>
        <w:spacing w:line="360" w:lineRule="auto"/>
        <w:ind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无组织废气排放标准</w:t>
      </w:r>
    </w:p>
    <w:tbl>
      <w:tblPr>
        <w:tblStyle w:val="52"/>
        <w:tblW w:w="79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28" w:type="dxa"/>
          <w:left w:w="113" w:type="dxa"/>
          <w:bottom w:w="28" w:type="dxa"/>
          <w:right w:w="113" w:type="dxa"/>
        </w:tblCellMar>
      </w:tblPr>
      <w:tblGrid>
        <w:gridCol w:w="1261"/>
        <w:gridCol w:w="857"/>
        <w:gridCol w:w="851"/>
        <w:gridCol w:w="1082"/>
        <w:gridCol w:w="2066"/>
        <w:gridCol w:w="1821"/>
      </w:tblGrid>
      <w:tr w14:paraId="60D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tblHeader/>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4EA8D743">
            <w:pPr>
              <w:adjustRightInd w:val="0"/>
              <w:snapToGrid w:val="0"/>
              <w:jc w:val="center"/>
              <w:rPr>
                <w:rFonts w:hint="default" w:ascii="Arial" w:hAnsi="Arial" w:eastAsia="宋体" w:cs="Arial"/>
                <w:szCs w:val="21"/>
              </w:rPr>
            </w:pPr>
            <w:r>
              <w:rPr>
                <w:rFonts w:hint="default" w:ascii="Arial" w:hAnsi="Arial" w:eastAsia="宋体" w:cs="Arial"/>
                <w:szCs w:val="21"/>
              </w:rPr>
              <w:t>污染物</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4785D980">
            <w:pPr>
              <w:adjustRightInd w:val="0"/>
              <w:snapToGrid w:val="0"/>
              <w:jc w:val="center"/>
              <w:rPr>
                <w:rFonts w:hint="default" w:ascii="Arial" w:hAnsi="Arial" w:eastAsia="宋体" w:cs="Arial"/>
                <w:szCs w:val="21"/>
              </w:rPr>
            </w:pPr>
            <w:r>
              <w:rPr>
                <w:rFonts w:hint="default" w:ascii="Arial" w:hAnsi="Arial" w:eastAsia="宋体" w:cs="Arial"/>
                <w:szCs w:val="21"/>
              </w:rPr>
              <w:t>单位</w:t>
            </w:r>
          </w:p>
        </w:tc>
        <w:tc>
          <w:tcPr>
            <w:tcW w:w="851" w:type="dxa"/>
            <w:tcBorders>
              <w:top w:val="single" w:color="auto" w:sz="6" w:space="0"/>
              <w:left w:val="nil"/>
              <w:bottom w:val="single" w:color="auto" w:sz="6" w:space="0"/>
              <w:right w:val="single" w:color="auto" w:sz="6" w:space="0"/>
            </w:tcBorders>
            <w:noWrap w:val="0"/>
            <w:vAlign w:val="center"/>
          </w:tcPr>
          <w:p w14:paraId="3255DB46">
            <w:pPr>
              <w:adjustRightInd w:val="0"/>
              <w:snapToGrid w:val="0"/>
              <w:jc w:val="center"/>
              <w:rPr>
                <w:rFonts w:hint="default" w:ascii="Arial" w:hAnsi="Arial" w:eastAsia="宋体" w:cs="Arial"/>
                <w:szCs w:val="21"/>
              </w:rPr>
            </w:pPr>
            <w:r>
              <w:rPr>
                <w:rFonts w:hint="default" w:ascii="Arial" w:hAnsi="Arial" w:eastAsia="宋体" w:cs="Arial"/>
                <w:szCs w:val="21"/>
              </w:rPr>
              <w:t>限值</w:t>
            </w:r>
          </w:p>
        </w:tc>
        <w:tc>
          <w:tcPr>
            <w:tcW w:w="1082" w:type="dxa"/>
            <w:tcBorders>
              <w:top w:val="single" w:color="auto" w:sz="6" w:space="0"/>
              <w:left w:val="single" w:color="auto" w:sz="6" w:space="0"/>
              <w:bottom w:val="single" w:color="auto" w:sz="6" w:space="0"/>
              <w:right w:val="single" w:color="auto" w:sz="4" w:space="0"/>
            </w:tcBorders>
            <w:noWrap w:val="0"/>
            <w:vAlign w:val="center"/>
          </w:tcPr>
          <w:p w14:paraId="5C6324B9">
            <w:pPr>
              <w:adjustRightInd w:val="0"/>
              <w:snapToGrid w:val="0"/>
              <w:jc w:val="center"/>
              <w:rPr>
                <w:rFonts w:hint="default" w:ascii="Arial" w:hAnsi="Arial" w:eastAsia="宋体" w:cs="Arial"/>
                <w:szCs w:val="21"/>
              </w:rPr>
            </w:pPr>
            <w:r>
              <w:rPr>
                <w:rFonts w:hint="default" w:ascii="Arial" w:hAnsi="Arial" w:eastAsia="宋体" w:cs="Arial"/>
                <w:szCs w:val="21"/>
              </w:rPr>
              <w:t>监控位置</w:t>
            </w:r>
          </w:p>
        </w:tc>
        <w:tc>
          <w:tcPr>
            <w:tcW w:w="2066" w:type="dxa"/>
            <w:tcBorders>
              <w:top w:val="single" w:color="auto" w:sz="6" w:space="0"/>
              <w:left w:val="single" w:color="auto" w:sz="4" w:space="0"/>
              <w:bottom w:val="single" w:color="auto" w:sz="6" w:space="0"/>
              <w:right w:val="single" w:color="auto" w:sz="4" w:space="0"/>
            </w:tcBorders>
            <w:noWrap w:val="0"/>
            <w:vAlign w:val="center"/>
          </w:tcPr>
          <w:p w14:paraId="1CC56FC0">
            <w:pPr>
              <w:adjustRightInd w:val="0"/>
              <w:snapToGrid w:val="0"/>
              <w:jc w:val="center"/>
              <w:rPr>
                <w:rFonts w:hint="default" w:ascii="Arial" w:hAnsi="Arial" w:eastAsia="宋体" w:cs="Arial"/>
                <w:szCs w:val="21"/>
              </w:rPr>
            </w:pPr>
            <w:r>
              <w:rPr>
                <w:rFonts w:hint="default" w:ascii="Arial" w:hAnsi="Arial" w:eastAsia="宋体" w:cs="Arial"/>
                <w:szCs w:val="21"/>
              </w:rPr>
              <w:t>限值含义</w:t>
            </w:r>
          </w:p>
        </w:tc>
        <w:tc>
          <w:tcPr>
            <w:tcW w:w="1821" w:type="dxa"/>
            <w:tcBorders>
              <w:top w:val="single" w:color="auto" w:sz="6" w:space="0"/>
              <w:left w:val="single" w:color="auto" w:sz="4" w:space="0"/>
              <w:bottom w:val="single" w:color="auto" w:sz="6" w:space="0"/>
              <w:right w:val="single" w:color="auto" w:sz="6" w:space="0"/>
            </w:tcBorders>
            <w:noWrap w:val="0"/>
            <w:vAlign w:val="center"/>
          </w:tcPr>
          <w:p w14:paraId="166A6BF4">
            <w:pPr>
              <w:adjustRightInd w:val="0"/>
              <w:snapToGrid w:val="0"/>
              <w:jc w:val="center"/>
              <w:rPr>
                <w:rFonts w:hint="default" w:ascii="Arial" w:hAnsi="Arial" w:eastAsia="宋体" w:cs="Arial"/>
                <w:szCs w:val="21"/>
              </w:rPr>
            </w:pPr>
            <w:r>
              <w:rPr>
                <w:rFonts w:hint="default" w:ascii="Arial" w:hAnsi="Arial" w:eastAsia="宋体" w:cs="Arial"/>
                <w:szCs w:val="21"/>
              </w:rPr>
              <w:t>排放标准</w:t>
            </w:r>
          </w:p>
        </w:tc>
      </w:tr>
      <w:tr w14:paraId="19FEE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vMerge w:val="restart"/>
            <w:tcBorders>
              <w:top w:val="single" w:color="auto" w:sz="6" w:space="0"/>
              <w:left w:val="single" w:color="auto" w:sz="6" w:space="0"/>
              <w:right w:val="single" w:color="auto" w:sz="6" w:space="0"/>
            </w:tcBorders>
            <w:noWrap w:val="0"/>
            <w:vAlign w:val="center"/>
          </w:tcPr>
          <w:p w14:paraId="5ECA1FFF">
            <w:pPr>
              <w:adjustRightInd w:val="0"/>
              <w:snapToGrid w:val="0"/>
              <w:jc w:val="center"/>
              <w:rPr>
                <w:rFonts w:hint="default" w:ascii="Arial" w:hAnsi="Arial" w:eastAsia="宋体" w:cs="Arial"/>
                <w:szCs w:val="21"/>
              </w:rPr>
            </w:pPr>
            <w:r>
              <w:rPr>
                <w:rFonts w:hint="default" w:ascii="Arial" w:hAnsi="Arial" w:eastAsia="宋体" w:cs="Arial"/>
                <w:szCs w:val="21"/>
              </w:rPr>
              <w:t>NHMC</w:t>
            </w:r>
          </w:p>
        </w:tc>
        <w:tc>
          <w:tcPr>
            <w:tcW w:w="857" w:type="dxa"/>
            <w:vMerge w:val="restart"/>
            <w:tcBorders>
              <w:top w:val="single" w:color="auto" w:sz="6" w:space="0"/>
              <w:left w:val="single" w:color="auto" w:sz="6" w:space="0"/>
              <w:right w:val="single" w:color="auto" w:sz="4" w:space="0"/>
            </w:tcBorders>
            <w:noWrap w:val="0"/>
            <w:vAlign w:val="center"/>
          </w:tcPr>
          <w:p w14:paraId="4D2FB34E">
            <w:pPr>
              <w:adjustRightInd w:val="0"/>
              <w:snapToGrid w:val="0"/>
              <w:jc w:val="center"/>
              <w:rPr>
                <w:rFonts w:hint="default" w:ascii="Arial" w:hAnsi="Arial" w:eastAsia="宋体" w:cs="Arial"/>
                <w:szCs w:val="21"/>
              </w:rPr>
            </w:pPr>
            <w:r>
              <w:rPr>
                <w:rFonts w:hint="default" w:ascii="Arial" w:hAnsi="Arial" w:eastAsia="宋体" w:cs="Arial"/>
                <w:szCs w:val="21"/>
              </w:rPr>
              <w:t>mg/m³</w:t>
            </w:r>
          </w:p>
        </w:tc>
        <w:tc>
          <w:tcPr>
            <w:tcW w:w="851" w:type="dxa"/>
            <w:tcBorders>
              <w:top w:val="single" w:color="auto" w:sz="6" w:space="0"/>
              <w:left w:val="nil"/>
              <w:bottom w:val="single" w:color="auto" w:sz="6" w:space="0"/>
              <w:right w:val="single" w:color="auto" w:sz="6" w:space="0"/>
            </w:tcBorders>
            <w:noWrap w:val="0"/>
            <w:vAlign w:val="center"/>
          </w:tcPr>
          <w:p w14:paraId="388DE680">
            <w:pPr>
              <w:adjustRightInd w:val="0"/>
              <w:snapToGrid w:val="0"/>
              <w:jc w:val="center"/>
              <w:rPr>
                <w:rFonts w:hint="default" w:ascii="Arial" w:hAnsi="Arial" w:eastAsia="宋体" w:cs="Arial"/>
                <w:szCs w:val="21"/>
              </w:rPr>
            </w:pPr>
            <w:r>
              <w:rPr>
                <w:rFonts w:hint="default" w:ascii="Arial" w:hAnsi="Arial" w:eastAsia="宋体" w:cs="Arial"/>
                <w:szCs w:val="21"/>
              </w:rPr>
              <w:t>6</w:t>
            </w:r>
          </w:p>
        </w:tc>
        <w:tc>
          <w:tcPr>
            <w:tcW w:w="1082" w:type="dxa"/>
            <w:vMerge w:val="restart"/>
            <w:tcBorders>
              <w:top w:val="single" w:color="auto" w:sz="6" w:space="0"/>
              <w:left w:val="single" w:color="auto" w:sz="6" w:space="0"/>
              <w:right w:val="single" w:color="auto" w:sz="4" w:space="0"/>
            </w:tcBorders>
            <w:noWrap w:val="0"/>
            <w:vAlign w:val="center"/>
          </w:tcPr>
          <w:p w14:paraId="2E6752C4">
            <w:pPr>
              <w:adjustRightInd w:val="0"/>
              <w:snapToGrid w:val="0"/>
              <w:jc w:val="center"/>
              <w:rPr>
                <w:rFonts w:hint="default" w:ascii="Arial" w:hAnsi="Arial" w:eastAsia="宋体" w:cs="Arial"/>
                <w:szCs w:val="21"/>
              </w:rPr>
            </w:pPr>
            <w:r>
              <w:rPr>
                <w:rFonts w:hint="default" w:ascii="Arial" w:hAnsi="Arial" w:eastAsia="宋体" w:cs="Arial"/>
                <w:szCs w:val="21"/>
              </w:rPr>
              <w:t>在厂房外设置监控点</w:t>
            </w:r>
          </w:p>
        </w:tc>
        <w:tc>
          <w:tcPr>
            <w:tcW w:w="2066" w:type="dxa"/>
            <w:tcBorders>
              <w:top w:val="single" w:color="auto" w:sz="6" w:space="0"/>
              <w:left w:val="single" w:color="auto" w:sz="4" w:space="0"/>
              <w:bottom w:val="single" w:color="auto" w:sz="6" w:space="0"/>
              <w:right w:val="single" w:color="auto" w:sz="4" w:space="0"/>
            </w:tcBorders>
            <w:noWrap w:val="0"/>
            <w:vAlign w:val="center"/>
          </w:tcPr>
          <w:p w14:paraId="4267B683">
            <w:pPr>
              <w:adjustRightInd w:val="0"/>
              <w:snapToGrid w:val="0"/>
              <w:jc w:val="center"/>
              <w:rPr>
                <w:rFonts w:hint="default" w:ascii="Arial" w:hAnsi="Arial" w:eastAsia="宋体" w:cs="Arial"/>
                <w:szCs w:val="21"/>
              </w:rPr>
            </w:pPr>
            <w:r>
              <w:rPr>
                <w:rFonts w:hint="default" w:ascii="Arial" w:hAnsi="Arial" w:eastAsia="宋体" w:cs="Arial"/>
                <w:szCs w:val="21"/>
              </w:rPr>
              <w:t>监控点处1小时平均浓度限值</w:t>
            </w:r>
          </w:p>
        </w:tc>
        <w:tc>
          <w:tcPr>
            <w:tcW w:w="1821" w:type="dxa"/>
            <w:vMerge w:val="restart"/>
            <w:tcBorders>
              <w:top w:val="single" w:color="auto" w:sz="6" w:space="0"/>
              <w:left w:val="single" w:color="auto" w:sz="4" w:space="0"/>
              <w:right w:val="single" w:color="auto" w:sz="6" w:space="0"/>
            </w:tcBorders>
            <w:noWrap w:val="0"/>
            <w:vAlign w:val="center"/>
          </w:tcPr>
          <w:p w14:paraId="0AA528CB">
            <w:pPr>
              <w:adjustRightInd w:val="0"/>
              <w:snapToGrid w:val="0"/>
              <w:jc w:val="center"/>
              <w:rPr>
                <w:rFonts w:hint="default" w:ascii="Arial" w:hAnsi="Arial" w:eastAsia="宋体" w:cs="Arial"/>
                <w:szCs w:val="21"/>
              </w:rPr>
            </w:pPr>
            <w:r>
              <w:rPr>
                <w:rFonts w:hint="default" w:ascii="Arial" w:hAnsi="Arial" w:eastAsia="宋体" w:cs="Arial"/>
                <w:szCs w:val="21"/>
              </w:rPr>
              <w:t>GB37822-2019</w:t>
            </w:r>
          </w:p>
        </w:tc>
      </w:tr>
      <w:tr w14:paraId="52A5C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vMerge w:val="continue"/>
            <w:tcBorders>
              <w:left w:val="single" w:color="auto" w:sz="6" w:space="0"/>
              <w:bottom w:val="single" w:color="auto" w:sz="6" w:space="0"/>
              <w:right w:val="single" w:color="auto" w:sz="6" w:space="0"/>
            </w:tcBorders>
            <w:noWrap w:val="0"/>
            <w:vAlign w:val="center"/>
          </w:tcPr>
          <w:p w14:paraId="163CA476">
            <w:pPr>
              <w:adjustRightInd w:val="0"/>
              <w:snapToGrid w:val="0"/>
              <w:jc w:val="center"/>
              <w:rPr>
                <w:rFonts w:hint="default" w:ascii="Arial" w:hAnsi="Arial" w:eastAsia="宋体" w:cs="Arial"/>
                <w:szCs w:val="21"/>
              </w:rPr>
            </w:pPr>
          </w:p>
        </w:tc>
        <w:tc>
          <w:tcPr>
            <w:tcW w:w="857" w:type="dxa"/>
            <w:vMerge w:val="continue"/>
            <w:tcBorders>
              <w:left w:val="single" w:color="auto" w:sz="6" w:space="0"/>
              <w:bottom w:val="single" w:color="auto" w:sz="6" w:space="0"/>
              <w:right w:val="single" w:color="auto" w:sz="4" w:space="0"/>
            </w:tcBorders>
            <w:noWrap w:val="0"/>
            <w:vAlign w:val="center"/>
          </w:tcPr>
          <w:p w14:paraId="2C129DC4">
            <w:pPr>
              <w:adjustRightInd w:val="0"/>
              <w:snapToGrid w:val="0"/>
              <w:jc w:val="center"/>
              <w:rPr>
                <w:rFonts w:hint="default" w:ascii="Arial" w:hAnsi="Arial" w:eastAsia="宋体" w:cs="Arial"/>
                <w:szCs w:val="21"/>
              </w:rPr>
            </w:pPr>
          </w:p>
        </w:tc>
        <w:tc>
          <w:tcPr>
            <w:tcW w:w="851" w:type="dxa"/>
            <w:tcBorders>
              <w:top w:val="single" w:color="auto" w:sz="6" w:space="0"/>
              <w:left w:val="nil"/>
              <w:bottom w:val="single" w:color="auto" w:sz="6" w:space="0"/>
              <w:right w:val="single" w:color="auto" w:sz="6" w:space="0"/>
            </w:tcBorders>
            <w:noWrap w:val="0"/>
            <w:vAlign w:val="center"/>
          </w:tcPr>
          <w:p w14:paraId="01737F33">
            <w:pPr>
              <w:adjustRightInd w:val="0"/>
              <w:snapToGrid w:val="0"/>
              <w:jc w:val="center"/>
              <w:rPr>
                <w:rFonts w:hint="default" w:ascii="Arial" w:hAnsi="Arial" w:eastAsia="宋体" w:cs="Arial"/>
                <w:szCs w:val="21"/>
              </w:rPr>
            </w:pPr>
            <w:r>
              <w:rPr>
                <w:rFonts w:hint="default" w:ascii="Arial" w:hAnsi="Arial" w:eastAsia="宋体" w:cs="Arial"/>
                <w:szCs w:val="21"/>
              </w:rPr>
              <w:t>20</w:t>
            </w:r>
          </w:p>
        </w:tc>
        <w:tc>
          <w:tcPr>
            <w:tcW w:w="1082" w:type="dxa"/>
            <w:vMerge w:val="continue"/>
            <w:tcBorders>
              <w:left w:val="single" w:color="auto" w:sz="6" w:space="0"/>
              <w:bottom w:val="single" w:color="auto" w:sz="6" w:space="0"/>
              <w:right w:val="single" w:color="auto" w:sz="4" w:space="0"/>
            </w:tcBorders>
            <w:noWrap w:val="0"/>
            <w:vAlign w:val="center"/>
          </w:tcPr>
          <w:p w14:paraId="730CDE4E">
            <w:pPr>
              <w:adjustRightInd w:val="0"/>
              <w:snapToGrid w:val="0"/>
              <w:jc w:val="center"/>
              <w:rPr>
                <w:rFonts w:hint="default" w:ascii="Arial" w:hAnsi="Arial" w:eastAsia="宋体" w:cs="Arial"/>
                <w:szCs w:val="21"/>
              </w:rPr>
            </w:pPr>
          </w:p>
        </w:tc>
        <w:tc>
          <w:tcPr>
            <w:tcW w:w="2066" w:type="dxa"/>
            <w:tcBorders>
              <w:top w:val="single" w:color="auto" w:sz="6" w:space="0"/>
              <w:left w:val="single" w:color="auto" w:sz="4" w:space="0"/>
              <w:bottom w:val="single" w:color="auto" w:sz="6" w:space="0"/>
              <w:right w:val="single" w:color="auto" w:sz="4" w:space="0"/>
            </w:tcBorders>
            <w:noWrap w:val="0"/>
            <w:vAlign w:val="center"/>
          </w:tcPr>
          <w:p w14:paraId="57647960">
            <w:pPr>
              <w:adjustRightInd w:val="0"/>
              <w:snapToGrid w:val="0"/>
              <w:jc w:val="center"/>
              <w:rPr>
                <w:rFonts w:hint="default" w:ascii="Arial" w:hAnsi="Arial" w:eastAsia="宋体" w:cs="Arial"/>
                <w:szCs w:val="21"/>
              </w:rPr>
            </w:pPr>
            <w:r>
              <w:rPr>
                <w:rFonts w:hint="default" w:ascii="Arial" w:hAnsi="Arial" w:eastAsia="宋体" w:cs="Arial"/>
                <w:szCs w:val="21"/>
              </w:rPr>
              <w:t>监控点处任意一次浓度值</w:t>
            </w:r>
          </w:p>
        </w:tc>
        <w:tc>
          <w:tcPr>
            <w:tcW w:w="1821" w:type="dxa"/>
            <w:vMerge w:val="continue"/>
            <w:tcBorders>
              <w:left w:val="single" w:color="auto" w:sz="4" w:space="0"/>
              <w:right w:val="single" w:color="auto" w:sz="6" w:space="0"/>
            </w:tcBorders>
            <w:noWrap w:val="0"/>
            <w:vAlign w:val="center"/>
          </w:tcPr>
          <w:p w14:paraId="64AFD743">
            <w:pPr>
              <w:adjustRightInd w:val="0"/>
              <w:snapToGrid w:val="0"/>
              <w:jc w:val="center"/>
              <w:rPr>
                <w:rFonts w:hint="default" w:ascii="Arial" w:hAnsi="Arial" w:eastAsia="宋体" w:cs="Arial"/>
                <w:szCs w:val="21"/>
              </w:rPr>
            </w:pPr>
          </w:p>
        </w:tc>
      </w:tr>
      <w:tr w14:paraId="0A5C5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173DF6EB">
            <w:pPr>
              <w:adjustRightInd w:val="0"/>
              <w:snapToGrid w:val="0"/>
              <w:jc w:val="center"/>
              <w:rPr>
                <w:rFonts w:hint="default" w:ascii="Arial" w:hAnsi="Arial" w:eastAsia="宋体" w:cs="Arial"/>
                <w:szCs w:val="21"/>
              </w:rPr>
            </w:pPr>
            <w:r>
              <w:rPr>
                <w:rFonts w:hint="default" w:ascii="Arial" w:hAnsi="Arial" w:eastAsia="宋体" w:cs="Arial"/>
                <w:szCs w:val="21"/>
              </w:rPr>
              <w:t>NHMC</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47DD3A8A">
            <w:pPr>
              <w:adjustRightInd w:val="0"/>
              <w:snapToGrid w:val="0"/>
              <w:jc w:val="center"/>
              <w:rPr>
                <w:rFonts w:hint="default" w:ascii="Arial" w:hAnsi="Arial" w:eastAsia="宋体" w:cs="Arial"/>
                <w:szCs w:val="21"/>
              </w:rPr>
            </w:pPr>
            <w:r>
              <w:rPr>
                <w:rFonts w:hint="default" w:ascii="Arial" w:hAnsi="Arial" w:eastAsia="宋体" w:cs="Arial"/>
                <w:szCs w:val="21"/>
              </w:rPr>
              <w:t>mg/m³</w:t>
            </w:r>
          </w:p>
        </w:tc>
        <w:tc>
          <w:tcPr>
            <w:tcW w:w="851" w:type="dxa"/>
            <w:tcBorders>
              <w:top w:val="single" w:color="auto" w:sz="6" w:space="0"/>
              <w:left w:val="nil"/>
              <w:bottom w:val="single" w:color="auto" w:sz="6" w:space="0"/>
              <w:right w:val="single" w:color="auto" w:sz="6" w:space="0"/>
            </w:tcBorders>
            <w:noWrap w:val="0"/>
            <w:vAlign w:val="center"/>
          </w:tcPr>
          <w:p w14:paraId="07CDD2F5">
            <w:pPr>
              <w:adjustRightInd w:val="0"/>
              <w:snapToGrid w:val="0"/>
              <w:jc w:val="center"/>
              <w:rPr>
                <w:rFonts w:hint="default" w:ascii="Arial" w:hAnsi="Arial" w:eastAsia="宋体" w:cs="Arial"/>
                <w:szCs w:val="21"/>
              </w:rPr>
            </w:pPr>
            <w:r>
              <w:rPr>
                <w:rFonts w:hint="default" w:ascii="Arial" w:hAnsi="Arial" w:eastAsia="宋体" w:cs="Arial"/>
                <w:szCs w:val="21"/>
              </w:rPr>
              <w:t>4.0</w:t>
            </w:r>
          </w:p>
        </w:tc>
        <w:tc>
          <w:tcPr>
            <w:tcW w:w="1082" w:type="dxa"/>
            <w:vMerge w:val="restart"/>
            <w:tcBorders>
              <w:top w:val="single" w:color="auto" w:sz="6" w:space="0"/>
              <w:left w:val="single" w:color="auto" w:sz="6" w:space="0"/>
              <w:right w:val="single" w:color="auto" w:sz="4" w:space="0"/>
            </w:tcBorders>
            <w:noWrap w:val="0"/>
            <w:vAlign w:val="center"/>
          </w:tcPr>
          <w:p w14:paraId="34F1C5D3">
            <w:pPr>
              <w:adjustRightInd w:val="0"/>
              <w:snapToGrid w:val="0"/>
              <w:jc w:val="center"/>
              <w:rPr>
                <w:rFonts w:hint="default" w:ascii="Arial" w:hAnsi="Arial" w:eastAsia="宋体" w:cs="Arial"/>
                <w:szCs w:val="21"/>
              </w:rPr>
            </w:pPr>
            <w:r>
              <w:rPr>
                <w:rFonts w:hint="default" w:ascii="Arial" w:hAnsi="Arial" w:eastAsia="宋体" w:cs="Arial"/>
                <w:szCs w:val="21"/>
              </w:rPr>
              <w:t>周界外浓度最高点</w:t>
            </w:r>
          </w:p>
        </w:tc>
        <w:tc>
          <w:tcPr>
            <w:tcW w:w="2066" w:type="dxa"/>
            <w:tcBorders>
              <w:top w:val="single" w:color="auto" w:sz="6" w:space="0"/>
              <w:left w:val="single" w:color="auto" w:sz="4" w:space="0"/>
              <w:bottom w:val="single" w:color="auto" w:sz="6" w:space="0"/>
              <w:right w:val="single" w:color="auto" w:sz="4" w:space="0"/>
            </w:tcBorders>
            <w:noWrap w:val="0"/>
            <w:vAlign w:val="center"/>
          </w:tcPr>
          <w:p w14:paraId="72C221F0">
            <w:pPr>
              <w:adjustRightInd w:val="0"/>
              <w:snapToGrid w:val="0"/>
              <w:jc w:val="center"/>
              <w:rPr>
                <w:rFonts w:hint="default" w:ascii="Arial" w:hAnsi="Arial" w:eastAsia="宋体" w:cs="Arial"/>
                <w:szCs w:val="21"/>
              </w:rPr>
            </w:pPr>
            <w:r>
              <w:rPr>
                <w:rFonts w:hint="default" w:ascii="Arial" w:hAnsi="Arial" w:eastAsia="宋体" w:cs="Arial"/>
                <w:szCs w:val="21"/>
              </w:rPr>
              <w:t>1小时平均浓度限值</w:t>
            </w:r>
          </w:p>
        </w:tc>
        <w:tc>
          <w:tcPr>
            <w:tcW w:w="1821" w:type="dxa"/>
            <w:vMerge w:val="restart"/>
            <w:tcBorders>
              <w:left w:val="single" w:color="auto" w:sz="4" w:space="0"/>
              <w:right w:val="single" w:color="auto" w:sz="6" w:space="0"/>
            </w:tcBorders>
            <w:noWrap w:val="0"/>
            <w:vAlign w:val="center"/>
          </w:tcPr>
          <w:p w14:paraId="471DE9E2">
            <w:pPr>
              <w:adjustRightInd w:val="0"/>
              <w:snapToGrid w:val="0"/>
              <w:jc w:val="both"/>
              <w:rPr>
                <w:rFonts w:hint="default" w:ascii="Arial" w:hAnsi="Arial" w:eastAsia="宋体" w:cs="Arial"/>
                <w:szCs w:val="21"/>
              </w:rPr>
            </w:pPr>
            <w:r>
              <w:rPr>
                <w:rFonts w:hint="default" w:ascii="Arial" w:hAnsi="Arial" w:eastAsia="宋体" w:cs="Arial"/>
                <w:szCs w:val="21"/>
              </w:rPr>
              <w:t>GB 16297-1996</w:t>
            </w:r>
          </w:p>
        </w:tc>
      </w:tr>
      <w:tr w14:paraId="61856D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28" w:type="dxa"/>
            <w:left w:w="113" w:type="dxa"/>
            <w:bottom w:w="28" w:type="dxa"/>
            <w:right w:w="113" w:type="dxa"/>
          </w:tblCellMar>
        </w:tblPrEx>
        <w:trPr>
          <w:cantSplit/>
          <w:jc w:val="center"/>
        </w:trPr>
        <w:tc>
          <w:tcPr>
            <w:tcW w:w="1261" w:type="dxa"/>
            <w:tcBorders>
              <w:top w:val="single" w:color="auto" w:sz="6" w:space="0"/>
              <w:left w:val="single" w:color="auto" w:sz="6" w:space="0"/>
              <w:bottom w:val="single" w:color="auto" w:sz="6" w:space="0"/>
              <w:right w:val="single" w:color="auto" w:sz="6" w:space="0"/>
            </w:tcBorders>
            <w:noWrap w:val="0"/>
            <w:vAlign w:val="center"/>
          </w:tcPr>
          <w:p w14:paraId="2289596D">
            <w:pPr>
              <w:adjustRightInd w:val="0"/>
              <w:snapToGrid w:val="0"/>
              <w:jc w:val="center"/>
              <w:rPr>
                <w:rFonts w:hint="default" w:ascii="Arial" w:hAnsi="Arial" w:eastAsia="宋体" w:cs="Arial"/>
                <w:szCs w:val="21"/>
              </w:rPr>
            </w:pPr>
            <w:r>
              <w:rPr>
                <w:rFonts w:hint="default" w:ascii="Arial" w:hAnsi="Arial" w:eastAsia="宋体" w:cs="Arial"/>
                <w:szCs w:val="21"/>
              </w:rPr>
              <w:t>颗粒物</w:t>
            </w:r>
          </w:p>
        </w:tc>
        <w:tc>
          <w:tcPr>
            <w:tcW w:w="857" w:type="dxa"/>
            <w:tcBorders>
              <w:top w:val="single" w:color="auto" w:sz="6" w:space="0"/>
              <w:left w:val="single" w:color="auto" w:sz="6" w:space="0"/>
              <w:bottom w:val="single" w:color="auto" w:sz="6" w:space="0"/>
              <w:right w:val="single" w:color="auto" w:sz="4" w:space="0"/>
            </w:tcBorders>
            <w:noWrap w:val="0"/>
            <w:vAlign w:val="center"/>
          </w:tcPr>
          <w:p w14:paraId="34D99243">
            <w:pPr>
              <w:adjustRightInd w:val="0"/>
              <w:snapToGrid w:val="0"/>
              <w:jc w:val="center"/>
              <w:rPr>
                <w:rFonts w:hint="default" w:ascii="Arial" w:hAnsi="Arial" w:eastAsia="宋体" w:cs="Arial"/>
                <w:szCs w:val="21"/>
              </w:rPr>
            </w:pPr>
            <w:r>
              <w:rPr>
                <w:rFonts w:hint="default" w:ascii="Arial" w:hAnsi="Arial" w:eastAsia="宋体" w:cs="Arial"/>
                <w:szCs w:val="21"/>
              </w:rPr>
              <w:t>mg/m³</w:t>
            </w:r>
          </w:p>
        </w:tc>
        <w:tc>
          <w:tcPr>
            <w:tcW w:w="851" w:type="dxa"/>
            <w:tcBorders>
              <w:top w:val="single" w:color="auto" w:sz="6" w:space="0"/>
              <w:left w:val="nil"/>
              <w:bottom w:val="single" w:color="auto" w:sz="6" w:space="0"/>
              <w:right w:val="single" w:color="auto" w:sz="6" w:space="0"/>
            </w:tcBorders>
            <w:noWrap w:val="0"/>
            <w:vAlign w:val="center"/>
          </w:tcPr>
          <w:p w14:paraId="74DE8B4F">
            <w:pPr>
              <w:adjustRightInd w:val="0"/>
              <w:snapToGrid w:val="0"/>
              <w:jc w:val="center"/>
              <w:rPr>
                <w:rFonts w:hint="default" w:ascii="Arial" w:hAnsi="Arial" w:eastAsia="宋体" w:cs="Arial"/>
                <w:szCs w:val="21"/>
              </w:rPr>
            </w:pPr>
            <w:r>
              <w:rPr>
                <w:rFonts w:hint="default" w:ascii="Arial" w:hAnsi="Arial" w:eastAsia="宋体" w:cs="Arial"/>
                <w:szCs w:val="21"/>
              </w:rPr>
              <w:t>1.0</w:t>
            </w:r>
          </w:p>
        </w:tc>
        <w:tc>
          <w:tcPr>
            <w:tcW w:w="1082" w:type="dxa"/>
            <w:vMerge w:val="continue"/>
            <w:tcBorders>
              <w:left w:val="single" w:color="auto" w:sz="6" w:space="0"/>
              <w:right w:val="single" w:color="auto" w:sz="4" w:space="0"/>
            </w:tcBorders>
            <w:noWrap w:val="0"/>
            <w:vAlign w:val="center"/>
          </w:tcPr>
          <w:p w14:paraId="2C625B2B">
            <w:pPr>
              <w:adjustRightInd w:val="0"/>
              <w:snapToGrid w:val="0"/>
              <w:jc w:val="center"/>
              <w:rPr>
                <w:rFonts w:hint="default" w:ascii="Arial" w:hAnsi="Arial" w:eastAsia="宋体" w:cs="Arial"/>
                <w:szCs w:val="21"/>
              </w:rPr>
            </w:pPr>
          </w:p>
        </w:tc>
        <w:tc>
          <w:tcPr>
            <w:tcW w:w="2066" w:type="dxa"/>
            <w:tcBorders>
              <w:top w:val="single" w:color="auto" w:sz="6" w:space="0"/>
              <w:left w:val="single" w:color="auto" w:sz="4" w:space="0"/>
              <w:bottom w:val="single" w:color="auto" w:sz="6" w:space="0"/>
              <w:right w:val="single" w:color="auto" w:sz="4" w:space="0"/>
            </w:tcBorders>
            <w:noWrap w:val="0"/>
            <w:vAlign w:val="center"/>
          </w:tcPr>
          <w:p w14:paraId="569AB300">
            <w:pPr>
              <w:adjustRightInd w:val="0"/>
              <w:snapToGrid w:val="0"/>
              <w:jc w:val="center"/>
              <w:rPr>
                <w:rFonts w:hint="default" w:ascii="Arial" w:hAnsi="Arial" w:eastAsia="宋体" w:cs="Arial"/>
                <w:szCs w:val="21"/>
              </w:rPr>
            </w:pPr>
            <w:r>
              <w:rPr>
                <w:rFonts w:hint="default" w:ascii="Arial" w:hAnsi="Arial" w:eastAsia="宋体" w:cs="Arial"/>
                <w:szCs w:val="21"/>
              </w:rPr>
              <w:t>1小时平均浓度限值</w:t>
            </w:r>
          </w:p>
        </w:tc>
        <w:tc>
          <w:tcPr>
            <w:tcW w:w="1821" w:type="dxa"/>
            <w:vMerge w:val="continue"/>
            <w:tcBorders>
              <w:left w:val="single" w:color="auto" w:sz="4" w:space="0"/>
              <w:bottom w:val="single" w:color="auto" w:sz="6" w:space="0"/>
              <w:right w:val="single" w:color="auto" w:sz="6" w:space="0"/>
            </w:tcBorders>
            <w:noWrap w:val="0"/>
            <w:vAlign w:val="center"/>
          </w:tcPr>
          <w:p w14:paraId="077FDE21">
            <w:pPr>
              <w:adjustRightInd w:val="0"/>
              <w:snapToGrid w:val="0"/>
              <w:jc w:val="center"/>
              <w:rPr>
                <w:rFonts w:hint="default" w:ascii="Arial" w:hAnsi="Arial" w:eastAsia="宋体" w:cs="Arial"/>
                <w:szCs w:val="21"/>
              </w:rPr>
            </w:pPr>
          </w:p>
        </w:tc>
      </w:tr>
    </w:tbl>
    <w:p w14:paraId="64E69FEE">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噪声排放控制标准</w:t>
      </w:r>
    </w:p>
    <w:p w14:paraId="03D477FE">
      <w:pPr>
        <w:spacing w:line="360" w:lineRule="auto"/>
        <w:ind w:firstLine="480" w:firstLineChars="200"/>
        <w:rPr>
          <w:rFonts w:hint="default" w:ascii="Arial" w:hAnsi="Arial" w:eastAsia="宋体" w:cs="Arial"/>
          <w:bCs/>
          <w:sz w:val="24"/>
          <w:szCs w:val="24"/>
        </w:rPr>
      </w:pPr>
      <w:r>
        <w:rPr>
          <w:rFonts w:hint="default" w:ascii="Arial" w:hAnsi="Arial" w:eastAsia="宋体" w:cs="Arial"/>
          <w:sz w:val="24"/>
          <w:szCs w:val="24"/>
        </w:rPr>
        <w:t>根据《平湖市城市区域声环境功能区划分方案》（平政办发〔2019〕53号），本项目位于3-01声环境功能区，属于3类声环境功能区，</w:t>
      </w:r>
      <w:r>
        <w:rPr>
          <w:rFonts w:hint="default" w:ascii="Arial" w:hAnsi="Arial" w:eastAsia="宋体" w:cs="Arial"/>
          <w:bCs/>
          <w:sz w:val="24"/>
          <w:szCs w:val="24"/>
        </w:rPr>
        <w:t>各侧厂界噪声执行《工业企业厂界噪声排放标准》（GB 12348-2008）中3类标准，具体标准值见表3-</w:t>
      </w:r>
      <w:r>
        <w:rPr>
          <w:rFonts w:hint="default" w:ascii="Arial" w:hAnsi="Arial" w:eastAsia="宋体" w:cs="Arial"/>
          <w:bCs/>
          <w:sz w:val="24"/>
          <w:szCs w:val="24"/>
          <w:lang w:val="en-US" w:eastAsia="zh-CN"/>
        </w:rPr>
        <w:t>7</w:t>
      </w:r>
      <w:r>
        <w:rPr>
          <w:rFonts w:hint="default" w:ascii="Arial" w:hAnsi="Arial" w:eastAsia="宋体" w:cs="Arial"/>
          <w:bCs/>
          <w:sz w:val="24"/>
          <w:szCs w:val="24"/>
        </w:rPr>
        <w:t>。</w:t>
      </w:r>
    </w:p>
    <w:p w14:paraId="454B5BED">
      <w:pPr>
        <w:pStyle w:val="76"/>
        <w:keepNext/>
        <w:keepLines w:val="0"/>
        <w:pageBreakBefore w:val="0"/>
        <w:widowControl w:val="0"/>
        <w:numPr>
          <w:ilvl w:val="3"/>
          <w:numId w:val="4"/>
        </w:numPr>
        <w:kinsoku/>
        <w:wordWrap/>
        <w:overflowPunct/>
        <w:topLinePunct w:val="0"/>
        <w:autoSpaceDE/>
        <w:autoSpaceDN/>
        <w:bidi w:val="0"/>
        <w:adjustRightInd/>
        <w:snapToGrid/>
        <w:ind w:left="777" w:leftChars="0" w:firstLine="482"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《工业企业厂界环境噪声排放标准》（GB 12348—2008）</w:t>
      </w:r>
    </w:p>
    <w:p w14:paraId="603A16A0">
      <w:pPr>
        <w:pStyle w:val="76"/>
        <w:ind w:left="1049"/>
        <w:jc w:val="right"/>
        <w:outlineLvl w:val="3"/>
        <w:rPr>
          <w:rFonts w:hint="default" w:ascii="Arial" w:hAnsi="Arial" w:eastAsia="宋体" w:cs="Arial"/>
          <w:b/>
          <w:bCs/>
          <w:sz w:val="24"/>
          <w:szCs w:val="24"/>
        </w:rPr>
      </w:pPr>
      <w:r>
        <w:rPr>
          <w:rFonts w:hint="default" w:ascii="Arial" w:hAnsi="Arial" w:eastAsia="宋体" w:cs="Arial"/>
          <w:b/>
          <w:bCs/>
          <w:sz w:val="24"/>
          <w:szCs w:val="24"/>
        </w:rPr>
        <w:t>单位：dB(A)</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1"/>
        <w:gridCol w:w="2148"/>
        <w:gridCol w:w="2148"/>
      </w:tblGrid>
      <w:tr w14:paraId="027A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26" w:type="dxa"/>
            <w:tcBorders>
              <w:tl2br w:val="single" w:color="auto" w:sz="6" w:space="0"/>
            </w:tcBorders>
            <w:vAlign w:val="center"/>
          </w:tcPr>
          <w:p w14:paraId="4FE987FF">
            <w:pPr>
              <w:snapToGrid w:val="0"/>
              <w:jc w:val="right"/>
              <w:rPr>
                <w:rFonts w:hint="default" w:ascii="Arial" w:hAnsi="Arial" w:eastAsia="宋体" w:cs="Arial"/>
                <w:szCs w:val="21"/>
              </w:rPr>
            </w:pPr>
            <w:r>
              <w:rPr>
                <w:rFonts w:hint="default" w:ascii="Arial" w:hAnsi="Arial" w:eastAsia="宋体" w:cs="Arial"/>
                <w:szCs w:val="21"/>
              </w:rPr>
              <w:t>时段</w:t>
            </w:r>
          </w:p>
          <w:p w14:paraId="3EC9E0A1">
            <w:pPr>
              <w:snapToGrid w:val="0"/>
              <w:jc w:val="left"/>
              <w:rPr>
                <w:rFonts w:hint="default" w:ascii="Arial" w:hAnsi="Arial" w:eastAsia="宋体" w:cs="Arial"/>
                <w:szCs w:val="21"/>
              </w:rPr>
            </w:pPr>
            <w:r>
              <w:rPr>
                <w:rFonts w:hint="default" w:ascii="Arial" w:hAnsi="Arial" w:eastAsia="宋体" w:cs="Arial"/>
                <w:szCs w:val="21"/>
              </w:rPr>
              <w:t>声环境功能区类别</w:t>
            </w:r>
          </w:p>
        </w:tc>
        <w:tc>
          <w:tcPr>
            <w:tcW w:w="2195" w:type="dxa"/>
            <w:vAlign w:val="center"/>
          </w:tcPr>
          <w:p w14:paraId="75743CB5">
            <w:pPr>
              <w:snapToGrid w:val="0"/>
              <w:jc w:val="center"/>
              <w:rPr>
                <w:rFonts w:hint="default" w:ascii="Arial" w:hAnsi="Arial" w:eastAsia="宋体" w:cs="Arial"/>
                <w:szCs w:val="21"/>
              </w:rPr>
            </w:pPr>
            <w:r>
              <w:rPr>
                <w:rFonts w:hint="default" w:ascii="Arial" w:hAnsi="Arial" w:eastAsia="宋体" w:cs="Arial"/>
                <w:szCs w:val="21"/>
              </w:rPr>
              <w:t>昼间</w:t>
            </w:r>
          </w:p>
        </w:tc>
        <w:tc>
          <w:tcPr>
            <w:tcW w:w="2195" w:type="dxa"/>
            <w:vAlign w:val="center"/>
          </w:tcPr>
          <w:p w14:paraId="2AF2765F">
            <w:pPr>
              <w:snapToGrid w:val="0"/>
              <w:jc w:val="center"/>
              <w:rPr>
                <w:rFonts w:hint="default" w:ascii="Arial" w:hAnsi="Arial" w:eastAsia="宋体" w:cs="Arial"/>
                <w:szCs w:val="21"/>
              </w:rPr>
            </w:pPr>
            <w:r>
              <w:rPr>
                <w:rFonts w:hint="default" w:ascii="Arial" w:hAnsi="Arial" w:eastAsia="宋体" w:cs="Arial"/>
                <w:szCs w:val="21"/>
              </w:rPr>
              <w:t>夜间</w:t>
            </w:r>
          </w:p>
        </w:tc>
      </w:tr>
      <w:tr w14:paraId="46CE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726" w:type="dxa"/>
            <w:vAlign w:val="center"/>
          </w:tcPr>
          <w:p w14:paraId="5005DBFB">
            <w:pPr>
              <w:snapToGrid w:val="0"/>
              <w:jc w:val="center"/>
              <w:rPr>
                <w:rFonts w:hint="default" w:ascii="Arial" w:hAnsi="Arial" w:eastAsia="宋体" w:cs="Arial"/>
                <w:szCs w:val="21"/>
              </w:rPr>
            </w:pPr>
            <w:r>
              <w:rPr>
                <w:rFonts w:hint="default" w:ascii="Arial" w:hAnsi="Arial" w:eastAsia="宋体" w:cs="Arial"/>
                <w:szCs w:val="21"/>
              </w:rPr>
              <w:t>3类</w:t>
            </w:r>
          </w:p>
        </w:tc>
        <w:tc>
          <w:tcPr>
            <w:tcW w:w="2195" w:type="dxa"/>
            <w:vAlign w:val="center"/>
          </w:tcPr>
          <w:p w14:paraId="32A8AA53">
            <w:pPr>
              <w:snapToGrid w:val="0"/>
              <w:jc w:val="center"/>
              <w:rPr>
                <w:rFonts w:hint="default" w:ascii="Arial" w:hAnsi="Arial" w:eastAsia="宋体" w:cs="Arial"/>
                <w:szCs w:val="21"/>
              </w:rPr>
            </w:pPr>
            <w:r>
              <w:rPr>
                <w:rFonts w:hint="default" w:ascii="Arial" w:hAnsi="Arial" w:eastAsia="宋体" w:cs="Arial"/>
                <w:szCs w:val="21"/>
              </w:rPr>
              <w:t>65</w:t>
            </w:r>
          </w:p>
        </w:tc>
        <w:tc>
          <w:tcPr>
            <w:tcW w:w="2195" w:type="dxa"/>
            <w:vAlign w:val="center"/>
          </w:tcPr>
          <w:p w14:paraId="07CA6FA5">
            <w:pPr>
              <w:snapToGrid w:val="0"/>
              <w:jc w:val="center"/>
              <w:rPr>
                <w:rFonts w:hint="default" w:ascii="Arial" w:hAnsi="Arial" w:eastAsia="宋体" w:cs="Arial"/>
                <w:szCs w:val="21"/>
              </w:rPr>
            </w:pPr>
            <w:r>
              <w:rPr>
                <w:rFonts w:hint="default" w:ascii="Arial" w:hAnsi="Arial" w:eastAsia="宋体" w:cs="Arial"/>
                <w:szCs w:val="21"/>
              </w:rPr>
              <w:t>55</w:t>
            </w:r>
          </w:p>
        </w:tc>
      </w:tr>
    </w:tbl>
    <w:p w14:paraId="19F0F695">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固体废物排放控制标准</w:t>
      </w:r>
    </w:p>
    <w:p w14:paraId="7FC5F815">
      <w:pPr>
        <w:spacing w:line="360" w:lineRule="auto"/>
        <w:ind w:firstLine="520" w:firstLineChars="200"/>
        <w:jc w:val="left"/>
        <w:rPr>
          <w:rFonts w:hint="default" w:ascii="Arial" w:hAnsi="Arial" w:eastAsia="宋体" w:cs="Arial"/>
          <w:bCs/>
          <w:sz w:val="24"/>
          <w:szCs w:val="24"/>
        </w:rPr>
      </w:pPr>
      <w:r>
        <w:rPr>
          <w:rFonts w:hint="default" w:ascii="Arial" w:hAnsi="Arial" w:eastAsia="宋体" w:cs="Arial"/>
          <w:spacing w:val="10"/>
          <w:sz w:val="24"/>
          <w:szCs w:val="20"/>
          <w:lang w:val="en-US" w:eastAsia="zh-CN"/>
        </w:rPr>
        <w:t>固体废物依据《国家危险废物名录》（2025版）和《危险废物鉴别标准通则》（GB 5085.7-2019）来鉴别一般工业废物和危险废物。建设项目危险废物厂内暂存执行《危险废物贮存污染控制标准》（GB18597-2023）相关要求；一般工业固废厂内暂存参照《一般工业固体废物贮存和填埋污染控制标准》（GB18599-2020）相关要求，其贮存过程应满足相应防渗漏、防雨淋、防扬尘等环境保护要求</w:t>
      </w:r>
      <w:r>
        <w:rPr>
          <w:rFonts w:hint="default" w:ascii="Arial" w:hAnsi="Arial" w:eastAsia="宋体" w:cs="Arial"/>
          <w:bCs/>
          <w:sz w:val="24"/>
          <w:szCs w:val="24"/>
        </w:rPr>
        <w:t>。</w:t>
      </w:r>
    </w:p>
    <w:p w14:paraId="3CEC3B5E">
      <w:pPr>
        <w:pStyle w:val="76"/>
        <w:numPr>
          <w:ilvl w:val="1"/>
          <w:numId w:val="4"/>
        </w:numPr>
        <w:spacing w:line="360" w:lineRule="auto"/>
        <w:ind w:left="210" w:leftChars="0" w:firstLineChars="0"/>
        <w:outlineLvl w:val="1"/>
        <w:rPr>
          <w:rFonts w:hint="default" w:ascii="Arial" w:hAnsi="Arial" w:eastAsia="宋体" w:cs="Arial"/>
          <w:b/>
          <w:bCs/>
          <w:sz w:val="24"/>
          <w:szCs w:val="24"/>
        </w:rPr>
      </w:pPr>
      <w:r>
        <w:rPr>
          <w:rFonts w:hint="default" w:ascii="Arial" w:hAnsi="Arial" w:eastAsia="宋体" w:cs="Arial"/>
          <w:b/>
          <w:bCs/>
          <w:sz w:val="24"/>
          <w:szCs w:val="24"/>
        </w:rPr>
        <w:t>总量控制指标</w:t>
      </w:r>
    </w:p>
    <w:p w14:paraId="780F70B8">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lang w:val="en-GB"/>
        </w:rPr>
        <w:t>总量控制原则</w:t>
      </w:r>
    </w:p>
    <w:p w14:paraId="4FEC44F8">
      <w:pPr>
        <w:pStyle w:val="76"/>
        <w:autoSpaceDE w:val="0"/>
        <w:autoSpaceDN w:val="0"/>
        <w:spacing w:line="360" w:lineRule="auto"/>
        <w:ind w:firstLine="456" w:firstLineChars="200"/>
        <w:jc w:val="left"/>
        <w:rPr>
          <w:rFonts w:hint="default" w:ascii="Arial" w:hAnsi="Arial" w:eastAsia="宋体" w:cs="Arial"/>
          <w:spacing w:val="-6"/>
          <w:sz w:val="24"/>
          <w:szCs w:val="24"/>
        </w:rPr>
      </w:pPr>
      <w:r>
        <w:rPr>
          <w:rFonts w:hint="default" w:ascii="Arial" w:hAnsi="Arial" w:eastAsia="宋体" w:cs="Arial"/>
          <w:spacing w:val="-6"/>
          <w:sz w:val="24"/>
          <w:szCs w:val="24"/>
        </w:rPr>
        <w:t>根据《建设项目主要污染物排放总量指标审核及管理暂行办法》（环发[2014]197号），现阶段主要污染物包括化学需氧量、氨氮、二氧化硫、氮氧化物、烟粉尘、挥发性有机物（VOCs）、五类重点重金属（铬、镉、铅、汞、砷）。</w:t>
      </w:r>
    </w:p>
    <w:p w14:paraId="3EC1309A">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lang w:val="en-GB"/>
        </w:rPr>
        <w:t>总量控制指标</w:t>
      </w:r>
    </w:p>
    <w:p w14:paraId="69BC69C1">
      <w:pPr>
        <w:pStyle w:val="76"/>
        <w:autoSpaceDE w:val="0"/>
        <w:autoSpaceDN w:val="0"/>
        <w:spacing w:line="360" w:lineRule="auto"/>
        <w:ind w:firstLine="480" w:firstLineChars="200"/>
        <w:jc w:val="left"/>
        <w:rPr>
          <w:rFonts w:hint="default" w:ascii="Arial" w:hAnsi="Arial" w:eastAsia="宋体" w:cs="Arial"/>
          <w:sz w:val="24"/>
          <w:szCs w:val="24"/>
        </w:rPr>
      </w:pPr>
      <w:r>
        <w:rPr>
          <w:rFonts w:hint="default" w:ascii="Arial" w:hAnsi="Arial" w:eastAsia="宋体" w:cs="Arial"/>
          <w:sz w:val="24"/>
          <w:szCs w:val="24"/>
        </w:rPr>
        <w:t>根据本项目工程分析，项目</w:t>
      </w:r>
      <w:r>
        <w:rPr>
          <w:rFonts w:hint="default" w:ascii="Arial" w:hAnsi="Arial" w:eastAsia="宋体" w:cs="Arial"/>
          <w:sz w:val="24"/>
          <w:szCs w:val="24"/>
          <w:lang w:val="en-US" w:eastAsia="zh-CN"/>
        </w:rPr>
        <w:t>实施后</w:t>
      </w:r>
      <w:r>
        <w:rPr>
          <w:rFonts w:hint="default" w:ascii="Arial" w:hAnsi="Arial" w:eastAsia="宋体" w:cs="Arial"/>
          <w:sz w:val="24"/>
          <w:szCs w:val="24"/>
        </w:rPr>
        <w:t>三废产排情况如表3-</w:t>
      </w:r>
      <w:r>
        <w:rPr>
          <w:rFonts w:hint="default" w:ascii="Arial" w:hAnsi="Arial" w:eastAsia="宋体" w:cs="Arial"/>
          <w:sz w:val="24"/>
          <w:szCs w:val="24"/>
          <w:lang w:val="en-US" w:eastAsia="zh-CN"/>
        </w:rPr>
        <w:t>8</w:t>
      </w:r>
      <w:r>
        <w:rPr>
          <w:rFonts w:hint="default" w:ascii="Arial" w:hAnsi="Arial" w:eastAsia="宋体" w:cs="Arial"/>
          <w:sz w:val="24"/>
          <w:szCs w:val="24"/>
        </w:rPr>
        <w:t>所示。</w:t>
      </w:r>
    </w:p>
    <w:p w14:paraId="5CA6EE90">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w:t>
      </w:r>
      <w:r>
        <w:rPr>
          <w:rFonts w:hint="default" w:ascii="Arial" w:hAnsi="Arial" w:eastAsia="宋体" w:cs="Arial"/>
          <w:b/>
          <w:bCs/>
          <w:sz w:val="24"/>
          <w:szCs w:val="24"/>
          <w:lang w:val="en-US" w:eastAsia="zh-CN"/>
        </w:rPr>
        <w:t>实施后</w:t>
      </w:r>
      <w:r>
        <w:rPr>
          <w:rFonts w:hint="default" w:ascii="Arial" w:hAnsi="Arial" w:eastAsia="宋体" w:cs="Arial"/>
          <w:b/>
          <w:bCs/>
          <w:sz w:val="24"/>
          <w:szCs w:val="24"/>
        </w:rPr>
        <w:t>三废产排情况汇总表</w:t>
      </w:r>
    </w:p>
    <w:tbl>
      <w:tblPr>
        <w:tblStyle w:val="52"/>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713"/>
        <w:gridCol w:w="1548"/>
        <w:gridCol w:w="1703"/>
        <w:gridCol w:w="1703"/>
      </w:tblGrid>
      <w:tr w14:paraId="2E58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984" w:type="dxa"/>
            <w:gridSpan w:val="2"/>
            <w:vAlign w:val="center"/>
          </w:tcPr>
          <w:p w14:paraId="4F250C75">
            <w:pPr>
              <w:autoSpaceDE w:val="0"/>
              <w:autoSpaceDN w:val="0"/>
              <w:jc w:val="center"/>
              <w:rPr>
                <w:rFonts w:hint="default" w:ascii="Arial" w:hAnsi="Arial" w:eastAsia="宋体" w:cs="Arial"/>
                <w:szCs w:val="21"/>
              </w:rPr>
            </w:pPr>
            <w:r>
              <w:rPr>
                <w:rFonts w:hint="default" w:ascii="Arial" w:hAnsi="Arial" w:eastAsia="宋体" w:cs="Arial"/>
                <w:szCs w:val="21"/>
              </w:rPr>
              <w:t>污染物</w:t>
            </w:r>
          </w:p>
        </w:tc>
        <w:tc>
          <w:tcPr>
            <w:tcW w:w="1548" w:type="dxa"/>
            <w:vAlign w:val="center"/>
          </w:tcPr>
          <w:p w14:paraId="1043E1DA">
            <w:pPr>
              <w:autoSpaceDE w:val="0"/>
              <w:autoSpaceDN w:val="0"/>
              <w:jc w:val="center"/>
              <w:rPr>
                <w:rFonts w:hint="default" w:ascii="Arial" w:hAnsi="Arial" w:eastAsia="宋体" w:cs="Arial"/>
                <w:szCs w:val="21"/>
              </w:rPr>
            </w:pPr>
            <w:r>
              <w:rPr>
                <w:rFonts w:hint="default" w:ascii="Arial" w:hAnsi="Arial" w:eastAsia="宋体" w:cs="Arial"/>
                <w:szCs w:val="21"/>
              </w:rPr>
              <w:t>产生量（t/a）</w:t>
            </w:r>
          </w:p>
        </w:tc>
        <w:tc>
          <w:tcPr>
            <w:tcW w:w="1703" w:type="dxa"/>
            <w:vAlign w:val="center"/>
          </w:tcPr>
          <w:p w14:paraId="5E275099">
            <w:pPr>
              <w:autoSpaceDE w:val="0"/>
              <w:autoSpaceDN w:val="0"/>
              <w:jc w:val="center"/>
              <w:rPr>
                <w:rFonts w:hint="default" w:ascii="Arial" w:hAnsi="Arial" w:eastAsia="宋体" w:cs="Arial"/>
                <w:szCs w:val="21"/>
              </w:rPr>
            </w:pPr>
            <w:r>
              <w:rPr>
                <w:rFonts w:hint="default" w:ascii="Arial" w:hAnsi="Arial" w:eastAsia="宋体" w:cs="Arial"/>
                <w:szCs w:val="21"/>
              </w:rPr>
              <w:t>削减量（t/a）</w:t>
            </w:r>
          </w:p>
        </w:tc>
        <w:tc>
          <w:tcPr>
            <w:tcW w:w="1703" w:type="dxa"/>
            <w:vAlign w:val="center"/>
          </w:tcPr>
          <w:p w14:paraId="07951307">
            <w:pPr>
              <w:autoSpaceDE w:val="0"/>
              <w:autoSpaceDN w:val="0"/>
              <w:jc w:val="center"/>
              <w:rPr>
                <w:rFonts w:hint="default" w:ascii="Arial" w:hAnsi="Arial" w:eastAsia="宋体" w:cs="Arial"/>
                <w:szCs w:val="21"/>
              </w:rPr>
            </w:pPr>
            <w:r>
              <w:rPr>
                <w:rFonts w:hint="default" w:ascii="Arial" w:hAnsi="Arial" w:eastAsia="宋体" w:cs="Arial"/>
                <w:szCs w:val="21"/>
              </w:rPr>
              <w:t>环境排放量（t/a）</w:t>
            </w:r>
          </w:p>
        </w:tc>
      </w:tr>
      <w:tr w14:paraId="6E89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restart"/>
            <w:vAlign w:val="center"/>
          </w:tcPr>
          <w:p w14:paraId="22AB2790">
            <w:pPr>
              <w:autoSpaceDE w:val="0"/>
              <w:autoSpaceDN w:val="0"/>
              <w:jc w:val="center"/>
              <w:rPr>
                <w:rFonts w:hint="default" w:ascii="Arial" w:hAnsi="Arial" w:eastAsia="宋体" w:cs="Arial"/>
                <w:szCs w:val="21"/>
              </w:rPr>
            </w:pPr>
            <w:r>
              <w:rPr>
                <w:rFonts w:hint="default" w:ascii="Arial" w:hAnsi="Arial" w:eastAsia="宋体" w:cs="Arial"/>
                <w:szCs w:val="21"/>
              </w:rPr>
              <w:t>生活污水</w:t>
            </w:r>
          </w:p>
        </w:tc>
        <w:tc>
          <w:tcPr>
            <w:tcW w:w="1713" w:type="dxa"/>
            <w:vAlign w:val="center"/>
          </w:tcPr>
          <w:p w14:paraId="6D75BE38">
            <w:pPr>
              <w:spacing w:line="280" w:lineRule="exact"/>
              <w:jc w:val="center"/>
              <w:rPr>
                <w:rFonts w:hint="default" w:ascii="Arial" w:hAnsi="Arial" w:eastAsia="宋体" w:cs="Arial"/>
                <w:szCs w:val="21"/>
              </w:rPr>
            </w:pPr>
            <w:r>
              <w:rPr>
                <w:rFonts w:hint="default" w:ascii="Arial" w:hAnsi="Arial" w:eastAsia="宋体" w:cs="Arial"/>
                <w:kern w:val="0"/>
                <w:szCs w:val="21"/>
              </w:rPr>
              <w:t>废水量</w:t>
            </w:r>
          </w:p>
        </w:tc>
        <w:tc>
          <w:tcPr>
            <w:tcW w:w="1548" w:type="dxa"/>
            <w:vAlign w:val="center"/>
          </w:tcPr>
          <w:p w14:paraId="52219C7A">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5040</w:t>
            </w:r>
          </w:p>
        </w:tc>
        <w:tc>
          <w:tcPr>
            <w:tcW w:w="1703" w:type="dxa"/>
            <w:vAlign w:val="center"/>
          </w:tcPr>
          <w:p w14:paraId="3D1E2B7A">
            <w:pPr>
              <w:autoSpaceDE w:val="0"/>
              <w:autoSpaceDN w:val="0"/>
              <w:jc w:val="center"/>
              <w:rPr>
                <w:rFonts w:hint="default" w:ascii="Arial" w:hAnsi="Arial" w:eastAsia="宋体" w:cs="Arial"/>
                <w:szCs w:val="21"/>
              </w:rPr>
            </w:pPr>
            <w:r>
              <w:rPr>
                <w:rFonts w:hint="default" w:ascii="Arial" w:hAnsi="Arial" w:eastAsia="宋体" w:cs="Arial"/>
                <w:szCs w:val="21"/>
              </w:rPr>
              <w:t>0</w:t>
            </w:r>
          </w:p>
        </w:tc>
        <w:tc>
          <w:tcPr>
            <w:tcW w:w="1703" w:type="dxa"/>
            <w:vAlign w:val="center"/>
          </w:tcPr>
          <w:p w14:paraId="191FCBCC">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5040</w:t>
            </w:r>
          </w:p>
        </w:tc>
      </w:tr>
      <w:tr w14:paraId="41F7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71750B82">
            <w:pPr>
              <w:autoSpaceDE w:val="0"/>
              <w:autoSpaceDN w:val="0"/>
              <w:jc w:val="center"/>
              <w:rPr>
                <w:rFonts w:hint="default" w:ascii="Arial" w:hAnsi="Arial" w:eastAsia="宋体" w:cs="Arial"/>
                <w:szCs w:val="21"/>
              </w:rPr>
            </w:pPr>
          </w:p>
        </w:tc>
        <w:tc>
          <w:tcPr>
            <w:tcW w:w="1713" w:type="dxa"/>
            <w:vAlign w:val="center"/>
          </w:tcPr>
          <w:p w14:paraId="2F237B7A">
            <w:pPr>
              <w:spacing w:line="280" w:lineRule="exact"/>
              <w:jc w:val="center"/>
              <w:rPr>
                <w:rFonts w:hint="default" w:ascii="Arial" w:hAnsi="Arial" w:eastAsia="宋体" w:cs="Arial"/>
                <w:szCs w:val="21"/>
              </w:rPr>
            </w:pPr>
            <w:r>
              <w:rPr>
                <w:rFonts w:hint="default" w:ascii="Arial" w:hAnsi="Arial" w:eastAsia="宋体" w:cs="Arial"/>
                <w:kern w:val="0"/>
                <w:szCs w:val="21"/>
              </w:rPr>
              <w:t>COD</w:t>
            </w:r>
            <w:r>
              <w:rPr>
                <w:rFonts w:hint="default" w:ascii="Arial" w:hAnsi="Arial" w:eastAsia="宋体" w:cs="Arial"/>
                <w:kern w:val="0"/>
                <w:szCs w:val="21"/>
                <w:vertAlign w:val="subscript"/>
              </w:rPr>
              <w:t>Cr</w:t>
            </w:r>
          </w:p>
        </w:tc>
        <w:tc>
          <w:tcPr>
            <w:tcW w:w="1548" w:type="dxa"/>
            <w:vAlign w:val="center"/>
          </w:tcPr>
          <w:p w14:paraId="7EFBE445">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1"/>
                <w:szCs w:val="21"/>
                <w:u w:val="none"/>
                <w:lang w:val="en-US" w:eastAsia="zh-CN" w:bidi="ar"/>
              </w:rPr>
              <w:t>1.512</w:t>
            </w:r>
          </w:p>
        </w:tc>
        <w:tc>
          <w:tcPr>
            <w:tcW w:w="1703" w:type="dxa"/>
            <w:vAlign w:val="center"/>
          </w:tcPr>
          <w:p w14:paraId="7B0A7A9E">
            <w:pPr>
              <w:widowControl/>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1.31</w:t>
            </w:r>
          </w:p>
        </w:tc>
        <w:tc>
          <w:tcPr>
            <w:tcW w:w="1703" w:type="dxa"/>
            <w:vAlign w:val="center"/>
          </w:tcPr>
          <w:p w14:paraId="523CAB33">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1"/>
                <w:szCs w:val="21"/>
                <w:u w:val="none"/>
                <w:lang w:val="en-US" w:eastAsia="zh-CN" w:bidi="ar"/>
              </w:rPr>
              <w:t>0.202</w:t>
            </w:r>
          </w:p>
        </w:tc>
      </w:tr>
      <w:tr w14:paraId="16832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7AB20909">
            <w:pPr>
              <w:autoSpaceDE w:val="0"/>
              <w:autoSpaceDN w:val="0"/>
              <w:jc w:val="center"/>
              <w:rPr>
                <w:rFonts w:hint="default" w:ascii="Arial" w:hAnsi="Arial" w:eastAsia="宋体" w:cs="Arial"/>
                <w:szCs w:val="21"/>
              </w:rPr>
            </w:pPr>
          </w:p>
        </w:tc>
        <w:tc>
          <w:tcPr>
            <w:tcW w:w="1713" w:type="dxa"/>
            <w:vAlign w:val="center"/>
          </w:tcPr>
          <w:p w14:paraId="006A910D">
            <w:pPr>
              <w:spacing w:line="280" w:lineRule="exact"/>
              <w:jc w:val="center"/>
              <w:rPr>
                <w:rFonts w:hint="default" w:ascii="Arial" w:hAnsi="Arial" w:eastAsia="宋体" w:cs="Arial"/>
                <w:kern w:val="0"/>
                <w:szCs w:val="21"/>
              </w:rPr>
            </w:pPr>
            <w:r>
              <w:rPr>
                <w:rFonts w:hint="default" w:ascii="Arial" w:hAnsi="Arial" w:eastAsia="宋体" w:cs="Arial"/>
                <w:kern w:val="0"/>
                <w:szCs w:val="21"/>
              </w:rPr>
              <w:t>氨氮</w:t>
            </w:r>
          </w:p>
        </w:tc>
        <w:tc>
          <w:tcPr>
            <w:tcW w:w="1548" w:type="dxa"/>
            <w:vAlign w:val="center"/>
          </w:tcPr>
          <w:p w14:paraId="70497DE1">
            <w:pPr>
              <w:keepNext w:val="0"/>
              <w:keepLines w:val="0"/>
              <w:widowControl/>
              <w:suppressLineNumbers w:val="0"/>
              <w:jc w:val="center"/>
              <w:textAlignment w:val="center"/>
              <w:rPr>
                <w:rFonts w:hint="default" w:ascii="Arial" w:hAnsi="Arial" w:eastAsia="宋体" w:cs="Arial"/>
                <w:kern w:val="0"/>
                <w:szCs w:val="21"/>
              </w:rPr>
            </w:pPr>
            <w:r>
              <w:rPr>
                <w:rFonts w:hint="default" w:ascii="Arial" w:hAnsi="Arial" w:eastAsia="宋体" w:cs="Arial"/>
                <w:i w:val="0"/>
                <w:iCs w:val="0"/>
                <w:color w:val="000000"/>
                <w:kern w:val="0"/>
                <w:sz w:val="21"/>
                <w:szCs w:val="21"/>
                <w:u w:val="none"/>
                <w:lang w:val="en-US" w:eastAsia="zh-CN" w:bidi="ar"/>
              </w:rPr>
              <w:t>0.151</w:t>
            </w:r>
          </w:p>
        </w:tc>
        <w:tc>
          <w:tcPr>
            <w:tcW w:w="1703" w:type="dxa"/>
            <w:vAlign w:val="center"/>
          </w:tcPr>
          <w:p w14:paraId="02A6BD17">
            <w:pPr>
              <w:widowControl/>
              <w:jc w:val="center"/>
              <w:rPr>
                <w:rFonts w:hint="default" w:ascii="Arial" w:hAnsi="Arial" w:eastAsia="宋体" w:cs="Arial"/>
                <w:szCs w:val="21"/>
                <w:lang w:val="en-US" w:eastAsia="zh-CN"/>
              </w:rPr>
            </w:pPr>
            <w:r>
              <w:rPr>
                <w:rFonts w:hint="default" w:ascii="Arial" w:hAnsi="Arial" w:eastAsia="宋体" w:cs="Arial"/>
                <w:szCs w:val="21"/>
                <w:lang w:val="en-US" w:eastAsia="zh-CN"/>
              </w:rPr>
              <w:t>0.141</w:t>
            </w:r>
          </w:p>
        </w:tc>
        <w:tc>
          <w:tcPr>
            <w:tcW w:w="1703" w:type="dxa"/>
            <w:vAlign w:val="center"/>
          </w:tcPr>
          <w:p w14:paraId="13546991">
            <w:pPr>
              <w:keepNext w:val="0"/>
              <w:keepLines w:val="0"/>
              <w:widowControl/>
              <w:suppressLineNumbers w:val="0"/>
              <w:jc w:val="center"/>
              <w:textAlignment w:val="center"/>
              <w:rPr>
                <w:rFonts w:hint="default" w:ascii="Arial" w:hAnsi="Arial" w:eastAsia="宋体" w:cs="Arial"/>
                <w:kern w:val="0"/>
                <w:szCs w:val="21"/>
              </w:rPr>
            </w:pPr>
            <w:r>
              <w:rPr>
                <w:rFonts w:hint="default" w:ascii="Arial" w:hAnsi="Arial" w:eastAsia="宋体" w:cs="Arial"/>
                <w:i w:val="0"/>
                <w:iCs w:val="0"/>
                <w:color w:val="000000"/>
                <w:kern w:val="0"/>
                <w:sz w:val="21"/>
                <w:szCs w:val="21"/>
                <w:u w:val="none"/>
                <w:lang w:val="en-US" w:eastAsia="zh-CN" w:bidi="ar"/>
              </w:rPr>
              <w:t>0.010</w:t>
            </w:r>
          </w:p>
        </w:tc>
      </w:tr>
      <w:tr w14:paraId="0B33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restart"/>
            <w:vAlign w:val="center"/>
          </w:tcPr>
          <w:p w14:paraId="3A70FBAB">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生产废水</w:t>
            </w:r>
          </w:p>
        </w:tc>
        <w:tc>
          <w:tcPr>
            <w:tcW w:w="1713" w:type="dxa"/>
            <w:shd w:val="clear" w:color="auto" w:fill="auto"/>
            <w:vAlign w:val="center"/>
          </w:tcPr>
          <w:p w14:paraId="0CDD39FA">
            <w:pPr>
              <w:spacing w:line="280" w:lineRule="exact"/>
              <w:jc w:val="center"/>
              <w:rPr>
                <w:rFonts w:hint="default" w:ascii="Arial" w:hAnsi="Arial" w:eastAsia="宋体" w:cs="Arial"/>
                <w:kern w:val="2"/>
                <w:sz w:val="21"/>
                <w:szCs w:val="21"/>
                <w:lang w:val="en-US" w:eastAsia="zh-CN" w:bidi="ar-SA"/>
              </w:rPr>
            </w:pPr>
            <w:r>
              <w:rPr>
                <w:rFonts w:hint="default" w:ascii="Arial" w:hAnsi="Arial" w:eastAsia="宋体" w:cs="Arial"/>
                <w:kern w:val="0"/>
                <w:szCs w:val="21"/>
              </w:rPr>
              <w:t>废水量</w:t>
            </w:r>
          </w:p>
        </w:tc>
        <w:tc>
          <w:tcPr>
            <w:tcW w:w="1548" w:type="dxa"/>
            <w:vAlign w:val="center"/>
          </w:tcPr>
          <w:p w14:paraId="11BB182C">
            <w:pPr>
              <w:autoSpaceDE w:val="0"/>
              <w:autoSpaceDN w:val="0"/>
              <w:jc w:val="center"/>
              <w:rPr>
                <w:rFonts w:hint="default" w:ascii="Arial" w:hAnsi="Arial" w:eastAsia="宋体" w:cs="Arial"/>
                <w:lang w:val="en-US" w:eastAsia="zh-CN"/>
              </w:rPr>
            </w:pPr>
            <w:r>
              <w:rPr>
                <w:rFonts w:hint="default" w:ascii="Arial" w:hAnsi="Arial" w:eastAsia="宋体" w:cs="Arial"/>
                <w:lang w:val="en-US" w:eastAsia="zh-CN"/>
              </w:rPr>
              <w:t>852.6</w:t>
            </w:r>
          </w:p>
        </w:tc>
        <w:tc>
          <w:tcPr>
            <w:tcW w:w="1703" w:type="dxa"/>
            <w:vAlign w:val="center"/>
          </w:tcPr>
          <w:p w14:paraId="484FD514">
            <w:pPr>
              <w:widowControl/>
              <w:jc w:val="center"/>
              <w:rPr>
                <w:rFonts w:hint="default" w:ascii="Arial" w:hAnsi="Arial" w:eastAsia="宋体" w:cs="Arial"/>
                <w:szCs w:val="21"/>
                <w:lang w:val="en-US" w:eastAsia="zh-CN"/>
              </w:rPr>
            </w:pPr>
            <w:r>
              <w:rPr>
                <w:rFonts w:hint="default" w:ascii="Arial" w:hAnsi="Arial" w:eastAsia="宋体" w:cs="Arial"/>
                <w:szCs w:val="21"/>
                <w:lang w:val="en-US" w:eastAsia="zh-CN"/>
              </w:rPr>
              <w:t>127.9</w:t>
            </w:r>
          </w:p>
        </w:tc>
        <w:tc>
          <w:tcPr>
            <w:tcW w:w="1703" w:type="dxa"/>
            <w:vAlign w:val="center"/>
          </w:tcPr>
          <w:p w14:paraId="3CB80142">
            <w:pPr>
              <w:autoSpaceDE w:val="0"/>
              <w:autoSpaceDN w:val="0"/>
              <w:jc w:val="center"/>
              <w:rPr>
                <w:rFonts w:hint="default" w:ascii="Arial" w:hAnsi="Arial" w:eastAsia="宋体" w:cs="Arial"/>
                <w:lang w:val="en-US" w:eastAsia="zh-CN"/>
              </w:rPr>
            </w:pPr>
            <w:r>
              <w:rPr>
                <w:rFonts w:hint="default" w:ascii="Arial" w:hAnsi="Arial" w:eastAsia="宋体" w:cs="Arial"/>
                <w:lang w:val="en-US" w:eastAsia="zh-CN"/>
              </w:rPr>
              <w:t>724.7</w:t>
            </w:r>
          </w:p>
        </w:tc>
      </w:tr>
      <w:tr w14:paraId="0925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02A5B6CF">
            <w:pPr>
              <w:autoSpaceDE w:val="0"/>
              <w:autoSpaceDN w:val="0"/>
              <w:jc w:val="center"/>
              <w:rPr>
                <w:rFonts w:hint="default" w:ascii="Arial" w:hAnsi="Arial" w:eastAsia="宋体" w:cs="Arial"/>
                <w:szCs w:val="21"/>
              </w:rPr>
            </w:pPr>
          </w:p>
        </w:tc>
        <w:tc>
          <w:tcPr>
            <w:tcW w:w="1713" w:type="dxa"/>
            <w:shd w:val="clear" w:color="auto" w:fill="auto"/>
            <w:vAlign w:val="center"/>
          </w:tcPr>
          <w:p w14:paraId="5581048D">
            <w:pPr>
              <w:spacing w:line="280" w:lineRule="exact"/>
              <w:jc w:val="center"/>
              <w:rPr>
                <w:rFonts w:hint="default" w:ascii="Arial" w:hAnsi="Arial" w:eastAsia="宋体" w:cs="Arial"/>
                <w:kern w:val="2"/>
                <w:sz w:val="21"/>
                <w:szCs w:val="21"/>
                <w:lang w:val="en-US" w:eastAsia="zh-CN" w:bidi="ar-SA"/>
              </w:rPr>
            </w:pPr>
            <w:r>
              <w:rPr>
                <w:rFonts w:hint="default" w:ascii="Arial" w:hAnsi="Arial" w:eastAsia="宋体" w:cs="Arial"/>
                <w:kern w:val="0"/>
                <w:szCs w:val="21"/>
              </w:rPr>
              <w:t>COD</w:t>
            </w:r>
            <w:r>
              <w:rPr>
                <w:rFonts w:hint="default" w:ascii="Arial" w:hAnsi="Arial" w:eastAsia="宋体" w:cs="Arial"/>
                <w:kern w:val="0"/>
                <w:szCs w:val="21"/>
                <w:vertAlign w:val="subscript"/>
              </w:rPr>
              <w:t>Cr</w:t>
            </w:r>
          </w:p>
        </w:tc>
        <w:tc>
          <w:tcPr>
            <w:tcW w:w="1548" w:type="dxa"/>
            <w:shd w:val="clear" w:color="auto" w:fill="FFFFFF"/>
            <w:vAlign w:val="center"/>
          </w:tcPr>
          <w:p w14:paraId="24E984D0">
            <w:pPr>
              <w:keepNext w:val="0"/>
              <w:keepLines w:val="0"/>
              <w:widowControl/>
              <w:suppressLineNumbers w:val="0"/>
              <w:jc w:val="center"/>
              <w:textAlignment w:val="center"/>
              <w:rPr>
                <w:rFonts w:hint="default" w:ascii="Arial" w:hAnsi="Arial" w:eastAsia="宋体" w:cs="Arial"/>
                <w:b w:val="0"/>
                <w:color w:val="000000"/>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3.410</w:t>
            </w:r>
          </w:p>
        </w:tc>
        <w:tc>
          <w:tcPr>
            <w:tcW w:w="1703" w:type="dxa"/>
            <w:vAlign w:val="center"/>
          </w:tcPr>
          <w:p w14:paraId="1678DFBE">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1"/>
                <w:szCs w:val="21"/>
                <w:u w:val="none"/>
                <w:lang w:val="en-US" w:eastAsia="zh-CN" w:bidi="ar"/>
              </w:rPr>
              <w:t>3.381</w:t>
            </w:r>
          </w:p>
        </w:tc>
        <w:tc>
          <w:tcPr>
            <w:tcW w:w="1703" w:type="dxa"/>
            <w:vAlign w:val="center"/>
          </w:tcPr>
          <w:p w14:paraId="7C0D6E6B">
            <w:pPr>
              <w:keepNext w:val="0"/>
              <w:keepLines w:val="0"/>
              <w:widowControl/>
              <w:suppressLineNumbers w:val="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0.029</w:t>
            </w:r>
          </w:p>
        </w:tc>
      </w:tr>
      <w:tr w14:paraId="1516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71271FBD">
            <w:pPr>
              <w:autoSpaceDE w:val="0"/>
              <w:autoSpaceDN w:val="0"/>
              <w:jc w:val="center"/>
              <w:rPr>
                <w:rFonts w:hint="default" w:ascii="Arial" w:hAnsi="Arial" w:eastAsia="宋体" w:cs="Arial"/>
                <w:szCs w:val="21"/>
              </w:rPr>
            </w:pPr>
          </w:p>
        </w:tc>
        <w:tc>
          <w:tcPr>
            <w:tcW w:w="1713" w:type="dxa"/>
            <w:shd w:val="clear" w:color="auto" w:fill="auto"/>
            <w:vAlign w:val="center"/>
          </w:tcPr>
          <w:p w14:paraId="5078E147">
            <w:pPr>
              <w:spacing w:line="280" w:lineRule="exact"/>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rPr>
              <w:t>氨氮</w:t>
            </w:r>
          </w:p>
        </w:tc>
        <w:tc>
          <w:tcPr>
            <w:tcW w:w="1548" w:type="dxa"/>
            <w:shd w:val="clear" w:color="auto" w:fill="FFFFFF"/>
            <w:vAlign w:val="center"/>
          </w:tcPr>
          <w:p w14:paraId="5352E812">
            <w:pPr>
              <w:keepNext w:val="0"/>
              <w:keepLines w:val="0"/>
              <w:widowControl/>
              <w:suppressLineNumbers w:val="0"/>
              <w:jc w:val="center"/>
              <w:textAlignment w:val="center"/>
              <w:rPr>
                <w:rFonts w:hint="default" w:ascii="Arial" w:hAnsi="Arial" w:eastAsia="宋体" w:cs="Arial"/>
                <w:b w:val="0"/>
                <w:color w:val="000000"/>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0.009</w:t>
            </w:r>
          </w:p>
        </w:tc>
        <w:tc>
          <w:tcPr>
            <w:tcW w:w="1703" w:type="dxa"/>
            <w:vAlign w:val="center"/>
          </w:tcPr>
          <w:p w14:paraId="35F3AD1E">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1"/>
                <w:szCs w:val="21"/>
                <w:u w:val="none"/>
                <w:lang w:val="en-US" w:eastAsia="zh-CN" w:bidi="ar"/>
              </w:rPr>
              <w:t>0.008</w:t>
            </w:r>
          </w:p>
        </w:tc>
        <w:tc>
          <w:tcPr>
            <w:tcW w:w="1703" w:type="dxa"/>
            <w:vAlign w:val="center"/>
          </w:tcPr>
          <w:p w14:paraId="6D37A834">
            <w:pPr>
              <w:keepNext w:val="0"/>
              <w:keepLines w:val="0"/>
              <w:widowControl/>
              <w:suppressLineNumbers w:val="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0.001</w:t>
            </w:r>
          </w:p>
        </w:tc>
      </w:tr>
      <w:tr w14:paraId="3B51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25CDB4A0">
            <w:pPr>
              <w:autoSpaceDE w:val="0"/>
              <w:autoSpaceDN w:val="0"/>
              <w:jc w:val="center"/>
              <w:rPr>
                <w:rFonts w:hint="default" w:ascii="Arial" w:hAnsi="Arial" w:eastAsia="宋体" w:cs="Arial"/>
                <w:szCs w:val="21"/>
              </w:rPr>
            </w:pPr>
          </w:p>
        </w:tc>
        <w:tc>
          <w:tcPr>
            <w:tcW w:w="1713" w:type="dxa"/>
            <w:shd w:val="clear" w:color="auto" w:fill="FFFFFF"/>
            <w:vAlign w:val="center"/>
          </w:tcPr>
          <w:p w14:paraId="38815B1E">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rPr>
              <w:t>SS</w:t>
            </w:r>
          </w:p>
        </w:tc>
        <w:tc>
          <w:tcPr>
            <w:tcW w:w="1548" w:type="dxa"/>
            <w:shd w:val="clear" w:color="auto" w:fill="FFFFFF"/>
            <w:vAlign w:val="center"/>
          </w:tcPr>
          <w:p w14:paraId="2493AA20">
            <w:pPr>
              <w:keepNext w:val="0"/>
              <w:keepLines w:val="0"/>
              <w:widowControl/>
              <w:suppressLineNumbers w:val="0"/>
              <w:jc w:val="center"/>
              <w:textAlignment w:val="center"/>
              <w:rPr>
                <w:rFonts w:hint="default" w:ascii="Arial" w:hAnsi="Arial" w:eastAsia="宋体" w:cs="Arial"/>
                <w:b w:val="0"/>
                <w:color w:val="000000"/>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0.426</w:t>
            </w:r>
          </w:p>
        </w:tc>
        <w:tc>
          <w:tcPr>
            <w:tcW w:w="1703" w:type="dxa"/>
            <w:vAlign w:val="center"/>
          </w:tcPr>
          <w:p w14:paraId="31F3CBFA">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1"/>
                <w:szCs w:val="21"/>
                <w:u w:val="none"/>
                <w:lang w:val="en-US" w:eastAsia="zh-CN" w:bidi="ar"/>
              </w:rPr>
              <w:t>0.419</w:t>
            </w:r>
          </w:p>
        </w:tc>
        <w:tc>
          <w:tcPr>
            <w:tcW w:w="1703" w:type="dxa"/>
            <w:vAlign w:val="center"/>
          </w:tcPr>
          <w:p w14:paraId="2CEC1407">
            <w:pPr>
              <w:keepNext w:val="0"/>
              <w:keepLines w:val="0"/>
              <w:widowControl/>
              <w:suppressLineNumbers w:val="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0.007</w:t>
            </w:r>
          </w:p>
        </w:tc>
      </w:tr>
      <w:tr w14:paraId="4025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20FC4905">
            <w:pPr>
              <w:autoSpaceDE w:val="0"/>
              <w:autoSpaceDN w:val="0"/>
              <w:jc w:val="center"/>
              <w:rPr>
                <w:rFonts w:hint="default" w:ascii="Arial" w:hAnsi="Arial" w:eastAsia="宋体" w:cs="Arial"/>
                <w:szCs w:val="21"/>
              </w:rPr>
            </w:pPr>
          </w:p>
        </w:tc>
        <w:tc>
          <w:tcPr>
            <w:tcW w:w="1713" w:type="dxa"/>
            <w:shd w:val="clear" w:color="auto" w:fill="FFFFFF"/>
            <w:vAlign w:val="center"/>
          </w:tcPr>
          <w:p w14:paraId="46C13335">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石油类</w:t>
            </w:r>
          </w:p>
        </w:tc>
        <w:tc>
          <w:tcPr>
            <w:tcW w:w="1548" w:type="dxa"/>
            <w:shd w:val="clear" w:color="auto" w:fill="FFFFFF"/>
            <w:vAlign w:val="center"/>
          </w:tcPr>
          <w:p w14:paraId="4AC1B9DF">
            <w:pPr>
              <w:keepNext w:val="0"/>
              <w:keepLines w:val="0"/>
              <w:widowControl/>
              <w:suppressLineNumbers w:val="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0.222</w:t>
            </w:r>
          </w:p>
        </w:tc>
        <w:tc>
          <w:tcPr>
            <w:tcW w:w="1703" w:type="dxa"/>
            <w:vAlign w:val="center"/>
          </w:tcPr>
          <w:p w14:paraId="5FDE91B5">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1"/>
                <w:szCs w:val="21"/>
                <w:u w:val="none"/>
                <w:lang w:val="en-US" w:eastAsia="zh-CN" w:bidi="ar"/>
              </w:rPr>
              <w:t>0.221</w:t>
            </w:r>
          </w:p>
        </w:tc>
        <w:tc>
          <w:tcPr>
            <w:tcW w:w="1703" w:type="dxa"/>
            <w:vAlign w:val="center"/>
          </w:tcPr>
          <w:p w14:paraId="4A70A595">
            <w:pPr>
              <w:keepNext w:val="0"/>
              <w:keepLines w:val="0"/>
              <w:widowControl/>
              <w:suppressLineNumbers w:val="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0.001</w:t>
            </w:r>
          </w:p>
        </w:tc>
      </w:tr>
      <w:tr w14:paraId="2E25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7BD1FD2E">
            <w:pPr>
              <w:autoSpaceDE w:val="0"/>
              <w:autoSpaceDN w:val="0"/>
              <w:jc w:val="center"/>
              <w:rPr>
                <w:rFonts w:hint="default" w:ascii="Arial" w:hAnsi="Arial" w:eastAsia="宋体" w:cs="Arial"/>
                <w:szCs w:val="21"/>
              </w:rPr>
            </w:pPr>
          </w:p>
        </w:tc>
        <w:tc>
          <w:tcPr>
            <w:tcW w:w="1713" w:type="dxa"/>
            <w:shd w:val="clear" w:color="auto" w:fill="FFFFFF"/>
            <w:vAlign w:val="center"/>
          </w:tcPr>
          <w:p w14:paraId="49D1C8BD">
            <w:pPr>
              <w:adjustRightInd w:val="0"/>
              <w:snapToGrid w:val="0"/>
              <w:jc w:val="center"/>
              <w:rPr>
                <w:rFonts w:hint="default" w:ascii="Arial" w:hAnsi="Arial" w:eastAsia="宋体" w:cs="Arial"/>
                <w:b w:val="0"/>
                <w:color w:val="000000"/>
                <w:kern w:val="2"/>
                <w:sz w:val="21"/>
                <w:szCs w:val="21"/>
                <w:lang w:val="en-US" w:eastAsia="zh-CN" w:bidi="ar-SA"/>
              </w:rPr>
            </w:pPr>
            <w:r>
              <w:rPr>
                <w:rFonts w:hint="default" w:ascii="Arial" w:hAnsi="Arial" w:eastAsia="宋体" w:cs="Arial"/>
                <w:b w:val="0"/>
                <w:color w:val="000000"/>
                <w:szCs w:val="21"/>
                <w:lang w:val="en-US" w:eastAsia="zh-CN"/>
              </w:rPr>
              <w:t>总氮</w:t>
            </w:r>
          </w:p>
        </w:tc>
        <w:tc>
          <w:tcPr>
            <w:tcW w:w="1548" w:type="dxa"/>
            <w:shd w:val="clear" w:color="auto" w:fill="FFFFFF"/>
            <w:vAlign w:val="center"/>
          </w:tcPr>
          <w:p w14:paraId="501B32AD">
            <w:pPr>
              <w:keepNext w:val="0"/>
              <w:keepLines w:val="0"/>
              <w:widowControl/>
              <w:suppressLineNumbers w:val="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0.034</w:t>
            </w:r>
          </w:p>
        </w:tc>
        <w:tc>
          <w:tcPr>
            <w:tcW w:w="1703" w:type="dxa"/>
            <w:vAlign w:val="center"/>
          </w:tcPr>
          <w:p w14:paraId="22DA13A4">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1"/>
                <w:szCs w:val="21"/>
                <w:u w:val="none"/>
                <w:lang w:val="en-US" w:eastAsia="zh-CN" w:bidi="ar"/>
              </w:rPr>
              <w:t>0.025</w:t>
            </w:r>
          </w:p>
        </w:tc>
        <w:tc>
          <w:tcPr>
            <w:tcW w:w="1703" w:type="dxa"/>
            <w:vAlign w:val="center"/>
          </w:tcPr>
          <w:p w14:paraId="580E6568">
            <w:pPr>
              <w:keepNext w:val="0"/>
              <w:keepLines w:val="0"/>
              <w:widowControl/>
              <w:suppressLineNumbers w:val="0"/>
              <w:jc w:val="center"/>
              <w:textAlignment w:val="center"/>
              <w:rPr>
                <w:rFonts w:hint="default" w:ascii="Arial" w:hAnsi="Arial" w:eastAsia="宋体" w:cs="Arial"/>
                <w:lang w:val="en-US" w:eastAsia="zh-CN"/>
              </w:rPr>
            </w:pPr>
            <w:r>
              <w:rPr>
                <w:rFonts w:hint="default" w:ascii="Arial" w:hAnsi="Arial" w:eastAsia="宋体" w:cs="Arial"/>
                <w:i w:val="0"/>
                <w:iCs w:val="0"/>
                <w:color w:val="000000"/>
                <w:kern w:val="0"/>
                <w:sz w:val="21"/>
                <w:szCs w:val="21"/>
                <w:u w:val="none"/>
                <w:lang w:val="en-US" w:eastAsia="zh-CN" w:bidi="ar"/>
              </w:rPr>
              <w:t>0.009</w:t>
            </w:r>
          </w:p>
        </w:tc>
      </w:tr>
      <w:tr w14:paraId="1D46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restart"/>
            <w:vAlign w:val="center"/>
          </w:tcPr>
          <w:p w14:paraId="22FCDE3B">
            <w:pPr>
              <w:autoSpaceDE w:val="0"/>
              <w:autoSpaceDN w:val="0"/>
              <w:jc w:val="center"/>
              <w:rPr>
                <w:rFonts w:hint="default" w:ascii="Arial" w:hAnsi="Arial" w:eastAsia="宋体" w:cs="Arial"/>
                <w:szCs w:val="21"/>
              </w:rPr>
            </w:pPr>
            <w:r>
              <w:rPr>
                <w:rFonts w:hint="default" w:ascii="Arial" w:hAnsi="Arial" w:eastAsia="宋体" w:cs="Arial"/>
                <w:szCs w:val="21"/>
              </w:rPr>
              <w:t>固废</w:t>
            </w:r>
          </w:p>
        </w:tc>
        <w:tc>
          <w:tcPr>
            <w:tcW w:w="1713" w:type="dxa"/>
            <w:vAlign w:val="center"/>
          </w:tcPr>
          <w:p w14:paraId="43B87B1F">
            <w:pPr>
              <w:jc w:val="center"/>
              <w:rPr>
                <w:rFonts w:hint="default" w:ascii="Arial" w:hAnsi="Arial" w:eastAsia="宋体" w:cs="Arial"/>
                <w:szCs w:val="21"/>
                <w:lang w:val="en-US" w:eastAsia="zh-CN"/>
              </w:rPr>
            </w:pPr>
            <w:r>
              <w:rPr>
                <w:rFonts w:hint="default" w:ascii="Arial" w:hAnsi="Arial" w:eastAsia="宋体" w:cs="Arial"/>
                <w:kern w:val="2"/>
                <w:sz w:val="21"/>
                <w:szCs w:val="21"/>
                <w:lang w:val="en-US" w:eastAsia="zh-CN" w:bidi="ar-SA"/>
              </w:rPr>
              <w:t>废一般包装材料</w:t>
            </w:r>
          </w:p>
        </w:tc>
        <w:tc>
          <w:tcPr>
            <w:tcW w:w="1548" w:type="dxa"/>
            <w:shd w:val="clear" w:color="auto" w:fill="auto"/>
            <w:vAlign w:val="center"/>
          </w:tcPr>
          <w:p w14:paraId="7639F63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1703" w:type="dxa"/>
            <w:shd w:val="clear" w:color="auto" w:fill="auto"/>
            <w:vAlign w:val="center"/>
          </w:tcPr>
          <w:p w14:paraId="028E8ADC">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1703" w:type="dxa"/>
            <w:vAlign w:val="center"/>
          </w:tcPr>
          <w:p w14:paraId="04EB198F">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6FAC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60EAE230">
            <w:pPr>
              <w:autoSpaceDE w:val="0"/>
              <w:autoSpaceDN w:val="0"/>
              <w:jc w:val="center"/>
              <w:rPr>
                <w:rFonts w:hint="default" w:ascii="Arial" w:hAnsi="Arial" w:eastAsia="宋体" w:cs="Arial"/>
                <w:szCs w:val="21"/>
              </w:rPr>
            </w:pPr>
          </w:p>
        </w:tc>
        <w:tc>
          <w:tcPr>
            <w:tcW w:w="1713" w:type="dxa"/>
            <w:vAlign w:val="center"/>
          </w:tcPr>
          <w:p w14:paraId="72065C96">
            <w:pPr>
              <w:jc w:val="center"/>
              <w:rPr>
                <w:rFonts w:hint="default" w:ascii="Arial" w:hAnsi="Arial" w:eastAsia="宋体" w:cs="Arial"/>
                <w:szCs w:val="21"/>
                <w:lang w:val="en-US" w:eastAsia="zh-CN"/>
              </w:rPr>
            </w:pPr>
            <w:r>
              <w:rPr>
                <w:rFonts w:hint="default" w:ascii="Arial" w:hAnsi="Arial" w:eastAsia="宋体" w:cs="Arial"/>
                <w:kern w:val="2"/>
                <w:sz w:val="21"/>
                <w:szCs w:val="21"/>
                <w:lang w:val="en-US" w:eastAsia="zh-CN" w:bidi="ar-SA"/>
              </w:rPr>
              <w:t>废金属边角料</w:t>
            </w:r>
          </w:p>
        </w:tc>
        <w:tc>
          <w:tcPr>
            <w:tcW w:w="1548" w:type="dxa"/>
            <w:shd w:val="clear" w:color="auto" w:fill="auto"/>
            <w:vAlign w:val="center"/>
          </w:tcPr>
          <w:p w14:paraId="482F16AB">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2500</w:t>
            </w:r>
          </w:p>
        </w:tc>
        <w:tc>
          <w:tcPr>
            <w:tcW w:w="1703" w:type="dxa"/>
            <w:shd w:val="clear" w:color="auto" w:fill="auto"/>
            <w:vAlign w:val="center"/>
          </w:tcPr>
          <w:p w14:paraId="54CF24AC">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2500</w:t>
            </w:r>
          </w:p>
        </w:tc>
        <w:tc>
          <w:tcPr>
            <w:tcW w:w="1703" w:type="dxa"/>
            <w:vAlign w:val="center"/>
          </w:tcPr>
          <w:p w14:paraId="103431B3">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62A9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4FD39A65">
            <w:pPr>
              <w:autoSpaceDE w:val="0"/>
              <w:autoSpaceDN w:val="0"/>
              <w:jc w:val="center"/>
              <w:rPr>
                <w:rFonts w:hint="default" w:ascii="Arial" w:hAnsi="Arial" w:eastAsia="宋体" w:cs="Arial"/>
                <w:szCs w:val="21"/>
              </w:rPr>
            </w:pPr>
          </w:p>
        </w:tc>
        <w:tc>
          <w:tcPr>
            <w:tcW w:w="1713" w:type="dxa"/>
            <w:vAlign w:val="center"/>
          </w:tcPr>
          <w:p w14:paraId="42E8CCCD">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不合格品</w:t>
            </w:r>
          </w:p>
        </w:tc>
        <w:tc>
          <w:tcPr>
            <w:tcW w:w="1548" w:type="dxa"/>
            <w:shd w:val="clear" w:color="auto" w:fill="auto"/>
            <w:vAlign w:val="center"/>
          </w:tcPr>
          <w:p w14:paraId="212E5AFE">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10</w:t>
            </w:r>
          </w:p>
        </w:tc>
        <w:tc>
          <w:tcPr>
            <w:tcW w:w="1703" w:type="dxa"/>
            <w:shd w:val="clear" w:color="auto" w:fill="auto"/>
            <w:vAlign w:val="center"/>
          </w:tcPr>
          <w:p w14:paraId="0EAD3991">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10</w:t>
            </w:r>
          </w:p>
        </w:tc>
        <w:tc>
          <w:tcPr>
            <w:tcW w:w="1703" w:type="dxa"/>
            <w:vAlign w:val="center"/>
          </w:tcPr>
          <w:p w14:paraId="33000DA2">
            <w:pPr>
              <w:autoSpaceDE w:val="0"/>
              <w:autoSpaceDN w:val="0"/>
              <w:jc w:val="center"/>
              <w:rPr>
                <w:rFonts w:hint="default" w:ascii="Arial" w:hAnsi="Arial" w:eastAsia="宋体" w:cs="Arial"/>
                <w:szCs w:val="21"/>
                <w:lang w:val="en-US" w:eastAsia="zh-CN"/>
              </w:rPr>
            </w:pPr>
            <w:r>
              <w:rPr>
                <w:rFonts w:hint="eastAsia" w:ascii="Arial" w:hAnsi="Arial" w:eastAsia="宋体" w:cs="Arial"/>
                <w:szCs w:val="21"/>
                <w:lang w:val="en-US" w:eastAsia="zh-CN"/>
              </w:rPr>
              <w:t>0</w:t>
            </w:r>
          </w:p>
        </w:tc>
      </w:tr>
      <w:tr w14:paraId="4D82C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5FEE83AF">
            <w:pPr>
              <w:autoSpaceDE w:val="0"/>
              <w:autoSpaceDN w:val="0"/>
              <w:jc w:val="center"/>
              <w:rPr>
                <w:rFonts w:hint="default" w:ascii="Arial" w:hAnsi="Arial" w:eastAsia="宋体" w:cs="Arial"/>
                <w:szCs w:val="21"/>
              </w:rPr>
            </w:pPr>
          </w:p>
        </w:tc>
        <w:tc>
          <w:tcPr>
            <w:tcW w:w="1713" w:type="dxa"/>
            <w:vAlign w:val="center"/>
          </w:tcPr>
          <w:p w14:paraId="1EF09CB6">
            <w:pPr>
              <w:jc w:val="center"/>
              <w:rPr>
                <w:rFonts w:hint="default" w:ascii="Arial" w:hAnsi="Arial" w:eastAsia="宋体" w:cs="Arial"/>
                <w:szCs w:val="21"/>
                <w:lang w:val="en-US" w:eastAsia="zh-CN"/>
              </w:rPr>
            </w:pPr>
            <w:r>
              <w:rPr>
                <w:rFonts w:hint="default" w:ascii="Arial" w:hAnsi="Arial" w:eastAsia="宋体" w:cs="Arial"/>
                <w:szCs w:val="21"/>
                <w:lang w:val="en-US" w:eastAsia="zh-CN"/>
              </w:rPr>
              <w:t>废含油金属屑</w:t>
            </w:r>
          </w:p>
        </w:tc>
        <w:tc>
          <w:tcPr>
            <w:tcW w:w="1548" w:type="dxa"/>
            <w:shd w:val="clear" w:color="auto" w:fill="auto"/>
            <w:vAlign w:val="center"/>
          </w:tcPr>
          <w:p w14:paraId="6048BE12">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5</w:t>
            </w:r>
          </w:p>
        </w:tc>
        <w:tc>
          <w:tcPr>
            <w:tcW w:w="1703" w:type="dxa"/>
            <w:shd w:val="clear" w:color="auto" w:fill="auto"/>
            <w:vAlign w:val="center"/>
          </w:tcPr>
          <w:p w14:paraId="2E5B4B29">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5</w:t>
            </w:r>
          </w:p>
        </w:tc>
        <w:tc>
          <w:tcPr>
            <w:tcW w:w="1703" w:type="dxa"/>
            <w:vAlign w:val="center"/>
          </w:tcPr>
          <w:p w14:paraId="0A3FD98D">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7BA9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6DA8A985">
            <w:pPr>
              <w:autoSpaceDE w:val="0"/>
              <w:autoSpaceDN w:val="0"/>
              <w:jc w:val="center"/>
              <w:rPr>
                <w:rFonts w:hint="default" w:ascii="Arial" w:hAnsi="Arial" w:eastAsia="宋体" w:cs="Arial"/>
                <w:szCs w:val="21"/>
              </w:rPr>
            </w:pPr>
          </w:p>
        </w:tc>
        <w:tc>
          <w:tcPr>
            <w:tcW w:w="1713" w:type="dxa"/>
            <w:vAlign w:val="center"/>
          </w:tcPr>
          <w:p w14:paraId="7E58ADC7">
            <w:pPr>
              <w:jc w:val="center"/>
              <w:rPr>
                <w:rFonts w:hint="default" w:ascii="Arial" w:hAnsi="Arial" w:eastAsia="宋体" w:cs="Arial"/>
                <w:szCs w:val="21"/>
                <w:lang w:val="en-US" w:eastAsia="zh-CN"/>
              </w:rPr>
            </w:pPr>
            <w:r>
              <w:rPr>
                <w:rFonts w:hint="default" w:ascii="Arial" w:hAnsi="Arial" w:eastAsia="宋体" w:cs="Arial"/>
                <w:bCs/>
                <w:kern w:val="2"/>
                <w:sz w:val="21"/>
                <w:szCs w:val="21"/>
                <w:lang w:val="en-US" w:eastAsia="zh-CN" w:bidi="ar-SA"/>
              </w:rPr>
              <w:t>磨搓泥</w:t>
            </w:r>
          </w:p>
        </w:tc>
        <w:tc>
          <w:tcPr>
            <w:tcW w:w="1548" w:type="dxa"/>
            <w:shd w:val="clear" w:color="auto" w:fill="auto"/>
            <w:vAlign w:val="center"/>
          </w:tcPr>
          <w:p w14:paraId="6BF485C0">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w:t>
            </w:r>
          </w:p>
        </w:tc>
        <w:tc>
          <w:tcPr>
            <w:tcW w:w="1703" w:type="dxa"/>
            <w:shd w:val="clear" w:color="auto" w:fill="auto"/>
            <w:vAlign w:val="center"/>
          </w:tcPr>
          <w:p w14:paraId="00A518E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w:t>
            </w:r>
          </w:p>
        </w:tc>
        <w:tc>
          <w:tcPr>
            <w:tcW w:w="1703" w:type="dxa"/>
            <w:vAlign w:val="center"/>
          </w:tcPr>
          <w:p w14:paraId="0F309FD7">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6396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0C7396E3">
            <w:pPr>
              <w:autoSpaceDE w:val="0"/>
              <w:autoSpaceDN w:val="0"/>
              <w:jc w:val="center"/>
              <w:rPr>
                <w:rFonts w:hint="default" w:ascii="Arial" w:hAnsi="Arial" w:eastAsia="宋体" w:cs="Arial"/>
                <w:szCs w:val="21"/>
              </w:rPr>
            </w:pPr>
          </w:p>
        </w:tc>
        <w:tc>
          <w:tcPr>
            <w:tcW w:w="1713" w:type="dxa"/>
            <w:vAlign w:val="center"/>
          </w:tcPr>
          <w:p w14:paraId="584BF4DF">
            <w:pPr>
              <w:jc w:val="center"/>
              <w:rPr>
                <w:rFonts w:hint="default" w:ascii="Arial" w:hAnsi="Arial" w:eastAsia="宋体" w:cs="Arial"/>
                <w:szCs w:val="21"/>
                <w:lang w:val="en-US" w:eastAsia="zh-CN"/>
              </w:rPr>
            </w:pPr>
            <w:r>
              <w:rPr>
                <w:rFonts w:hint="default" w:ascii="Arial" w:hAnsi="Arial" w:eastAsia="宋体" w:cs="Arial"/>
                <w:bCs/>
                <w:szCs w:val="21"/>
                <w:lang w:val="en-US" w:eastAsia="zh-CN"/>
              </w:rPr>
              <w:t>废淬火液</w:t>
            </w:r>
          </w:p>
        </w:tc>
        <w:tc>
          <w:tcPr>
            <w:tcW w:w="1548" w:type="dxa"/>
            <w:shd w:val="clear" w:color="auto" w:fill="auto"/>
            <w:vAlign w:val="center"/>
          </w:tcPr>
          <w:p w14:paraId="6DA20DA7">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1.0</w:t>
            </w:r>
          </w:p>
        </w:tc>
        <w:tc>
          <w:tcPr>
            <w:tcW w:w="1703" w:type="dxa"/>
            <w:shd w:val="clear" w:color="auto" w:fill="auto"/>
            <w:vAlign w:val="center"/>
          </w:tcPr>
          <w:p w14:paraId="0C1906E0">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1.0</w:t>
            </w:r>
          </w:p>
        </w:tc>
        <w:tc>
          <w:tcPr>
            <w:tcW w:w="1703" w:type="dxa"/>
            <w:vAlign w:val="center"/>
          </w:tcPr>
          <w:p w14:paraId="5C128E18">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38CD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00387195">
            <w:pPr>
              <w:autoSpaceDE w:val="0"/>
              <w:autoSpaceDN w:val="0"/>
              <w:jc w:val="center"/>
              <w:rPr>
                <w:rFonts w:hint="default" w:ascii="Arial" w:hAnsi="Arial" w:eastAsia="宋体" w:cs="Arial"/>
                <w:szCs w:val="21"/>
              </w:rPr>
            </w:pPr>
          </w:p>
        </w:tc>
        <w:tc>
          <w:tcPr>
            <w:tcW w:w="1713" w:type="dxa"/>
            <w:vAlign w:val="center"/>
          </w:tcPr>
          <w:p w14:paraId="0BF37A9E">
            <w:pPr>
              <w:jc w:val="center"/>
              <w:rPr>
                <w:rFonts w:hint="default" w:ascii="Arial" w:hAnsi="Arial" w:eastAsia="宋体" w:cs="Arial"/>
                <w:szCs w:val="21"/>
                <w:lang w:val="en-US" w:eastAsia="zh-CN"/>
              </w:rPr>
            </w:pPr>
            <w:r>
              <w:rPr>
                <w:rFonts w:hint="default" w:ascii="Arial" w:hAnsi="Arial" w:eastAsia="宋体" w:cs="Arial"/>
                <w:bCs/>
                <w:szCs w:val="21"/>
                <w:lang w:val="en-US" w:eastAsia="zh-CN"/>
              </w:rPr>
              <w:t>废切削液</w:t>
            </w:r>
          </w:p>
        </w:tc>
        <w:tc>
          <w:tcPr>
            <w:tcW w:w="1548" w:type="dxa"/>
            <w:shd w:val="clear" w:color="auto" w:fill="auto"/>
            <w:vAlign w:val="center"/>
          </w:tcPr>
          <w:p w14:paraId="7A1973B1">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115.5</w:t>
            </w:r>
          </w:p>
        </w:tc>
        <w:tc>
          <w:tcPr>
            <w:tcW w:w="1703" w:type="dxa"/>
            <w:shd w:val="clear" w:color="auto" w:fill="auto"/>
            <w:vAlign w:val="center"/>
          </w:tcPr>
          <w:p w14:paraId="5A9B395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115.5</w:t>
            </w:r>
          </w:p>
        </w:tc>
        <w:tc>
          <w:tcPr>
            <w:tcW w:w="1703" w:type="dxa"/>
            <w:vAlign w:val="center"/>
          </w:tcPr>
          <w:p w14:paraId="25754791">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7C58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7D2A8381">
            <w:pPr>
              <w:autoSpaceDE w:val="0"/>
              <w:autoSpaceDN w:val="0"/>
              <w:jc w:val="center"/>
              <w:rPr>
                <w:rFonts w:hint="default" w:ascii="Arial" w:hAnsi="Arial" w:eastAsia="宋体" w:cs="Arial"/>
                <w:szCs w:val="21"/>
              </w:rPr>
            </w:pPr>
          </w:p>
        </w:tc>
        <w:tc>
          <w:tcPr>
            <w:tcW w:w="1713" w:type="dxa"/>
            <w:vAlign w:val="center"/>
          </w:tcPr>
          <w:p w14:paraId="5A738647">
            <w:pPr>
              <w:jc w:val="center"/>
              <w:rPr>
                <w:rFonts w:hint="default" w:ascii="Arial" w:hAnsi="Arial" w:eastAsia="宋体" w:cs="Arial"/>
                <w:szCs w:val="21"/>
                <w:lang w:val="en-US" w:eastAsia="zh-CN"/>
              </w:rPr>
            </w:pPr>
            <w:r>
              <w:rPr>
                <w:rFonts w:hint="default" w:ascii="Arial" w:hAnsi="Arial" w:eastAsia="宋体" w:cs="Arial"/>
                <w:szCs w:val="21"/>
              </w:rPr>
              <w:t>废</w:t>
            </w:r>
            <w:r>
              <w:rPr>
                <w:rFonts w:hint="default" w:ascii="Arial" w:hAnsi="Arial" w:eastAsia="宋体" w:cs="Arial"/>
                <w:szCs w:val="21"/>
                <w:lang w:val="en-US" w:eastAsia="zh-CN"/>
              </w:rPr>
              <w:t>化学品包装</w:t>
            </w:r>
          </w:p>
        </w:tc>
        <w:tc>
          <w:tcPr>
            <w:tcW w:w="1548" w:type="dxa"/>
            <w:shd w:val="clear" w:color="auto" w:fill="auto"/>
            <w:vAlign w:val="center"/>
          </w:tcPr>
          <w:p w14:paraId="5FA23E5A">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10.9</w:t>
            </w:r>
          </w:p>
        </w:tc>
        <w:tc>
          <w:tcPr>
            <w:tcW w:w="1703" w:type="dxa"/>
            <w:shd w:val="clear" w:color="auto" w:fill="auto"/>
            <w:vAlign w:val="center"/>
          </w:tcPr>
          <w:p w14:paraId="7A3B482C">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10.9</w:t>
            </w:r>
          </w:p>
        </w:tc>
        <w:tc>
          <w:tcPr>
            <w:tcW w:w="1703" w:type="dxa"/>
            <w:vAlign w:val="center"/>
          </w:tcPr>
          <w:p w14:paraId="6F8D2F24">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3761A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3576C842">
            <w:pPr>
              <w:autoSpaceDE w:val="0"/>
              <w:autoSpaceDN w:val="0"/>
              <w:jc w:val="center"/>
              <w:rPr>
                <w:rFonts w:hint="default" w:ascii="Arial" w:hAnsi="Arial" w:eastAsia="宋体" w:cs="Arial"/>
                <w:szCs w:val="21"/>
              </w:rPr>
            </w:pPr>
          </w:p>
        </w:tc>
        <w:tc>
          <w:tcPr>
            <w:tcW w:w="1713" w:type="dxa"/>
            <w:vAlign w:val="center"/>
          </w:tcPr>
          <w:p w14:paraId="7E8102DB">
            <w:pPr>
              <w:jc w:val="center"/>
              <w:rPr>
                <w:rFonts w:hint="default" w:ascii="Arial" w:hAnsi="Arial" w:eastAsia="宋体" w:cs="Arial"/>
                <w:szCs w:val="21"/>
                <w:lang w:val="en-US" w:eastAsia="zh-CN"/>
              </w:rPr>
            </w:pPr>
            <w:r>
              <w:rPr>
                <w:rFonts w:hint="default" w:ascii="Arial" w:hAnsi="Arial" w:eastAsia="宋体" w:cs="Arial"/>
                <w:szCs w:val="21"/>
                <w:lang w:val="en-US" w:eastAsia="zh-CN"/>
              </w:rPr>
              <w:t>废水处理浓缩液</w:t>
            </w:r>
          </w:p>
        </w:tc>
        <w:tc>
          <w:tcPr>
            <w:tcW w:w="1548" w:type="dxa"/>
            <w:shd w:val="clear" w:color="auto" w:fill="auto"/>
            <w:vAlign w:val="center"/>
          </w:tcPr>
          <w:p w14:paraId="2D62B959">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127.9</w:t>
            </w:r>
          </w:p>
        </w:tc>
        <w:tc>
          <w:tcPr>
            <w:tcW w:w="1703" w:type="dxa"/>
            <w:shd w:val="clear" w:color="auto" w:fill="auto"/>
            <w:vAlign w:val="center"/>
          </w:tcPr>
          <w:p w14:paraId="32A0ABD3">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127.9</w:t>
            </w:r>
          </w:p>
        </w:tc>
        <w:tc>
          <w:tcPr>
            <w:tcW w:w="1703" w:type="dxa"/>
            <w:vAlign w:val="center"/>
          </w:tcPr>
          <w:p w14:paraId="157684AA">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690C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7CC63CBA">
            <w:pPr>
              <w:autoSpaceDE w:val="0"/>
              <w:autoSpaceDN w:val="0"/>
              <w:jc w:val="center"/>
              <w:rPr>
                <w:rFonts w:hint="default" w:ascii="Arial" w:hAnsi="Arial" w:eastAsia="宋体" w:cs="Arial"/>
                <w:szCs w:val="21"/>
              </w:rPr>
            </w:pPr>
          </w:p>
        </w:tc>
        <w:tc>
          <w:tcPr>
            <w:tcW w:w="1713" w:type="dxa"/>
            <w:vAlign w:val="center"/>
          </w:tcPr>
          <w:p w14:paraId="6CA90A51">
            <w:pPr>
              <w:jc w:val="center"/>
              <w:rPr>
                <w:rFonts w:hint="default" w:ascii="Arial" w:hAnsi="Arial" w:eastAsia="宋体" w:cs="Arial"/>
                <w:szCs w:val="21"/>
                <w:lang w:val="en-US" w:eastAsia="zh-CN"/>
              </w:rPr>
            </w:pPr>
            <w:r>
              <w:rPr>
                <w:rFonts w:hint="default" w:ascii="Arial" w:hAnsi="Arial" w:eastAsia="宋体" w:cs="Arial"/>
                <w:szCs w:val="21"/>
                <w:lang w:val="en-US" w:eastAsia="zh-CN"/>
              </w:rPr>
              <w:t>废水处理废膜</w:t>
            </w:r>
          </w:p>
        </w:tc>
        <w:tc>
          <w:tcPr>
            <w:tcW w:w="1548" w:type="dxa"/>
            <w:shd w:val="clear" w:color="auto" w:fill="auto"/>
            <w:vAlign w:val="center"/>
          </w:tcPr>
          <w:p w14:paraId="21EAE282">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0.1</w:t>
            </w:r>
          </w:p>
        </w:tc>
        <w:tc>
          <w:tcPr>
            <w:tcW w:w="1703" w:type="dxa"/>
            <w:shd w:val="clear" w:color="auto" w:fill="auto"/>
            <w:vAlign w:val="center"/>
          </w:tcPr>
          <w:p w14:paraId="19329D3C">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0.1</w:t>
            </w:r>
          </w:p>
        </w:tc>
        <w:tc>
          <w:tcPr>
            <w:tcW w:w="1703" w:type="dxa"/>
            <w:vAlign w:val="center"/>
          </w:tcPr>
          <w:p w14:paraId="25ED23F1">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7419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Merge w:val="continue"/>
            <w:vAlign w:val="center"/>
          </w:tcPr>
          <w:p w14:paraId="4CFA43A1">
            <w:pPr>
              <w:autoSpaceDE w:val="0"/>
              <w:autoSpaceDN w:val="0"/>
              <w:jc w:val="center"/>
              <w:rPr>
                <w:rFonts w:hint="default" w:ascii="Arial" w:hAnsi="Arial" w:eastAsia="宋体" w:cs="Arial"/>
                <w:szCs w:val="21"/>
              </w:rPr>
            </w:pPr>
          </w:p>
        </w:tc>
        <w:tc>
          <w:tcPr>
            <w:tcW w:w="1713" w:type="dxa"/>
            <w:vAlign w:val="center"/>
          </w:tcPr>
          <w:p w14:paraId="5A9577C9">
            <w:pPr>
              <w:jc w:val="center"/>
              <w:rPr>
                <w:rFonts w:hint="default" w:ascii="Arial" w:hAnsi="Arial" w:eastAsia="宋体" w:cs="Arial"/>
                <w:szCs w:val="21"/>
              </w:rPr>
            </w:pPr>
            <w:r>
              <w:rPr>
                <w:rFonts w:hint="default" w:ascii="Arial" w:hAnsi="Arial" w:eastAsia="宋体" w:cs="Arial"/>
                <w:bCs/>
                <w:szCs w:val="21"/>
              </w:rPr>
              <w:t>生活垃圾</w:t>
            </w:r>
          </w:p>
        </w:tc>
        <w:tc>
          <w:tcPr>
            <w:tcW w:w="1548" w:type="dxa"/>
            <w:shd w:val="clear" w:color="auto" w:fill="auto"/>
            <w:vAlign w:val="center"/>
          </w:tcPr>
          <w:p w14:paraId="56BD975F">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63</w:t>
            </w:r>
          </w:p>
        </w:tc>
        <w:tc>
          <w:tcPr>
            <w:tcW w:w="1703" w:type="dxa"/>
            <w:shd w:val="clear" w:color="auto" w:fill="auto"/>
            <w:vAlign w:val="center"/>
          </w:tcPr>
          <w:p w14:paraId="286D709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63</w:t>
            </w:r>
          </w:p>
        </w:tc>
        <w:tc>
          <w:tcPr>
            <w:tcW w:w="1703" w:type="dxa"/>
            <w:vAlign w:val="center"/>
          </w:tcPr>
          <w:p w14:paraId="5029E661">
            <w:pPr>
              <w:autoSpaceDE w:val="0"/>
              <w:autoSpaceDN w:val="0"/>
              <w:jc w:val="center"/>
              <w:rPr>
                <w:rFonts w:hint="default" w:ascii="Arial" w:hAnsi="Arial" w:eastAsia="宋体" w:cs="Arial"/>
                <w:szCs w:val="21"/>
              </w:rPr>
            </w:pPr>
            <w:r>
              <w:rPr>
                <w:rFonts w:hint="default" w:ascii="Arial" w:hAnsi="Arial" w:eastAsia="宋体" w:cs="Arial"/>
                <w:szCs w:val="21"/>
                <w:lang w:val="en-US" w:eastAsia="zh-CN"/>
              </w:rPr>
              <w:t>0</w:t>
            </w:r>
          </w:p>
        </w:tc>
      </w:tr>
      <w:tr w14:paraId="4E9D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71" w:type="dxa"/>
            <w:vAlign w:val="center"/>
          </w:tcPr>
          <w:p w14:paraId="7C519E22">
            <w:pPr>
              <w:autoSpaceDE w:val="0"/>
              <w:autoSpaceDN w:val="0"/>
              <w:jc w:val="center"/>
              <w:rPr>
                <w:rFonts w:hint="default" w:ascii="Arial" w:hAnsi="Arial" w:eastAsia="宋体" w:cs="Arial"/>
                <w:szCs w:val="21"/>
              </w:rPr>
            </w:pPr>
            <w:r>
              <w:rPr>
                <w:rFonts w:hint="default" w:ascii="Arial" w:hAnsi="Arial" w:eastAsia="宋体" w:cs="Arial"/>
                <w:szCs w:val="21"/>
              </w:rPr>
              <w:t>噪声</w:t>
            </w:r>
          </w:p>
        </w:tc>
        <w:tc>
          <w:tcPr>
            <w:tcW w:w="6667" w:type="dxa"/>
            <w:gridSpan w:val="4"/>
            <w:vAlign w:val="center"/>
          </w:tcPr>
          <w:p w14:paraId="5F554EB1">
            <w:pPr>
              <w:autoSpaceDE w:val="0"/>
              <w:autoSpaceDN w:val="0"/>
              <w:jc w:val="center"/>
              <w:rPr>
                <w:rFonts w:hint="default" w:ascii="Arial" w:hAnsi="Arial" w:eastAsia="宋体" w:cs="Arial"/>
                <w:szCs w:val="21"/>
              </w:rPr>
            </w:pPr>
            <w:r>
              <w:rPr>
                <w:rFonts w:hint="default" w:ascii="Arial" w:hAnsi="Arial" w:eastAsia="宋体" w:cs="Arial"/>
                <w:szCs w:val="21"/>
              </w:rPr>
              <w:t>各类生产、动力设备运行噪声</w:t>
            </w:r>
          </w:p>
        </w:tc>
      </w:tr>
    </w:tbl>
    <w:p w14:paraId="2549AB72">
      <w:pPr>
        <w:pStyle w:val="76"/>
        <w:numPr>
          <w:ilvl w:val="3"/>
          <w:numId w:val="4"/>
        </w:numPr>
        <w:spacing w:line="360" w:lineRule="auto"/>
        <w:ind w:firstLineChars="0"/>
        <w:jc w:val="center"/>
        <w:outlineLvl w:val="3"/>
        <w:rPr>
          <w:rFonts w:ascii="Times New Roman" w:hAnsi="Times New Roman" w:eastAsia="宋体"/>
          <w:b/>
          <w:bCs/>
          <w:sz w:val="24"/>
          <w:szCs w:val="24"/>
        </w:rPr>
      </w:pPr>
      <w:r>
        <w:rPr>
          <w:rFonts w:hint="eastAsia" w:ascii="Times New Roman" w:hAnsi="Times New Roman" w:eastAsia="宋体"/>
          <w:b/>
          <w:bCs/>
          <w:sz w:val="24"/>
          <w:szCs w:val="24"/>
        </w:rPr>
        <w:t xml:space="preserve"> </w:t>
      </w:r>
      <w:r>
        <w:rPr>
          <w:rFonts w:ascii="Times New Roman" w:hAnsi="Times New Roman" w:eastAsia="宋体"/>
          <w:b/>
          <w:bCs/>
          <w:sz w:val="24"/>
          <w:szCs w:val="24"/>
        </w:rPr>
        <w:t xml:space="preserve"> </w:t>
      </w:r>
      <w:r>
        <w:rPr>
          <w:rFonts w:hint="eastAsia" w:ascii="Times New Roman" w:hAnsi="Times New Roman" w:eastAsia="宋体"/>
          <w:b/>
          <w:bCs/>
          <w:sz w:val="24"/>
          <w:szCs w:val="24"/>
        </w:rPr>
        <w:t>本项目实施后企业</w:t>
      </w:r>
      <w:r>
        <w:rPr>
          <w:rFonts w:hint="eastAsia" w:ascii="Times New Roman" w:hAnsi="Times New Roman" w:eastAsia="宋体"/>
          <w:b/>
          <w:bCs/>
          <w:sz w:val="24"/>
          <w:szCs w:val="24"/>
          <w:lang w:val="en-US" w:eastAsia="zh-CN"/>
        </w:rPr>
        <w:t>主要</w:t>
      </w:r>
      <w:r>
        <w:rPr>
          <w:rFonts w:hint="eastAsia" w:ascii="Times New Roman" w:hAnsi="Times New Roman" w:eastAsia="宋体"/>
          <w:b/>
          <w:bCs/>
          <w:sz w:val="24"/>
          <w:szCs w:val="24"/>
        </w:rPr>
        <w:t>污染物排放情况</w:t>
      </w:r>
    </w:p>
    <w:tbl>
      <w:tblPr>
        <w:tblStyle w:val="52"/>
        <w:tblW w:w="79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5"/>
        <w:gridCol w:w="519"/>
        <w:gridCol w:w="851"/>
        <w:gridCol w:w="1134"/>
        <w:gridCol w:w="850"/>
        <w:gridCol w:w="1134"/>
        <w:gridCol w:w="827"/>
        <w:gridCol w:w="1288"/>
        <w:gridCol w:w="870"/>
      </w:tblGrid>
      <w:tr w14:paraId="5BCA8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465" w:type="dxa"/>
            <w:vMerge w:val="restart"/>
            <w:noWrap w:val="0"/>
            <w:vAlign w:val="center"/>
          </w:tcPr>
          <w:p w14:paraId="76689492">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项目</w:t>
            </w:r>
          </w:p>
        </w:tc>
        <w:tc>
          <w:tcPr>
            <w:tcW w:w="519" w:type="dxa"/>
            <w:vMerge w:val="restart"/>
            <w:noWrap w:val="0"/>
            <w:vAlign w:val="center"/>
          </w:tcPr>
          <w:p w14:paraId="6E81F807">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污染物</w:t>
            </w:r>
          </w:p>
        </w:tc>
        <w:tc>
          <w:tcPr>
            <w:tcW w:w="851" w:type="dxa"/>
            <w:vMerge w:val="restart"/>
            <w:noWrap w:val="0"/>
            <w:vAlign w:val="center"/>
          </w:tcPr>
          <w:p w14:paraId="3A3DDF97">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污染</w:t>
            </w:r>
            <w:r>
              <w:rPr>
                <w:rFonts w:hint="default" w:ascii="Arial" w:hAnsi="Arial" w:eastAsia="宋体" w:cs="Arial"/>
                <w:color w:val="000000" w:themeColor="text1"/>
                <w:sz w:val="18"/>
                <w:szCs w:val="18"/>
                <w14:textFill>
                  <w14:solidFill>
                    <w14:schemeClr w14:val="tx1"/>
                  </w14:solidFill>
                </w14:textFill>
              </w:rPr>
              <w:br w:type="textWrapping"/>
            </w:r>
            <w:r>
              <w:rPr>
                <w:rFonts w:hint="default" w:ascii="Arial" w:hAnsi="Arial" w:eastAsia="宋体" w:cs="Arial"/>
                <w:color w:val="000000" w:themeColor="text1"/>
                <w:sz w:val="18"/>
                <w:szCs w:val="18"/>
                <w14:textFill>
                  <w14:solidFill>
                    <w14:schemeClr w14:val="tx1"/>
                  </w14:solidFill>
                </w14:textFill>
              </w:rPr>
              <w:t>因子</w:t>
            </w:r>
          </w:p>
        </w:tc>
        <w:tc>
          <w:tcPr>
            <w:tcW w:w="1134" w:type="dxa"/>
            <w:vMerge w:val="restart"/>
            <w:tcBorders>
              <w:left w:val="single" w:color="auto" w:sz="4" w:space="0"/>
            </w:tcBorders>
            <w:noWrap w:val="0"/>
            <w:vAlign w:val="center"/>
          </w:tcPr>
          <w:p w14:paraId="248721FF">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现有工程许可排放量</w:t>
            </w:r>
          </w:p>
        </w:tc>
        <w:tc>
          <w:tcPr>
            <w:tcW w:w="1984" w:type="dxa"/>
            <w:gridSpan w:val="2"/>
            <w:tcBorders>
              <w:bottom w:val="single" w:color="auto" w:sz="4" w:space="0"/>
            </w:tcBorders>
            <w:noWrap w:val="0"/>
            <w:vAlign w:val="center"/>
          </w:tcPr>
          <w:p w14:paraId="462EDBD4">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本项目</w:t>
            </w:r>
          </w:p>
        </w:tc>
        <w:tc>
          <w:tcPr>
            <w:tcW w:w="827" w:type="dxa"/>
            <w:vMerge w:val="restart"/>
            <w:tcBorders>
              <w:right w:val="single" w:color="auto" w:sz="4" w:space="0"/>
            </w:tcBorders>
            <w:noWrap w:val="0"/>
            <w:vAlign w:val="center"/>
          </w:tcPr>
          <w:p w14:paraId="051B2286">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以新带老削减量</w:t>
            </w:r>
          </w:p>
        </w:tc>
        <w:tc>
          <w:tcPr>
            <w:tcW w:w="1288" w:type="dxa"/>
            <w:vMerge w:val="restart"/>
            <w:tcBorders>
              <w:left w:val="single" w:color="auto" w:sz="4" w:space="0"/>
            </w:tcBorders>
            <w:noWrap w:val="0"/>
            <w:vAlign w:val="center"/>
          </w:tcPr>
          <w:p w14:paraId="48511361">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项目实施后环境排放量</w:t>
            </w:r>
          </w:p>
        </w:tc>
        <w:tc>
          <w:tcPr>
            <w:tcW w:w="870" w:type="dxa"/>
            <w:vMerge w:val="restart"/>
            <w:noWrap w:val="0"/>
            <w:vAlign w:val="center"/>
          </w:tcPr>
          <w:p w14:paraId="205E7AAF">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排放增减量</w:t>
            </w:r>
          </w:p>
        </w:tc>
      </w:tr>
      <w:tr w14:paraId="669D4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465" w:type="dxa"/>
            <w:vMerge w:val="continue"/>
            <w:noWrap w:val="0"/>
            <w:vAlign w:val="center"/>
          </w:tcPr>
          <w:p w14:paraId="5F26AD9D">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519" w:type="dxa"/>
            <w:vMerge w:val="continue"/>
            <w:noWrap w:val="0"/>
            <w:vAlign w:val="center"/>
          </w:tcPr>
          <w:p w14:paraId="77590F57">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851" w:type="dxa"/>
            <w:vMerge w:val="continue"/>
            <w:noWrap w:val="0"/>
            <w:vAlign w:val="center"/>
          </w:tcPr>
          <w:p w14:paraId="1116A88C">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1134" w:type="dxa"/>
            <w:vMerge w:val="continue"/>
            <w:tcBorders>
              <w:left w:val="single" w:color="auto" w:sz="4" w:space="0"/>
            </w:tcBorders>
            <w:noWrap w:val="0"/>
            <w:vAlign w:val="center"/>
          </w:tcPr>
          <w:p w14:paraId="4365E430">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850" w:type="dxa"/>
            <w:tcBorders>
              <w:top w:val="single" w:color="auto" w:sz="4" w:space="0"/>
            </w:tcBorders>
            <w:noWrap w:val="0"/>
            <w:vAlign w:val="center"/>
          </w:tcPr>
          <w:p w14:paraId="5EBD51F6">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产生量</w:t>
            </w:r>
          </w:p>
        </w:tc>
        <w:tc>
          <w:tcPr>
            <w:tcW w:w="1134" w:type="dxa"/>
            <w:tcBorders>
              <w:top w:val="single" w:color="auto" w:sz="4" w:space="0"/>
            </w:tcBorders>
            <w:noWrap w:val="0"/>
            <w:vAlign w:val="center"/>
          </w:tcPr>
          <w:p w14:paraId="38242D4D">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环境排放量</w:t>
            </w:r>
          </w:p>
        </w:tc>
        <w:tc>
          <w:tcPr>
            <w:tcW w:w="827" w:type="dxa"/>
            <w:vMerge w:val="continue"/>
            <w:tcBorders>
              <w:right w:val="single" w:color="auto" w:sz="4" w:space="0"/>
            </w:tcBorders>
            <w:noWrap w:val="0"/>
            <w:vAlign w:val="center"/>
          </w:tcPr>
          <w:p w14:paraId="34E12EFF">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1288" w:type="dxa"/>
            <w:vMerge w:val="continue"/>
            <w:tcBorders>
              <w:left w:val="single" w:color="auto" w:sz="4" w:space="0"/>
            </w:tcBorders>
            <w:noWrap w:val="0"/>
            <w:vAlign w:val="center"/>
          </w:tcPr>
          <w:p w14:paraId="66B6772F">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870" w:type="dxa"/>
            <w:vMerge w:val="continue"/>
            <w:noWrap w:val="0"/>
            <w:vAlign w:val="center"/>
          </w:tcPr>
          <w:p w14:paraId="4CBF9F83">
            <w:pPr>
              <w:snapToGrid w:val="0"/>
              <w:jc w:val="center"/>
              <w:rPr>
                <w:rFonts w:hint="default" w:ascii="Arial" w:hAnsi="Arial" w:eastAsia="宋体" w:cs="Arial"/>
                <w:color w:val="000000" w:themeColor="text1"/>
                <w:sz w:val="18"/>
                <w:szCs w:val="18"/>
                <w14:textFill>
                  <w14:solidFill>
                    <w14:schemeClr w14:val="tx1"/>
                  </w14:solidFill>
                </w14:textFill>
              </w:rPr>
            </w:pPr>
          </w:p>
        </w:tc>
      </w:tr>
      <w:tr w14:paraId="44272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65" w:type="dxa"/>
            <w:vMerge w:val="restart"/>
            <w:noWrap w:val="0"/>
            <w:vAlign w:val="center"/>
          </w:tcPr>
          <w:p w14:paraId="28551592">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废水</w:t>
            </w:r>
          </w:p>
        </w:tc>
        <w:tc>
          <w:tcPr>
            <w:tcW w:w="519" w:type="dxa"/>
            <w:vMerge w:val="restart"/>
            <w:tcBorders>
              <w:right w:val="single" w:color="auto" w:sz="4" w:space="0"/>
            </w:tcBorders>
            <w:noWrap w:val="0"/>
            <w:vAlign w:val="center"/>
          </w:tcPr>
          <w:p w14:paraId="28A6FB94">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生产废水</w:t>
            </w:r>
          </w:p>
        </w:tc>
        <w:tc>
          <w:tcPr>
            <w:tcW w:w="851" w:type="dxa"/>
            <w:tcBorders>
              <w:left w:val="single" w:color="auto" w:sz="4" w:space="0"/>
            </w:tcBorders>
            <w:noWrap w:val="0"/>
            <w:vAlign w:val="center"/>
          </w:tcPr>
          <w:p w14:paraId="6041125F">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kern w:val="0"/>
                <w:sz w:val="18"/>
                <w:szCs w:val="18"/>
                <w14:textFill>
                  <w14:solidFill>
                    <w14:schemeClr w14:val="tx1"/>
                  </w14:solidFill>
                </w14:textFill>
              </w:rPr>
              <w:t>废水量</w:t>
            </w:r>
          </w:p>
        </w:tc>
        <w:tc>
          <w:tcPr>
            <w:tcW w:w="1134" w:type="dxa"/>
            <w:tcBorders>
              <w:left w:val="single" w:color="auto" w:sz="4" w:space="0"/>
            </w:tcBorders>
            <w:noWrap w:val="0"/>
            <w:vAlign w:val="center"/>
          </w:tcPr>
          <w:p w14:paraId="74774CFA">
            <w:pPr>
              <w:pStyle w:val="834"/>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9000</w:t>
            </w:r>
          </w:p>
        </w:tc>
        <w:tc>
          <w:tcPr>
            <w:tcW w:w="850" w:type="dxa"/>
            <w:noWrap w:val="0"/>
            <w:vAlign w:val="center"/>
          </w:tcPr>
          <w:p w14:paraId="7935CAA9">
            <w:pPr>
              <w:autoSpaceDE w:val="0"/>
              <w:autoSpaceDN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852.6</w:t>
            </w:r>
          </w:p>
        </w:tc>
        <w:tc>
          <w:tcPr>
            <w:tcW w:w="1134" w:type="dxa"/>
            <w:noWrap w:val="0"/>
            <w:vAlign w:val="center"/>
          </w:tcPr>
          <w:p w14:paraId="745A6D6C">
            <w:pPr>
              <w:autoSpaceDE w:val="0"/>
              <w:autoSpaceDN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724.7</w:t>
            </w:r>
          </w:p>
        </w:tc>
        <w:tc>
          <w:tcPr>
            <w:tcW w:w="827" w:type="dxa"/>
            <w:tcBorders>
              <w:right w:val="single" w:color="auto" w:sz="4" w:space="0"/>
            </w:tcBorders>
            <w:noWrap w:val="0"/>
            <w:vAlign w:val="center"/>
          </w:tcPr>
          <w:p w14:paraId="463BDFBA">
            <w:pPr>
              <w:pStyle w:val="834"/>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9000</w:t>
            </w:r>
          </w:p>
        </w:tc>
        <w:tc>
          <w:tcPr>
            <w:tcW w:w="1288" w:type="dxa"/>
            <w:tcBorders>
              <w:left w:val="single" w:color="auto" w:sz="4" w:space="0"/>
            </w:tcBorders>
            <w:noWrap w:val="0"/>
            <w:vAlign w:val="center"/>
          </w:tcPr>
          <w:p w14:paraId="41378EA0">
            <w:pPr>
              <w:autoSpaceDE w:val="0"/>
              <w:autoSpaceDN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724.7</w:t>
            </w:r>
          </w:p>
        </w:tc>
        <w:tc>
          <w:tcPr>
            <w:tcW w:w="870" w:type="dxa"/>
            <w:noWrap w:val="0"/>
            <w:vAlign w:val="center"/>
          </w:tcPr>
          <w:p w14:paraId="755B2A0C">
            <w:pPr>
              <w:pStyle w:val="834"/>
              <w:jc w:val="center"/>
              <w:rPr>
                <w:rFonts w:hint="default" w:ascii="Arial" w:hAnsi="Arial"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-8275.3</w:t>
            </w:r>
          </w:p>
        </w:tc>
      </w:tr>
      <w:tr w14:paraId="7C9FF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65" w:type="dxa"/>
            <w:vMerge w:val="continue"/>
            <w:noWrap w:val="0"/>
            <w:vAlign w:val="center"/>
          </w:tcPr>
          <w:p w14:paraId="0754D2FA">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519" w:type="dxa"/>
            <w:vMerge w:val="continue"/>
            <w:tcBorders>
              <w:right w:val="single" w:color="auto" w:sz="4" w:space="0"/>
            </w:tcBorders>
            <w:noWrap w:val="0"/>
            <w:vAlign w:val="center"/>
          </w:tcPr>
          <w:p w14:paraId="5A483DD2">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851" w:type="dxa"/>
            <w:tcBorders>
              <w:left w:val="single" w:color="auto" w:sz="4" w:space="0"/>
            </w:tcBorders>
            <w:noWrap w:val="0"/>
            <w:vAlign w:val="center"/>
          </w:tcPr>
          <w:p w14:paraId="4A4A4D84">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kern w:val="0"/>
                <w:sz w:val="18"/>
                <w:szCs w:val="18"/>
                <w14:textFill>
                  <w14:solidFill>
                    <w14:schemeClr w14:val="tx1"/>
                  </w14:solidFill>
                </w14:textFill>
              </w:rPr>
              <w:t>COD</w:t>
            </w:r>
            <w:r>
              <w:rPr>
                <w:rFonts w:hint="default" w:ascii="Arial" w:hAnsi="Arial" w:eastAsia="宋体" w:cs="Arial"/>
                <w:color w:val="000000" w:themeColor="text1"/>
                <w:kern w:val="0"/>
                <w:sz w:val="18"/>
                <w:szCs w:val="18"/>
                <w:vertAlign w:val="subscript"/>
                <w14:textFill>
                  <w14:solidFill>
                    <w14:schemeClr w14:val="tx1"/>
                  </w14:solidFill>
                </w14:textFill>
              </w:rPr>
              <w:t>Cr</w:t>
            </w:r>
          </w:p>
        </w:tc>
        <w:tc>
          <w:tcPr>
            <w:tcW w:w="1134" w:type="dxa"/>
            <w:tcBorders>
              <w:left w:val="single" w:color="auto" w:sz="4" w:space="0"/>
            </w:tcBorders>
            <w:noWrap w:val="0"/>
            <w:vAlign w:val="center"/>
          </w:tcPr>
          <w:p w14:paraId="693D3269">
            <w:pPr>
              <w:pStyle w:val="834"/>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0.36</w:t>
            </w:r>
          </w:p>
        </w:tc>
        <w:tc>
          <w:tcPr>
            <w:tcW w:w="850" w:type="dxa"/>
            <w:noWrap w:val="0"/>
            <w:vAlign w:val="center"/>
          </w:tcPr>
          <w:p w14:paraId="49D9E082">
            <w:pPr>
              <w:keepNext w:val="0"/>
              <w:keepLines w:val="0"/>
              <w:widowControl/>
              <w:suppressLineNumbers w:val="0"/>
              <w:jc w:val="center"/>
              <w:textAlignment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3.410</w:t>
            </w:r>
          </w:p>
        </w:tc>
        <w:tc>
          <w:tcPr>
            <w:tcW w:w="1134" w:type="dxa"/>
            <w:noWrap w:val="0"/>
            <w:vAlign w:val="center"/>
          </w:tcPr>
          <w:p w14:paraId="2BA7EE9E">
            <w:pPr>
              <w:keepNext w:val="0"/>
              <w:keepLines w:val="0"/>
              <w:widowControl/>
              <w:suppressLineNumbers w:val="0"/>
              <w:jc w:val="center"/>
              <w:textAlignment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0.029</w:t>
            </w:r>
          </w:p>
        </w:tc>
        <w:tc>
          <w:tcPr>
            <w:tcW w:w="827" w:type="dxa"/>
            <w:tcBorders>
              <w:right w:val="single" w:color="auto" w:sz="4" w:space="0"/>
            </w:tcBorders>
            <w:noWrap w:val="0"/>
            <w:vAlign w:val="center"/>
          </w:tcPr>
          <w:p w14:paraId="68F0D3B8">
            <w:pPr>
              <w:pStyle w:val="834"/>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0.36</w:t>
            </w:r>
          </w:p>
        </w:tc>
        <w:tc>
          <w:tcPr>
            <w:tcW w:w="1288" w:type="dxa"/>
            <w:tcBorders>
              <w:left w:val="single" w:color="auto" w:sz="4" w:space="0"/>
            </w:tcBorders>
            <w:noWrap w:val="0"/>
            <w:vAlign w:val="center"/>
          </w:tcPr>
          <w:p w14:paraId="7C156BAD">
            <w:pPr>
              <w:keepNext w:val="0"/>
              <w:keepLines w:val="0"/>
              <w:widowControl/>
              <w:suppressLineNumbers w:val="0"/>
              <w:jc w:val="center"/>
              <w:textAlignment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0.029</w:t>
            </w:r>
          </w:p>
        </w:tc>
        <w:tc>
          <w:tcPr>
            <w:tcW w:w="870" w:type="dxa"/>
            <w:noWrap w:val="0"/>
            <w:vAlign w:val="center"/>
          </w:tcPr>
          <w:p w14:paraId="22F153EE">
            <w:pPr>
              <w:pStyle w:val="834"/>
              <w:jc w:val="center"/>
              <w:rPr>
                <w:rFonts w:hint="default" w:ascii="Arial" w:hAnsi="Arial"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-0.331</w:t>
            </w:r>
          </w:p>
        </w:tc>
      </w:tr>
      <w:tr w14:paraId="3F4873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65" w:type="dxa"/>
            <w:vMerge w:val="continue"/>
            <w:noWrap w:val="0"/>
            <w:vAlign w:val="center"/>
          </w:tcPr>
          <w:p w14:paraId="74D6621A">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519" w:type="dxa"/>
            <w:vMerge w:val="continue"/>
            <w:tcBorders>
              <w:right w:val="single" w:color="auto" w:sz="4" w:space="0"/>
            </w:tcBorders>
            <w:noWrap w:val="0"/>
            <w:vAlign w:val="center"/>
          </w:tcPr>
          <w:p w14:paraId="6B1027DE">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851" w:type="dxa"/>
            <w:tcBorders>
              <w:left w:val="single" w:color="auto" w:sz="4" w:space="0"/>
            </w:tcBorders>
            <w:noWrap w:val="0"/>
            <w:vAlign w:val="center"/>
          </w:tcPr>
          <w:p w14:paraId="131FB108">
            <w:pPr>
              <w:snapToGrid w:val="0"/>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氨氮</w:t>
            </w:r>
          </w:p>
        </w:tc>
        <w:tc>
          <w:tcPr>
            <w:tcW w:w="1134" w:type="dxa"/>
            <w:tcBorders>
              <w:left w:val="single" w:color="auto" w:sz="4" w:space="0"/>
            </w:tcBorders>
            <w:noWrap w:val="0"/>
            <w:vAlign w:val="center"/>
          </w:tcPr>
          <w:p w14:paraId="21CA349D">
            <w:pPr>
              <w:pStyle w:val="834"/>
              <w:jc w:val="center"/>
              <w:rPr>
                <w:rFonts w:hint="default" w:ascii="Arial" w:hAnsi="Arial" w:eastAsia="宋体" w:cs="Arial"/>
                <w:color w:val="000000" w:themeColor="text1"/>
                <w:kern w:val="0"/>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0.018</w:t>
            </w:r>
          </w:p>
        </w:tc>
        <w:tc>
          <w:tcPr>
            <w:tcW w:w="850" w:type="dxa"/>
            <w:noWrap w:val="0"/>
            <w:vAlign w:val="center"/>
          </w:tcPr>
          <w:p w14:paraId="71F5C094">
            <w:pPr>
              <w:keepNext w:val="0"/>
              <w:keepLines w:val="0"/>
              <w:widowControl/>
              <w:suppressLineNumbers w:val="0"/>
              <w:jc w:val="center"/>
              <w:textAlignment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0.009</w:t>
            </w:r>
          </w:p>
        </w:tc>
        <w:tc>
          <w:tcPr>
            <w:tcW w:w="1134" w:type="dxa"/>
            <w:noWrap w:val="0"/>
            <w:vAlign w:val="center"/>
          </w:tcPr>
          <w:p w14:paraId="6253DEFD">
            <w:pPr>
              <w:keepNext w:val="0"/>
              <w:keepLines w:val="0"/>
              <w:widowControl/>
              <w:suppressLineNumbers w:val="0"/>
              <w:jc w:val="center"/>
              <w:textAlignment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0.001</w:t>
            </w:r>
          </w:p>
        </w:tc>
        <w:tc>
          <w:tcPr>
            <w:tcW w:w="827" w:type="dxa"/>
            <w:tcBorders>
              <w:right w:val="single" w:color="auto" w:sz="4" w:space="0"/>
            </w:tcBorders>
            <w:noWrap w:val="0"/>
            <w:vAlign w:val="center"/>
          </w:tcPr>
          <w:p w14:paraId="434231B9">
            <w:pPr>
              <w:pStyle w:val="834"/>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0.018</w:t>
            </w:r>
          </w:p>
        </w:tc>
        <w:tc>
          <w:tcPr>
            <w:tcW w:w="1288" w:type="dxa"/>
            <w:tcBorders>
              <w:left w:val="single" w:color="auto" w:sz="4" w:space="0"/>
            </w:tcBorders>
            <w:noWrap w:val="0"/>
            <w:vAlign w:val="center"/>
          </w:tcPr>
          <w:p w14:paraId="2E1BD76A">
            <w:pPr>
              <w:keepNext w:val="0"/>
              <w:keepLines w:val="0"/>
              <w:widowControl/>
              <w:suppressLineNumbers w:val="0"/>
              <w:jc w:val="center"/>
              <w:textAlignment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i w:val="0"/>
                <w:iCs w:val="0"/>
                <w:color w:val="000000" w:themeColor="text1"/>
                <w:kern w:val="0"/>
                <w:sz w:val="18"/>
                <w:szCs w:val="18"/>
                <w:u w:val="none"/>
                <w:lang w:val="en-US" w:eastAsia="zh-CN" w:bidi="ar"/>
                <w14:textFill>
                  <w14:solidFill>
                    <w14:schemeClr w14:val="tx1"/>
                  </w14:solidFill>
                </w14:textFill>
              </w:rPr>
              <w:t>0.001</w:t>
            </w:r>
          </w:p>
        </w:tc>
        <w:tc>
          <w:tcPr>
            <w:tcW w:w="870" w:type="dxa"/>
            <w:noWrap w:val="0"/>
            <w:vAlign w:val="center"/>
          </w:tcPr>
          <w:p w14:paraId="2D581346">
            <w:pPr>
              <w:pStyle w:val="834"/>
              <w:jc w:val="center"/>
              <w:rPr>
                <w:rFonts w:hint="default" w:ascii="Arial" w:hAnsi="Arial"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-0.017</w:t>
            </w:r>
          </w:p>
        </w:tc>
      </w:tr>
      <w:tr w14:paraId="6153B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65" w:type="dxa"/>
            <w:vMerge w:val="restart"/>
            <w:noWrap w:val="0"/>
            <w:vAlign w:val="center"/>
          </w:tcPr>
          <w:p w14:paraId="7363D2FB">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废气</w:t>
            </w:r>
          </w:p>
        </w:tc>
        <w:tc>
          <w:tcPr>
            <w:tcW w:w="519" w:type="dxa"/>
            <w:vMerge w:val="restart"/>
            <w:tcBorders>
              <w:right w:val="single" w:color="auto" w:sz="4" w:space="0"/>
            </w:tcBorders>
            <w:noWrap w:val="0"/>
            <w:vAlign w:val="center"/>
          </w:tcPr>
          <w:p w14:paraId="6C3ECA1F">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生产废气</w:t>
            </w:r>
          </w:p>
        </w:tc>
        <w:tc>
          <w:tcPr>
            <w:tcW w:w="851" w:type="dxa"/>
            <w:tcBorders>
              <w:left w:val="single" w:color="auto" w:sz="4" w:space="0"/>
            </w:tcBorders>
            <w:noWrap w:val="0"/>
            <w:vAlign w:val="center"/>
          </w:tcPr>
          <w:p w14:paraId="661C7D09">
            <w:pPr>
              <w:snapToGrid w:val="0"/>
              <w:jc w:val="center"/>
              <w:rPr>
                <w:rFonts w:hint="default" w:ascii="Arial" w:hAnsi="Arial" w:eastAsia="宋体" w:cs="Arial"/>
                <w:color w:val="000000" w:themeColor="text1"/>
                <w:kern w:val="0"/>
                <w:sz w:val="18"/>
                <w:szCs w:val="18"/>
                <w14:textFill>
                  <w14:solidFill>
                    <w14:schemeClr w14:val="tx1"/>
                  </w14:solidFill>
                </w14:textFill>
              </w:rPr>
            </w:pPr>
            <w:r>
              <w:rPr>
                <w:rFonts w:hint="default" w:ascii="Arial" w:hAnsi="Arial" w:eastAsia="宋体" w:cs="Arial"/>
                <w:color w:val="000000" w:themeColor="text1"/>
                <w:kern w:val="0"/>
                <w:sz w:val="18"/>
                <w:szCs w:val="18"/>
                <w14:textFill>
                  <w14:solidFill>
                    <w14:schemeClr w14:val="tx1"/>
                  </w14:solidFill>
                </w14:textFill>
              </w:rPr>
              <w:t>颗粒物</w:t>
            </w:r>
          </w:p>
        </w:tc>
        <w:tc>
          <w:tcPr>
            <w:tcW w:w="1134" w:type="dxa"/>
            <w:tcBorders>
              <w:left w:val="single" w:color="auto" w:sz="4" w:space="0"/>
            </w:tcBorders>
            <w:noWrap w:val="0"/>
            <w:vAlign w:val="center"/>
          </w:tcPr>
          <w:p w14:paraId="66CBBA95">
            <w:pPr>
              <w:spacing w:line="280" w:lineRule="exact"/>
              <w:jc w:val="center"/>
              <w:textAlignment w:val="bottom"/>
              <w:rPr>
                <w:rFonts w:hint="default" w:ascii="Arial" w:hAnsi="Arial" w:eastAsia="宋体" w:cs="Arial"/>
                <w:color w:val="000000" w:themeColor="text1"/>
                <w:kern w:val="0"/>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0.0216</w:t>
            </w:r>
          </w:p>
        </w:tc>
        <w:tc>
          <w:tcPr>
            <w:tcW w:w="850" w:type="dxa"/>
            <w:noWrap w:val="0"/>
            <w:vAlign w:val="center"/>
          </w:tcPr>
          <w:p w14:paraId="44575075">
            <w:pPr>
              <w:snapToGrid w:val="0"/>
              <w:jc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0</w:t>
            </w:r>
          </w:p>
        </w:tc>
        <w:tc>
          <w:tcPr>
            <w:tcW w:w="1134" w:type="dxa"/>
            <w:noWrap w:val="0"/>
            <w:vAlign w:val="center"/>
          </w:tcPr>
          <w:p w14:paraId="0FC7943B">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0</w:t>
            </w:r>
          </w:p>
        </w:tc>
        <w:tc>
          <w:tcPr>
            <w:tcW w:w="827" w:type="dxa"/>
            <w:tcBorders>
              <w:right w:val="single" w:color="auto" w:sz="4" w:space="0"/>
            </w:tcBorders>
            <w:noWrap w:val="0"/>
            <w:vAlign w:val="center"/>
          </w:tcPr>
          <w:p w14:paraId="00E70DC5">
            <w:pPr>
              <w:spacing w:line="280" w:lineRule="exact"/>
              <w:jc w:val="center"/>
              <w:textAlignment w:val="bottom"/>
              <w:rPr>
                <w:rFonts w:hint="default" w:ascii="Arial" w:hAnsi="Arial" w:eastAsia="宋体"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0.0216</w:t>
            </w:r>
          </w:p>
        </w:tc>
        <w:tc>
          <w:tcPr>
            <w:tcW w:w="1288" w:type="dxa"/>
            <w:tcBorders>
              <w:left w:val="single" w:color="auto" w:sz="4" w:space="0"/>
            </w:tcBorders>
            <w:noWrap w:val="0"/>
            <w:vAlign w:val="center"/>
          </w:tcPr>
          <w:p w14:paraId="2C0D7BDE">
            <w:pPr>
              <w:snapToGrid w:val="0"/>
              <w:jc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eastAsia="宋体" w:cs="Arial"/>
                <w:color w:val="000000" w:themeColor="text1"/>
                <w:sz w:val="18"/>
                <w:szCs w:val="18"/>
                <w:lang w:eastAsia="zh-CN"/>
                <w14:textFill>
                  <w14:solidFill>
                    <w14:schemeClr w14:val="tx1"/>
                  </w14:solidFill>
                </w14:textFill>
              </w:rPr>
              <w:t>0</w:t>
            </w:r>
          </w:p>
        </w:tc>
        <w:tc>
          <w:tcPr>
            <w:tcW w:w="870" w:type="dxa"/>
            <w:noWrap w:val="0"/>
            <w:vAlign w:val="center"/>
          </w:tcPr>
          <w:p w14:paraId="6AEAC6D2">
            <w:pPr>
              <w:spacing w:line="280" w:lineRule="exact"/>
              <w:jc w:val="center"/>
              <w:textAlignment w:val="bottom"/>
              <w:rPr>
                <w:rFonts w:hint="default" w:ascii="Arial" w:hAnsi="Arial"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-0.0216</w:t>
            </w:r>
          </w:p>
        </w:tc>
      </w:tr>
      <w:tr w14:paraId="16D013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65" w:type="dxa"/>
            <w:vMerge w:val="continue"/>
            <w:noWrap w:val="0"/>
            <w:vAlign w:val="center"/>
          </w:tcPr>
          <w:p w14:paraId="2054B12A">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519" w:type="dxa"/>
            <w:vMerge w:val="continue"/>
            <w:tcBorders>
              <w:right w:val="single" w:color="auto" w:sz="4" w:space="0"/>
            </w:tcBorders>
            <w:noWrap w:val="0"/>
            <w:vAlign w:val="center"/>
          </w:tcPr>
          <w:p w14:paraId="0B771AAE">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851" w:type="dxa"/>
            <w:tcBorders>
              <w:left w:val="single" w:color="auto" w:sz="4" w:space="0"/>
            </w:tcBorders>
            <w:noWrap w:val="0"/>
            <w:vAlign w:val="center"/>
          </w:tcPr>
          <w:p w14:paraId="77B7272D">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cs="Arial"/>
                <w:color w:val="000000" w:themeColor="text1"/>
                <w:sz w:val="18"/>
                <w:szCs w:val="18"/>
                <w14:textFill>
                  <w14:solidFill>
                    <w14:schemeClr w14:val="tx1"/>
                  </w14:solidFill>
                </w14:textFill>
              </w:rPr>
              <w:t>VOCs</w:t>
            </w:r>
          </w:p>
        </w:tc>
        <w:tc>
          <w:tcPr>
            <w:tcW w:w="1134" w:type="dxa"/>
            <w:tcBorders>
              <w:left w:val="single" w:color="auto" w:sz="4" w:space="0"/>
            </w:tcBorders>
            <w:noWrap w:val="0"/>
            <w:vAlign w:val="center"/>
          </w:tcPr>
          <w:p w14:paraId="3A581A05">
            <w:pPr>
              <w:spacing w:line="280" w:lineRule="exact"/>
              <w:jc w:val="center"/>
              <w:textAlignment w:val="bottom"/>
              <w:rPr>
                <w:rFonts w:hint="default" w:ascii="Arial" w:hAnsi="Arial" w:eastAsia="宋体" w:cs="Arial"/>
                <w:color w:val="000000" w:themeColor="text1"/>
                <w:kern w:val="0"/>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0.034</w:t>
            </w:r>
          </w:p>
        </w:tc>
        <w:tc>
          <w:tcPr>
            <w:tcW w:w="850" w:type="dxa"/>
            <w:noWrap w:val="0"/>
            <w:vAlign w:val="center"/>
          </w:tcPr>
          <w:p w14:paraId="2C17D2CD">
            <w:pPr>
              <w:snapToGrid w:val="0"/>
              <w:jc w:val="center"/>
              <w:rPr>
                <w:rFonts w:hint="default" w:ascii="Arial" w:hAnsi="Arial" w:eastAsia="宋体" w:cs="Arial"/>
                <w:color w:val="000000" w:themeColor="text1"/>
                <w:sz w:val="18"/>
                <w:szCs w:val="18"/>
                <w:lang w:eastAsia="zh-CN"/>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0</w:t>
            </w:r>
          </w:p>
        </w:tc>
        <w:tc>
          <w:tcPr>
            <w:tcW w:w="1134" w:type="dxa"/>
            <w:noWrap w:val="0"/>
            <w:vAlign w:val="center"/>
          </w:tcPr>
          <w:p w14:paraId="55C999A6">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0</w:t>
            </w:r>
          </w:p>
        </w:tc>
        <w:tc>
          <w:tcPr>
            <w:tcW w:w="827" w:type="dxa"/>
            <w:tcBorders>
              <w:right w:val="single" w:color="auto" w:sz="4" w:space="0"/>
            </w:tcBorders>
            <w:noWrap w:val="0"/>
            <w:vAlign w:val="center"/>
          </w:tcPr>
          <w:p w14:paraId="504A6A11">
            <w:pPr>
              <w:spacing w:line="280" w:lineRule="exact"/>
              <w:jc w:val="center"/>
              <w:textAlignment w:val="bottom"/>
              <w:rPr>
                <w:rFonts w:hint="default" w:ascii="Arial" w:hAnsi="Arial" w:eastAsia="宋体"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0.034</w:t>
            </w:r>
          </w:p>
        </w:tc>
        <w:tc>
          <w:tcPr>
            <w:tcW w:w="1288" w:type="dxa"/>
            <w:tcBorders>
              <w:left w:val="single" w:color="auto" w:sz="4" w:space="0"/>
            </w:tcBorders>
            <w:noWrap w:val="0"/>
            <w:vAlign w:val="center"/>
          </w:tcPr>
          <w:p w14:paraId="458992FE">
            <w:pPr>
              <w:snapToGrid w:val="0"/>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0</w:t>
            </w:r>
          </w:p>
        </w:tc>
        <w:tc>
          <w:tcPr>
            <w:tcW w:w="870" w:type="dxa"/>
            <w:noWrap w:val="0"/>
            <w:vAlign w:val="center"/>
          </w:tcPr>
          <w:p w14:paraId="097B9745">
            <w:pPr>
              <w:spacing w:line="280" w:lineRule="exact"/>
              <w:jc w:val="center"/>
              <w:textAlignment w:val="bottom"/>
              <w:rPr>
                <w:rFonts w:hint="default" w:ascii="Arial" w:hAnsi="Arial" w:cs="Arial"/>
                <w:color w:val="000000" w:themeColor="text1"/>
                <w:sz w:val="18"/>
                <w:szCs w:val="18"/>
                <w14:textFill>
                  <w14:solidFill>
                    <w14:schemeClr w14:val="tx1"/>
                  </w14:solidFill>
                </w14:textFill>
              </w:rPr>
            </w:pPr>
            <w:r>
              <w:rPr>
                <w:rFonts w:hint="default" w:ascii="Arial" w:hAnsi="Arial" w:cs="Arial"/>
                <w:color w:val="000000" w:themeColor="text1"/>
                <w:sz w:val="18"/>
                <w:szCs w:val="18"/>
                <w:lang w:val="en-US" w:eastAsia="zh-CN"/>
                <w14:textFill>
                  <w14:solidFill>
                    <w14:schemeClr w14:val="tx1"/>
                  </w14:solidFill>
                </w14:textFill>
              </w:rPr>
              <w:t>-0.034</w:t>
            </w:r>
          </w:p>
        </w:tc>
      </w:tr>
      <w:tr w14:paraId="36DA8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65" w:type="dxa"/>
            <w:vMerge w:val="restart"/>
            <w:noWrap w:val="0"/>
            <w:vAlign w:val="center"/>
          </w:tcPr>
          <w:p w14:paraId="0D1543AC">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固废</w:t>
            </w:r>
          </w:p>
        </w:tc>
        <w:tc>
          <w:tcPr>
            <w:tcW w:w="1370" w:type="dxa"/>
            <w:gridSpan w:val="2"/>
            <w:noWrap w:val="0"/>
            <w:vAlign w:val="center"/>
          </w:tcPr>
          <w:p w14:paraId="64194570">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工业固废</w:t>
            </w:r>
          </w:p>
        </w:tc>
        <w:tc>
          <w:tcPr>
            <w:tcW w:w="1134" w:type="dxa"/>
            <w:tcBorders>
              <w:left w:val="single" w:color="auto" w:sz="4" w:space="0"/>
            </w:tcBorders>
            <w:noWrap w:val="0"/>
            <w:vAlign w:val="center"/>
          </w:tcPr>
          <w:p w14:paraId="0AB03E6D">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p>
          <w:p w14:paraId="04A9F02F">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t>
            </w:r>
            <w:r>
              <w:rPr>
                <w:rFonts w:hint="default" w:ascii="Arial" w:hAnsi="Arial" w:eastAsia="宋体" w:cs="Arial"/>
                <w:color w:val="000000" w:themeColor="text1"/>
                <w:sz w:val="18"/>
                <w:szCs w:val="18"/>
                <w:lang w:val="en-US" w:eastAsia="zh-CN"/>
                <w14:textFill>
                  <w14:solidFill>
                    <w14:schemeClr w14:val="tx1"/>
                  </w14:solidFill>
                </w14:textFill>
              </w:rPr>
              <w:t>346.7</w:t>
            </w:r>
            <w:r>
              <w:rPr>
                <w:rFonts w:hint="default" w:ascii="Arial" w:hAnsi="Arial" w:eastAsia="宋体" w:cs="Arial"/>
                <w:color w:val="000000" w:themeColor="text1"/>
                <w:sz w:val="18"/>
                <w:szCs w:val="18"/>
                <w14:textFill>
                  <w14:solidFill>
                    <w14:schemeClr w14:val="tx1"/>
                  </w14:solidFill>
                </w14:textFill>
              </w:rPr>
              <w:t>）</w:t>
            </w:r>
          </w:p>
        </w:tc>
        <w:tc>
          <w:tcPr>
            <w:tcW w:w="850" w:type="dxa"/>
            <w:noWrap w:val="0"/>
            <w:vAlign w:val="center"/>
          </w:tcPr>
          <w:p w14:paraId="12173890">
            <w:pPr>
              <w:snapToGrid w:val="0"/>
              <w:jc w:val="center"/>
              <w:rPr>
                <w:rFonts w:hint="default" w:ascii="Arial" w:hAnsi="Arial" w:eastAsia="宋体" w:cs="Arial"/>
                <w:color w:val="000000" w:themeColor="text1"/>
                <w:sz w:val="18"/>
                <w:szCs w:val="18"/>
                <w:lang w:val="en-US" w:eastAsia="zh-CN"/>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278</w:t>
            </w:r>
            <w:r>
              <w:rPr>
                <w:rFonts w:hint="eastAsia" w:ascii="Arial" w:hAnsi="Arial" w:eastAsia="宋体" w:cs="Arial"/>
                <w:color w:val="000000" w:themeColor="text1"/>
                <w:sz w:val="18"/>
                <w:szCs w:val="18"/>
                <w:lang w:val="en-US" w:eastAsia="zh-CN"/>
                <w14:textFill>
                  <w14:solidFill>
                    <w14:schemeClr w14:val="tx1"/>
                  </w14:solidFill>
                </w14:textFill>
              </w:rPr>
              <w:t>6.4</w:t>
            </w:r>
          </w:p>
        </w:tc>
        <w:tc>
          <w:tcPr>
            <w:tcW w:w="1134" w:type="dxa"/>
            <w:noWrap w:val="0"/>
            <w:vAlign w:val="center"/>
          </w:tcPr>
          <w:p w14:paraId="55142949">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p>
        </w:tc>
        <w:tc>
          <w:tcPr>
            <w:tcW w:w="827" w:type="dxa"/>
            <w:tcBorders>
              <w:right w:val="single" w:color="auto" w:sz="4" w:space="0"/>
            </w:tcBorders>
            <w:noWrap w:val="0"/>
            <w:vAlign w:val="center"/>
          </w:tcPr>
          <w:p w14:paraId="44DC67AB">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p>
        </w:tc>
        <w:tc>
          <w:tcPr>
            <w:tcW w:w="1288" w:type="dxa"/>
            <w:tcBorders>
              <w:left w:val="single" w:color="auto" w:sz="4" w:space="0"/>
            </w:tcBorders>
            <w:noWrap w:val="0"/>
            <w:vAlign w:val="center"/>
          </w:tcPr>
          <w:p w14:paraId="0196C75F">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p>
          <w:p w14:paraId="57920A68">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t>
            </w:r>
            <w:r>
              <w:rPr>
                <w:rFonts w:hint="default" w:ascii="Arial" w:hAnsi="Arial" w:eastAsia="宋体" w:cs="Arial"/>
                <w:color w:val="000000" w:themeColor="text1"/>
                <w:sz w:val="18"/>
                <w:szCs w:val="18"/>
                <w:lang w:val="en-US" w:eastAsia="zh-CN"/>
                <w14:textFill>
                  <w14:solidFill>
                    <w14:schemeClr w14:val="tx1"/>
                  </w14:solidFill>
                </w14:textFill>
              </w:rPr>
              <w:t>278</w:t>
            </w:r>
            <w:r>
              <w:rPr>
                <w:rFonts w:hint="eastAsia" w:ascii="Arial" w:hAnsi="Arial" w:eastAsia="宋体" w:cs="Arial"/>
                <w:color w:val="000000" w:themeColor="text1"/>
                <w:sz w:val="18"/>
                <w:szCs w:val="18"/>
                <w:lang w:val="en-US" w:eastAsia="zh-CN"/>
                <w14:textFill>
                  <w14:solidFill>
                    <w14:schemeClr w14:val="tx1"/>
                  </w14:solidFill>
                </w14:textFill>
              </w:rPr>
              <w:t>6.4</w:t>
            </w:r>
            <w:r>
              <w:rPr>
                <w:rFonts w:hint="default" w:ascii="Arial" w:hAnsi="Arial" w:eastAsia="宋体" w:cs="Arial"/>
                <w:color w:val="000000" w:themeColor="text1"/>
                <w:sz w:val="18"/>
                <w:szCs w:val="18"/>
                <w14:textFill>
                  <w14:solidFill>
                    <w14:schemeClr w14:val="tx1"/>
                  </w14:solidFill>
                </w14:textFill>
              </w:rPr>
              <w:t>）</w:t>
            </w:r>
          </w:p>
        </w:tc>
        <w:tc>
          <w:tcPr>
            <w:tcW w:w="870" w:type="dxa"/>
            <w:noWrap w:val="0"/>
            <w:vAlign w:val="center"/>
          </w:tcPr>
          <w:p w14:paraId="3395317D">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p>
        </w:tc>
      </w:tr>
      <w:tr w14:paraId="4FEA6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65" w:type="dxa"/>
            <w:vMerge w:val="continue"/>
            <w:noWrap w:val="0"/>
            <w:vAlign w:val="center"/>
          </w:tcPr>
          <w:p w14:paraId="0457186E">
            <w:pPr>
              <w:snapToGrid w:val="0"/>
              <w:jc w:val="center"/>
              <w:rPr>
                <w:rFonts w:hint="default" w:ascii="Arial" w:hAnsi="Arial" w:eastAsia="宋体" w:cs="Arial"/>
                <w:color w:val="000000" w:themeColor="text1"/>
                <w:sz w:val="18"/>
                <w:szCs w:val="18"/>
                <w14:textFill>
                  <w14:solidFill>
                    <w14:schemeClr w14:val="tx1"/>
                  </w14:solidFill>
                </w14:textFill>
              </w:rPr>
            </w:pPr>
          </w:p>
        </w:tc>
        <w:tc>
          <w:tcPr>
            <w:tcW w:w="1370" w:type="dxa"/>
            <w:gridSpan w:val="2"/>
            <w:noWrap w:val="0"/>
            <w:vAlign w:val="center"/>
          </w:tcPr>
          <w:p w14:paraId="6676D7EB">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生活垃圾</w:t>
            </w:r>
          </w:p>
        </w:tc>
        <w:tc>
          <w:tcPr>
            <w:tcW w:w="1134" w:type="dxa"/>
            <w:tcBorders>
              <w:left w:val="single" w:color="auto" w:sz="4" w:space="0"/>
            </w:tcBorders>
            <w:noWrap w:val="0"/>
            <w:vAlign w:val="center"/>
          </w:tcPr>
          <w:p w14:paraId="6017F241">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r>
              <w:rPr>
                <w:rFonts w:hint="default" w:ascii="Arial" w:hAnsi="Arial" w:eastAsia="宋体" w:cs="Arial"/>
                <w:color w:val="000000" w:themeColor="text1"/>
                <w:sz w:val="18"/>
                <w:szCs w:val="18"/>
                <w:lang w:val="en-US" w:eastAsia="zh-CN"/>
                <w14:textFill>
                  <w14:solidFill>
                    <w14:schemeClr w14:val="tx1"/>
                  </w14:solidFill>
                </w14:textFill>
              </w:rPr>
              <w:t>63</w:t>
            </w:r>
            <w:r>
              <w:rPr>
                <w:rFonts w:hint="default" w:ascii="Arial" w:hAnsi="Arial" w:eastAsia="宋体" w:cs="Arial"/>
                <w:color w:val="000000" w:themeColor="text1"/>
                <w:sz w:val="18"/>
                <w:szCs w:val="18"/>
                <w14:textFill>
                  <w14:solidFill>
                    <w14:schemeClr w14:val="tx1"/>
                  </w14:solidFill>
                </w14:textFill>
              </w:rPr>
              <w:t>）</w:t>
            </w:r>
          </w:p>
        </w:tc>
        <w:tc>
          <w:tcPr>
            <w:tcW w:w="850" w:type="dxa"/>
            <w:noWrap w:val="0"/>
            <w:vAlign w:val="center"/>
          </w:tcPr>
          <w:p w14:paraId="36753C3A">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p>
        </w:tc>
        <w:tc>
          <w:tcPr>
            <w:tcW w:w="1134" w:type="dxa"/>
            <w:noWrap w:val="0"/>
            <w:vAlign w:val="center"/>
          </w:tcPr>
          <w:p w14:paraId="42D9786D">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p>
        </w:tc>
        <w:tc>
          <w:tcPr>
            <w:tcW w:w="827" w:type="dxa"/>
            <w:tcBorders>
              <w:right w:val="single" w:color="auto" w:sz="4" w:space="0"/>
            </w:tcBorders>
            <w:noWrap w:val="0"/>
            <w:vAlign w:val="center"/>
          </w:tcPr>
          <w:p w14:paraId="4AEBCF96">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p>
        </w:tc>
        <w:tc>
          <w:tcPr>
            <w:tcW w:w="1288" w:type="dxa"/>
            <w:tcBorders>
              <w:left w:val="single" w:color="auto" w:sz="4" w:space="0"/>
            </w:tcBorders>
            <w:noWrap w:val="0"/>
            <w:vAlign w:val="center"/>
          </w:tcPr>
          <w:p w14:paraId="62343722">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r>
              <w:rPr>
                <w:rFonts w:hint="default" w:ascii="Arial" w:hAnsi="Arial" w:eastAsia="宋体" w:cs="Arial"/>
                <w:color w:val="000000" w:themeColor="text1"/>
                <w:sz w:val="18"/>
                <w:szCs w:val="18"/>
                <w:lang w:val="en-US" w:eastAsia="zh-CN"/>
                <w14:textFill>
                  <w14:solidFill>
                    <w14:schemeClr w14:val="tx1"/>
                  </w14:solidFill>
                </w14:textFill>
              </w:rPr>
              <w:t>63</w:t>
            </w:r>
            <w:r>
              <w:rPr>
                <w:rFonts w:hint="default" w:ascii="Arial" w:hAnsi="Arial" w:eastAsia="宋体" w:cs="Arial"/>
                <w:color w:val="000000" w:themeColor="text1"/>
                <w:sz w:val="18"/>
                <w:szCs w:val="18"/>
                <w14:textFill>
                  <w14:solidFill>
                    <w14:schemeClr w14:val="tx1"/>
                  </w14:solidFill>
                </w14:textFill>
              </w:rPr>
              <w:t>）</w:t>
            </w:r>
          </w:p>
        </w:tc>
        <w:tc>
          <w:tcPr>
            <w:tcW w:w="870" w:type="dxa"/>
            <w:noWrap w:val="0"/>
            <w:vAlign w:val="center"/>
          </w:tcPr>
          <w:p w14:paraId="10DFC8CA">
            <w:pPr>
              <w:snapToGrid w:val="0"/>
              <w:jc w:val="center"/>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0</w:t>
            </w:r>
          </w:p>
        </w:tc>
      </w:tr>
    </w:tbl>
    <w:p w14:paraId="00A2B620">
      <w:pPr>
        <w:pStyle w:val="76"/>
        <w:numPr>
          <w:ilvl w:val="3"/>
          <w:numId w:val="4"/>
        </w:numPr>
        <w:spacing w:line="360" w:lineRule="auto"/>
        <w:ind w:firstLineChars="0"/>
        <w:jc w:val="center"/>
        <w:outlineLvl w:val="3"/>
        <w:rPr>
          <w:rFonts w:ascii="Times New Roman" w:hAnsi="Times New Roman" w:eastAsia="宋体"/>
          <w:b/>
          <w:bCs/>
          <w:sz w:val="24"/>
          <w:szCs w:val="24"/>
        </w:rPr>
      </w:pPr>
      <w:r>
        <w:rPr>
          <w:rFonts w:hint="eastAsia" w:ascii="Times New Roman" w:hAnsi="Times New Roman" w:eastAsia="宋体"/>
          <w:b/>
          <w:bCs/>
          <w:sz w:val="24"/>
          <w:szCs w:val="24"/>
        </w:rPr>
        <w:t xml:space="preserve"> </w:t>
      </w:r>
      <w:r>
        <w:rPr>
          <w:rFonts w:ascii="Times New Roman" w:hAnsi="Times New Roman" w:eastAsia="宋体"/>
          <w:b/>
          <w:bCs/>
          <w:sz w:val="24"/>
          <w:szCs w:val="24"/>
        </w:rPr>
        <w:t xml:space="preserve"> </w:t>
      </w:r>
      <w:r>
        <w:rPr>
          <w:rFonts w:hint="eastAsia" w:ascii="Arial" w:hAnsi="Arial" w:eastAsia="宋体" w:cs="Arial"/>
          <w:b/>
          <w:bCs/>
          <w:kern w:val="2"/>
          <w:sz w:val="24"/>
          <w:szCs w:val="24"/>
          <w:lang w:val="en-US" w:eastAsia="zh-CN" w:bidi="ar-SA"/>
        </w:rPr>
        <w:t>项目实施后全厂污染物总量控制建议值  单位：t/a</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1218"/>
        <w:gridCol w:w="1353"/>
        <w:gridCol w:w="1430"/>
        <w:gridCol w:w="1368"/>
      </w:tblGrid>
      <w:tr w14:paraId="1413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pct"/>
            <w:tcBorders>
              <w:top w:val="single" w:color="auto" w:sz="4" w:space="0"/>
              <w:left w:val="single" w:color="auto" w:sz="4" w:space="0"/>
              <w:bottom w:val="single" w:color="auto" w:sz="4" w:space="0"/>
              <w:right w:val="single" w:color="auto" w:sz="4" w:space="0"/>
            </w:tcBorders>
            <w:noWrap w:val="0"/>
            <w:vAlign w:val="center"/>
          </w:tcPr>
          <w:p w14:paraId="60760792">
            <w:pPr>
              <w:keepNext w:val="0"/>
              <w:keepLines w:val="0"/>
              <w:widowControl w:val="0"/>
              <w:suppressLineNumbers w:val="0"/>
              <w:adjustRightInd w:val="0"/>
              <w:snapToGrid w:val="0"/>
              <w:spacing w:before="0" w:beforeAutospacing="0" w:after="0" w:afterAutospacing="0"/>
              <w:ind w:left="0" w:right="0"/>
              <w:jc w:val="center"/>
              <w:rPr>
                <w:rFonts w:cs="Arial"/>
                <w:sz w:val="21"/>
                <w:szCs w:val="21"/>
                <w:lang w:val="en-US"/>
              </w:rPr>
            </w:pPr>
            <w:r>
              <w:rPr>
                <w:rFonts w:hint="eastAsia" w:ascii="Arial" w:hAnsi="Arial" w:eastAsia="宋体" w:cs="Arial"/>
                <w:kern w:val="2"/>
                <w:sz w:val="21"/>
                <w:szCs w:val="21"/>
                <w:lang w:val="en-US" w:eastAsia="zh-CN" w:bidi="ar"/>
              </w:rPr>
              <w:t>污染物</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262D6735">
            <w:pPr>
              <w:keepNext w:val="0"/>
              <w:keepLines w:val="0"/>
              <w:widowControl w:val="0"/>
              <w:suppressLineNumbers w:val="0"/>
              <w:adjustRightInd w:val="0"/>
              <w:snapToGrid w:val="0"/>
              <w:spacing w:before="0" w:beforeAutospacing="0" w:after="0" w:afterAutospacing="0"/>
              <w:ind w:left="0" w:right="0"/>
              <w:jc w:val="center"/>
              <w:rPr>
                <w:rFonts w:cs="Arial"/>
                <w:sz w:val="21"/>
                <w:szCs w:val="21"/>
                <w:lang w:val="en-US"/>
              </w:rPr>
            </w:pPr>
            <w:r>
              <w:rPr>
                <w:rFonts w:hint="default" w:ascii="Arial" w:hAnsi="Arial" w:eastAsia="宋体" w:cs="Arial"/>
                <w:kern w:val="2"/>
                <w:sz w:val="21"/>
                <w:szCs w:val="21"/>
                <w:lang w:val="en-US" w:eastAsia="zh-CN" w:bidi="ar"/>
              </w:rPr>
              <w:t>COD</w:t>
            </w:r>
            <w:r>
              <w:rPr>
                <w:rFonts w:hint="default" w:ascii="Arial" w:hAnsi="Arial" w:eastAsia="宋体" w:cs="Arial"/>
                <w:kern w:val="2"/>
                <w:sz w:val="21"/>
                <w:szCs w:val="21"/>
                <w:vertAlign w:val="subscript"/>
                <w:lang w:val="en-US" w:eastAsia="zh-CN" w:bidi="ar"/>
              </w:rPr>
              <w:t>Cr</w:t>
            </w:r>
          </w:p>
        </w:tc>
        <w:tc>
          <w:tcPr>
            <w:tcW w:w="852" w:type="pct"/>
            <w:tcBorders>
              <w:top w:val="single" w:color="auto" w:sz="4" w:space="0"/>
              <w:left w:val="single" w:color="auto" w:sz="4" w:space="0"/>
              <w:bottom w:val="single" w:color="auto" w:sz="4" w:space="0"/>
              <w:right w:val="single" w:color="auto" w:sz="4" w:space="0"/>
            </w:tcBorders>
            <w:noWrap w:val="0"/>
            <w:vAlign w:val="center"/>
          </w:tcPr>
          <w:p w14:paraId="51F4FB64">
            <w:pPr>
              <w:keepNext w:val="0"/>
              <w:keepLines w:val="0"/>
              <w:widowControl w:val="0"/>
              <w:suppressLineNumbers w:val="0"/>
              <w:adjustRightInd w:val="0"/>
              <w:snapToGrid w:val="0"/>
              <w:spacing w:before="0" w:beforeAutospacing="0" w:after="0" w:afterAutospacing="0"/>
              <w:ind w:left="0" w:right="0"/>
              <w:jc w:val="center"/>
              <w:rPr>
                <w:rFonts w:cs="Arial"/>
                <w:sz w:val="21"/>
                <w:szCs w:val="21"/>
                <w:lang w:val="en-US"/>
              </w:rPr>
            </w:pPr>
            <w:r>
              <w:rPr>
                <w:rFonts w:hint="default" w:ascii="Arial" w:hAnsi="Arial" w:eastAsia="宋体" w:cs="Arial"/>
                <w:kern w:val="0"/>
                <w:sz w:val="21"/>
                <w:szCs w:val="21"/>
                <w:lang w:val="en-US" w:eastAsia="zh-CN" w:bidi="ar"/>
              </w:rPr>
              <w:t>NH</w:t>
            </w:r>
            <w:r>
              <w:rPr>
                <w:rFonts w:hint="default" w:ascii="Arial" w:hAnsi="Arial" w:eastAsia="宋体" w:cs="Arial"/>
                <w:kern w:val="0"/>
                <w:sz w:val="21"/>
                <w:szCs w:val="21"/>
                <w:vertAlign w:val="subscript"/>
                <w:lang w:val="en-US" w:eastAsia="zh-CN" w:bidi="ar"/>
              </w:rPr>
              <w:t>3</w:t>
            </w:r>
            <w:r>
              <w:rPr>
                <w:rFonts w:hint="default" w:ascii="Arial" w:hAnsi="Arial" w:eastAsia="宋体" w:cs="Arial"/>
                <w:kern w:val="0"/>
                <w:sz w:val="21"/>
                <w:szCs w:val="21"/>
                <w:lang w:val="en-US" w:eastAsia="zh-CN" w:bidi="ar"/>
              </w:rPr>
              <w:t>-N</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21E6CDFB">
            <w:pPr>
              <w:keepNext w:val="0"/>
              <w:keepLines w:val="0"/>
              <w:widowControl w:val="0"/>
              <w:suppressLineNumbers w:val="0"/>
              <w:adjustRightInd w:val="0"/>
              <w:snapToGrid w:val="0"/>
              <w:spacing w:before="0" w:beforeAutospacing="0" w:after="0" w:afterAutospacing="0"/>
              <w:ind w:left="0" w:right="0"/>
              <w:jc w:val="center"/>
              <w:rPr>
                <w:rFonts w:cs="Arial"/>
                <w:sz w:val="21"/>
                <w:szCs w:val="21"/>
                <w:lang w:val="en-US"/>
              </w:rPr>
            </w:pPr>
            <w:r>
              <w:rPr>
                <w:rFonts w:hint="eastAsia" w:ascii="Arial" w:hAnsi="Arial" w:eastAsia="宋体" w:cs="Arial"/>
                <w:kern w:val="2"/>
                <w:sz w:val="21"/>
                <w:szCs w:val="21"/>
                <w:lang w:val="en-US" w:eastAsia="zh-CN" w:bidi="ar"/>
              </w:rPr>
              <w:t>工业烟</w:t>
            </w:r>
          </w:p>
          <w:p w14:paraId="75EBB129">
            <w:pPr>
              <w:keepNext w:val="0"/>
              <w:keepLines w:val="0"/>
              <w:widowControl w:val="0"/>
              <w:suppressLineNumbers w:val="0"/>
              <w:adjustRightInd w:val="0"/>
              <w:snapToGrid w:val="0"/>
              <w:spacing w:before="0" w:beforeAutospacing="0" w:after="0" w:afterAutospacing="0"/>
              <w:ind w:left="0" w:right="0"/>
              <w:jc w:val="center"/>
              <w:rPr>
                <w:rFonts w:cs="Arial"/>
                <w:sz w:val="21"/>
                <w:szCs w:val="21"/>
                <w:lang w:val="en-US"/>
              </w:rPr>
            </w:pPr>
            <w:r>
              <w:rPr>
                <w:rFonts w:hint="eastAsia" w:ascii="Arial" w:hAnsi="Arial" w:eastAsia="宋体" w:cs="Arial"/>
                <w:kern w:val="2"/>
                <w:sz w:val="21"/>
                <w:szCs w:val="21"/>
                <w:lang w:val="en-US" w:eastAsia="zh-CN" w:bidi="ar"/>
              </w:rPr>
              <w:t>粉尘</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6CED7B34">
            <w:pPr>
              <w:keepNext w:val="0"/>
              <w:keepLines w:val="0"/>
              <w:widowControl w:val="0"/>
              <w:suppressLineNumbers w:val="0"/>
              <w:adjustRightInd w:val="0"/>
              <w:snapToGrid w:val="0"/>
              <w:spacing w:before="0" w:beforeAutospacing="0" w:after="0" w:afterAutospacing="0"/>
              <w:ind w:left="0" w:right="0"/>
              <w:jc w:val="center"/>
              <w:rPr>
                <w:rFonts w:cs="Arial"/>
                <w:kern w:val="0"/>
                <w:sz w:val="21"/>
                <w:szCs w:val="21"/>
                <w:lang w:val="en-US"/>
              </w:rPr>
            </w:pPr>
            <w:r>
              <w:rPr>
                <w:rFonts w:hint="default" w:ascii="Arial" w:hAnsi="Arial" w:eastAsia="宋体" w:cs="Arial"/>
                <w:kern w:val="0"/>
                <w:sz w:val="21"/>
                <w:szCs w:val="21"/>
                <w:lang w:val="en-US" w:eastAsia="zh-CN" w:bidi="ar"/>
              </w:rPr>
              <w:t>VOCs</w:t>
            </w:r>
          </w:p>
        </w:tc>
      </w:tr>
      <w:tr w14:paraId="1625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pct"/>
            <w:tcBorders>
              <w:top w:val="single" w:color="auto" w:sz="4" w:space="0"/>
              <w:left w:val="single" w:color="auto" w:sz="4" w:space="0"/>
              <w:bottom w:val="single" w:color="auto" w:sz="4" w:space="0"/>
              <w:right w:val="single" w:color="auto" w:sz="4" w:space="0"/>
            </w:tcBorders>
            <w:noWrap w:val="0"/>
            <w:vAlign w:val="center"/>
          </w:tcPr>
          <w:p w14:paraId="2EBF5569">
            <w:pPr>
              <w:keepNext w:val="0"/>
              <w:keepLines w:val="0"/>
              <w:widowControl w:val="0"/>
              <w:suppressLineNumbers w:val="0"/>
              <w:adjustRightInd w:val="0"/>
              <w:snapToGrid w:val="0"/>
              <w:spacing w:before="0" w:beforeAutospacing="0" w:after="0" w:afterAutospacing="0"/>
              <w:ind w:left="0" w:right="0"/>
              <w:jc w:val="center"/>
              <w:rPr>
                <w:rFonts w:hint="default" w:cs="Arial"/>
                <w:sz w:val="21"/>
                <w:szCs w:val="21"/>
                <w:lang w:val="en-US"/>
              </w:rPr>
            </w:pPr>
            <w:r>
              <w:rPr>
                <w:rFonts w:hint="eastAsia" w:ascii="Arial" w:hAnsi="Arial" w:eastAsia="宋体" w:cs="Arial"/>
                <w:kern w:val="2"/>
                <w:sz w:val="21"/>
                <w:szCs w:val="21"/>
                <w:lang w:val="en-US" w:eastAsia="zh-CN" w:bidi="ar"/>
              </w:rPr>
              <w:t>现有工程许可排放量</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1C4229E6">
            <w:pPr>
              <w:keepNext w:val="0"/>
              <w:keepLines w:val="0"/>
              <w:widowControl w:val="0"/>
              <w:suppressLineNumbers w:val="0"/>
              <w:adjustRightInd w:val="0"/>
              <w:snapToGrid w:val="0"/>
              <w:spacing w:before="0" w:beforeAutospacing="0" w:after="0" w:afterAutospacing="0"/>
              <w:ind w:left="0" w:right="0"/>
              <w:jc w:val="center"/>
              <w:rPr>
                <w:rFonts w:hint="default" w:cs="Arial"/>
                <w:sz w:val="21"/>
                <w:szCs w:val="21"/>
                <w:lang w:val="en-US"/>
              </w:rPr>
            </w:pPr>
            <w:r>
              <w:rPr>
                <w:rFonts w:hint="default" w:ascii="Arial" w:hAnsi="Arial" w:eastAsia="宋体" w:cs="Arial"/>
                <w:kern w:val="2"/>
                <w:sz w:val="21"/>
                <w:szCs w:val="21"/>
                <w:lang w:val="en-US" w:eastAsia="zh-CN" w:bidi="ar"/>
              </w:rPr>
              <w:t>0.</w:t>
            </w:r>
            <w:r>
              <w:rPr>
                <w:rFonts w:hint="eastAsia" w:ascii="Arial" w:hAnsi="Arial" w:eastAsia="宋体" w:cs="Arial"/>
                <w:kern w:val="2"/>
                <w:sz w:val="21"/>
                <w:szCs w:val="21"/>
                <w:lang w:val="en-US" w:eastAsia="zh-CN" w:bidi="ar"/>
              </w:rPr>
              <w:t>360*</w:t>
            </w:r>
          </w:p>
        </w:tc>
        <w:tc>
          <w:tcPr>
            <w:tcW w:w="852" w:type="pct"/>
            <w:tcBorders>
              <w:top w:val="single" w:color="auto" w:sz="4" w:space="0"/>
              <w:left w:val="single" w:color="auto" w:sz="4" w:space="0"/>
              <w:bottom w:val="single" w:color="auto" w:sz="4" w:space="0"/>
              <w:right w:val="single" w:color="auto" w:sz="4" w:space="0"/>
            </w:tcBorders>
            <w:noWrap w:val="0"/>
            <w:vAlign w:val="center"/>
          </w:tcPr>
          <w:p w14:paraId="20729DAB">
            <w:pPr>
              <w:keepNext w:val="0"/>
              <w:keepLines w:val="0"/>
              <w:widowControl w:val="0"/>
              <w:suppressLineNumbers w:val="0"/>
              <w:adjustRightInd w:val="0"/>
              <w:snapToGrid w:val="0"/>
              <w:spacing w:before="0" w:beforeAutospacing="0" w:after="0" w:afterAutospacing="0"/>
              <w:ind w:left="0" w:right="0"/>
              <w:jc w:val="center"/>
              <w:rPr>
                <w:rFonts w:hint="default" w:cs="Arial"/>
                <w:kern w:val="0"/>
                <w:sz w:val="21"/>
                <w:szCs w:val="21"/>
                <w:lang w:val="en-US"/>
              </w:rPr>
            </w:pPr>
            <w:r>
              <w:rPr>
                <w:rFonts w:hint="default" w:ascii="Arial" w:hAnsi="Arial" w:eastAsia="宋体" w:cs="Arial"/>
                <w:kern w:val="0"/>
                <w:sz w:val="21"/>
                <w:szCs w:val="21"/>
                <w:lang w:val="en-US" w:eastAsia="zh-CN" w:bidi="ar"/>
              </w:rPr>
              <w:t>0.0</w:t>
            </w:r>
            <w:r>
              <w:rPr>
                <w:rFonts w:hint="eastAsia" w:ascii="Arial" w:hAnsi="Arial" w:eastAsia="宋体" w:cs="Arial"/>
                <w:kern w:val="0"/>
                <w:sz w:val="21"/>
                <w:szCs w:val="21"/>
                <w:lang w:val="en-US" w:eastAsia="zh-CN" w:bidi="ar"/>
              </w:rPr>
              <w:t>18*</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1C8E3AC5">
            <w:pPr>
              <w:keepNext w:val="0"/>
              <w:keepLines w:val="0"/>
              <w:widowControl w:val="0"/>
              <w:suppressLineNumbers w:val="0"/>
              <w:adjustRightInd w:val="0"/>
              <w:snapToGrid w:val="0"/>
              <w:spacing w:before="0" w:beforeAutospacing="0" w:after="0" w:afterAutospacing="0"/>
              <w:ind w:left="0" w:right="0"/>
              <w:jc w:val="center"/>
              <w:rPr>
                <w:rFonts w:hint="default" w:cs="Arial"/>
                <w:sz w:val="21"/>
                <w:szCs w:val="21"/>
                <w:lang w:val="en-US"/>
              </w:rPr>
            </w:pPr>
            <w:r>
              <w:rPr>
                <w:rFonts w:hint="default" w:ascii="Arial" w:hAnsi="Arial" w:eastAsia="宋体" w:cs="Arial"/>
                <w:kern w:val="2"/>
                <w:sz w:val="21"/>
                <w:szCs w:val="21"/>
                <w:lang w:val="en-US" w:eastAsia="zh-CN" w:bidi="ar"/>
              </w:rPr>
              <w:t>0.0</w:t>
            </w:r>
            <w:r>
              <w:rPr>
                <w:rFonts w:hint="eastAsia" w:ascii="Arial" w:hAnsi="Arial" w:eastAsia="宋体" w:cs="Arial"/>
                <w:kern w:val="2"/>
                <w:sz w:val="21"/>
                <w:szCs w:val="21"/>
                <w:lang w:val="en-US" w:eastAsia="zh-CN" w:bidi="ar"/>
              </w:rPr>
              <w:t>216</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3ACBFE2D">
            <w:pPr>
              <w:keepNext w:val="0"/>
              <w:keepLines w:val="0"/>
              <w:widowControl w:val="0"/>
              <w:suppressLineNumbers w:val="0"/>
              <w:adjustRightInd w:val="0"/>
              <w:snapToGrid w:val="0"/>
              <w:spacing w:before="0" w:beforeAutospacing="0" w:after="0" w:afterAutospacing="0"/>
              <w:ind w:left="0" w:right="0"/>
              <w:jc w:val="center"/>
              <w:rPr>
                <w:rFonts w:hint="default" w:cs="Arial"/>
                <w:kern w:val="0"/>
                <w:sz w:val="21"/>
                <w:szCs w:val="21"/>
                <w:lang w:val="en-US"/>
              </w:rPr>
            </w:pPr>
            <w:r>
              <w:rPr>
                <w:rFonts w:hint="default" w:ascii="Arial" w:hAnsi="Arial" w:eastAsia="宋体" w:cs="Arial"/>
                <w:kern w:val="0"/>
                <w:sz w:val="21"/>
                <w:szCs w:val="21"/>
                <w:lang w:val="en-US" w:eastAsia="zh-CN" w:bidi="ar"/>
              </w:rPr>
              <w:t>0</w:t>
            </w:r>
            <w:r>
              <w:rPr>
                <w:rFonts w:hint="eastAsia" w:ascii="Arial" w:hAnsi="Arial" w:eastAsia="宋体" w:cs="Arial"/>
                <w:kern w:val="0"/>
                <w:sz w:val="21"/>
                <w:szCs w:val="21"/>
                <w:lang w:val="en-US" w:eastAsia="zh-CN" w:bidi="ar"/>
              </w:rPr>
              <w:t>.034</w:t>
            </w:r>
          </w:p>
        </w:tc>
      </w:tr>
      <w:tr w14:paraId="5611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pct"/>
            <w:tcBorders>
              <w:top w:val="single" w:color="auto" w:sz="4" w:space="0"/>
              <w:left w:val="single" w:color="auto" w:sz="4" w:space="0"/>
              <w:bottom w:val="single" w:color="auto" w:sz="4" w:space="0"/>
              <w:right w:val="single" w:color="auto" w:sz="4" w:space="0"/>
            </w:tcBorders>
            <w:noWrap w:val="0"/>
            <w:vAlign w:val="center"/>
          </w:tcPr>
          <w:p w14:paraId="624D97F6">
            <w:pPr>
              <w:keepNext w:val="0"/>
              <w:keepLines w:val="0"/>
              <w:widowControl w:val="0"/>
              <w:suppressLineNumbers w:val="0"/>
              <w:adjustRightInd w:val="0"/>
              <w:snapToGrid w:val="0"/>
              <w:spacing w:before="0" w:beforeAutospacing="0" w:after="0" w:afterAutospacing="0"/>
              <w:ind w:left="0" w:right="0"/>
              <w:jc w:val="center"/>
              <w:rPr>
                <w:rFonts w:cs="Arial"/>
                <w:sz w:val="21"/>
                <w:szCs w:val="21"/>
                <w:lang w:val="en-US"/>
              </w:rPr>
            </w:pPr>
            <w:r>
              <w:rPr>
                <w:rFonts w:hint="eastAsia" w:ascii="Arial" w:hAnsi="Arial" w:eastAsia="宋体" w:cs="Arial"/>
                <w:kern w:val="2"/>
                <w:sz w:val="21"/>
                <w:szCs w:val="21"/>
                <w:lang w:val="en-US" w:eastAsia="zh-CN" w:bidi="ar"/>
              </w:rPr>
              <w:t>项目实施后全厂环境排放量</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20BBAA0B">
            <w:pPr>
              <w:keepNext w:val="0"/>
              <w:keepLines w:val="0"/>
              <w:widowControl w:val="0"/>
              <w:suppressLineNumbers w:val="0"/>
              <w:adjustRightInd w:val="0"/>
              <w:snapToGrid w:val="0"/>
              <w:spacing w:before="0" w:beforeAutospacing="0" w:after="0" w:afterAutospacing="0"/>
              <w:ind w:left="0" w:right="0"/>
              <w:jc w:val="center"/>
              <w:rPr>
                <w:rFonts w:hint="default" w:cs="Arial"/>
                <w:sz w:val="21"/>
                <w:szCs w:val="21"/>
                <w:lang w:val="en-US"/>
              </w:rPr>
            </w:pPr>
            <w:r>
              <w:rPr>
                <w:rFonts w:hint="default" w:ascii="Arial" w:hAnsi="Arial" w:eastAsia="宋体" w:cs="Arial"/>
                <w:kern w:val="2"/>
                <w:sz w:val="21"/>
                <w:szCs w:val="21"/>
                <w:lang w:val="en-US" w:eastAsia="zh-CN" w:bidi="ar"/>
              </w:rPr>
              <w:t>0.</w:t>
            </w:r>
            <w:r>
              <w:rPr>
                <w:rFonts w:hint="eastAsia" w:ascii="Arial" w:hAnsi="Arial" w:eastAsia="宋体" w:cs="Arial"/>
                <w:kern w:val="2"/>
                <w:sz w:val="21"/>
                <w:szCs w:val="21"/>
                <w:lang w:val="en-US" w:eastAsia="zh-CN" w:bidi="ar"/>
              </w:rPr>
              <w:t>029</w:t>
            </w:r>
          </w:p>
        </w:tc>
        <w:tc>
          <w:tcPr>
            <w:tcW w:w="852" w:type="pct"/>
            <w:tcBorders>
              <w:top w:val="single" w:color="auto" w:sz="4" w:space="0"/>
              <w:left w:val="single" w:color="auto" w:sz="4" w:space="0"/>
              <w:bottom w:val="single" w:color="auto" w:sz="4" w:space="0"/>
              <w:right w:val="single" w:color="auto" w:sz="4" w:space="0"/>
            </w:tcBorders>
            <w:noWrap w:val="0"/>
            <w:vAlign w:val="center"/>
          </w:tcPr>
          <w:p w14:paraId="6EDE9814">
            <w:pPr>
              <w:keepNext w:val="0"/>
              <w:keepLines w:val="0"/>
              <w:widowControl w:val="0"/>
              <w:suppressLineNumbers w:val="0"/>
              <w:adjustRightInd w:val="0"/>
              <w:snapToGrid w:val="0"/>
              <w:spacing w:before="0" w:beforeAutospacing="0" w:after="0" w:afterAutospacing="0"/>
              <w:ind w:left="0" w:right="0"/>
              <w:jc w:val="center"/>
              <w:rPr>
                <w:rFonts w:hint="default" w:cs="Arial"/>
                <w:sz w:val="21"/>
                <w:szCs w:val="21"/>
                <w:lang w:val="en-US"/>
              </w:rPr>
            </w:pPr>
            <w:r>
              <w:rPr>
                <w:rFonts w:hint="default" w:ascii="Arial" w:hAnsi="Arial" w:eastAsia="宋体" w:cs="Arial"/>
                <w:kern w:val="2"/>
                <w:sz w:val="21"/>
                <w:szCs w:val="21"/>
                <w:lang w:val="en-US" w:eastAsia="zh-CN" w:bidi="ar"/>
              </w:rPr>
              <w:t>0.0</w:t>
            </w:r>
            <w:r>
              <w:rPr>
                <w:rFonts w:hint="eastAsia" w:ascii="Arial" w:hAnsi="Arial" w:eastAsia="宋体" w:cs="Arial"/>
                <w:kern w:val="2"/>
                <w:sz w:val="21"/>
                <w:szCs w:val="21"/>
                <w:lang w:val="en-US" w:eastAsia="zh-CN" w:bidi="ar"/>
              </w:rPr>
              <w:t>01</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1622A65C">
            <w:pPr>
              <w:keepNext w:val="0"/>
              <w:keepLines w:val="0"/>
              <w:widowControl w:val="0"/>
              <w:suppressLineNumbers w:val="0"/>
              <w:adjustRightInd w:val="0"/>
              <w:snapToGrid w:val="0"/>
              <w:spacing w:before="0" w:beforeAutospacing="0" w:after="0" w:afterAutospacing="0"/>
              <w:ind w:left="0" w:right="0"/>
              <w:jc w:val="center"/>
              <w:rPr>
                <w:rFonts w:hint="default" w:cs="Arial"/>
                <w:color w:val="auto"/>
                <w:sz w:val="21"/>
                <w:szCs w:val="21"/>
                <w:lang w:val="en-US"/>
              </w:rPr>
            </w:pPr>
            <w:r>
              <w:rPr>
                <w:rFonts w:hint="default" w:ascii="Arial" w:hAnsi="Arial" w:eastAsia="宋体" w:cs="Arial"/>
                <w:color w:val="auto"/>
                <w:kern w:val="2"/>
                <w:sz w:val="21"/>
                <w:szCs w:val="21"/>
                <w:lang w:val="en-US" w:eastAsia="zh-CN" w:bidi="ar"/>
              </w:rPr>
              <w:t>0</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65FDF7DC">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Arial"/>
                <w:sz w:val="21"/>
                <w:szCs w:val="21"/>
                <w:lang w:val="en-US"/>
              </w:rPr>
            </w:pPr>
            <w:r>
              <w:rPr>
                <w:rFonts w:hint="default" w:ascii="Arial" w:hAnsi="Arial" w:eastAsia="宋体" w:cs="Arial"/>
                <w:color w:val="auto"/>
                <w:kern w:val="2"/>
                <w:sz w:val="21"/>
                <w:szCs w:val="21"/>
                <w:lang w:val="en-US" w:eastAsia="zh-CN" w:bidi="ar"/>
              </w:rPr>
              <w:t>0</w:t>
            </w:r>
          </w:p>
        </w:tc>
      </w:tr>
      <w:tr w14:paraId="1BC5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pct"/>
            <w:tcBorders>
              <w:top w:val="single" w:color="auto" w:sz="4" w:space="0"/>
              <w:left w:val="single" w:color="auto" w:sz="4" w:space="0"/>
              <w:bottom w:val="single" w:color="auto" w:sz="4" w:space="0"/>
              <w:right w:val="single" w:color="auto" w:sz="4" w:space="0"/>
            </w:tcBorders>
            <w:noWrap w:val="0"/>
            <w:vAlign w:val="center"/>
          </w:tcPr>
          <w:p w14:paraId="3EEDDD1E">
            <w:pPr>
              <w:keepNext w:val="0"/>
              <w:keepLines w:val="0"/>
              <w:widowControl w:val="0"/>
              <w:suppressLineNumbers w:val="0"/>
              <w:adjustRightInd w:val="0"/>
              <w:snapToGrid w:val="0"/>
              <w:spacing w:before="0" w:beforeAutospacing="0" w:after="0" w:afterAutospacing="0"/>
              <w:ind w:left="0" w:right="0"/>
              <w:jc w:val="center"/>
              <w:rPr>
                <w:rFonts w:cs="Arial"/>
                <w:sz w:val="21"/>
                <w:szCs w:val="21"/>
                <w:lang w:val="en-US"/>
              </w:rPr>
            </w:pPr>
            <w:r>
              <w:rPr>
                <w:rFonts w:hint="eastAsia" w:ascii="Arial" w:hAnsi="Arial" w:eastAsia="宋体" w:cs="Arial"/>
                <w:kern w:val="2"/>
                <w:sz w:val="21"/>
                <w:szCs w:val="21"/>
                <w:lang w:val="en-US" w:eastAsia="zh-CN" w:bidi="ar"/>
              </w:rPr>
              <w:t>建议全厂总量控制指标</w:t>
            </w:r>
          </w:p>
        </w:tc>
        <w:tc>
          <w:tcPr>
            <w:tcW w:w="767" w:type="pct"/>
            <w:tcBorders>
              <w:top w:val="single" w:color="auto" w:sz="4" w:space="0"/>
              <w:left w:val="single" w:color="auto" w:sz="4" w:space="0"/>
              <w:bottom w:val="single" w:color="auto" w:sz="4" w:space="0"/>
              <w:right w:val="single" w:color="auto" w:sz="4" w:space="0"/>
            </w:tcBorders>
            <w:noWrap w:val="0"/>
            <w:vAlign w:val="center"/>
          </w:tcPr>
          <w:p w14:paraId="2DEB1702">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Arial"/>
                <w:sz w:val="21"/>
                <w:szCs w:val="21"/>
                <w:lang w:val="en-US"/>
              </w:rPr>
            </w:pPr>
            <w:r>
              <w:rPr>
                <w:rFonts w:hint="default" w:ascii="Arial" w:hAnsi="Arial" w:eastAsia="宋体" w:cs="Arial"/>
                <w:kern w:val="2"/>
                <w:sz w:val="21"/>
                <w:szCs w:val="21"/>
                <w:lang w:val="en-US" w:eastAsia="zh-CN" w:bidi="ar"/>
              </w:rPr>
              <w:t>0.</w:t>
            </w:r>
            <w:r>
              <w:rPr>
                <w:rFonts w:hint="eastAsia" w:ascii="Arial" w:hAnsi="Arial" w:eastAsia="宋体" w:cs="Arial"/>
                <w:kern w:val="2"/>
                <w:sz w:val="21"/>
                <w:szCs w:val="21"/>
                <w:lang w:val="en-US" w:eastAsia="zh-CN" w:bidi="ar"/>
              </w:rPr>
              <w:t>029</w:t>
            </w:r>
          </w:p>
        </w:tc>
        <w:tc>
          <w:tcPr>
            <w:tcW w:w="852" w:type="pct"/>
            <w:tcBorders>
              <w:top w:val="single" w:color="auto" w:sz="4" w:space="0"/>
              <w:left w:val="single" w:color="auto" w:sz="4" w:space="0"/>
              <w:bottom w:val="single" w:color="auto" w:sz="4" w:space="0"/>
              <w:right w:val="single" w:color="auto" w:sz="4" w:space="0"/>
            </w:tcBorders>
            <w:noWrap w:val="0"/>
            <w:vAlign w:val="center"/>
          </w:tcPr>
          <w:p w14:paraId="1DC07947">
            <w:pPr>
              <w:keepNext w:val="0"/>
              <w:keepLines w:val="0"/>
              <w:widowControl w:val="0"/>
              <w:suppressLineNumbers w:val="0"/>
              <w:adjustRightInd w:val="0"/>
              <w:snapToGrid w:val="0"/>
              <w:spacing w:before="0" w:beforeAutospacing="0" w:after="0" w:afterAutospacing="0"/>
              <w:ind w:left="0" w:leftChars="0" w:right="0" w:rightChars="0"/>
              <w:jc w:val="center"/>
              <w:rPr>
                <w:rFonts w:cs="Arial"/>
                <w:sz w:val="21"/>
                <w:szCs w:val="21"/>
                <w:lang w:val="en-US"/>
              </w:rPr>
            </w:pPr>
            <w:r>
              <w:rPr>
                <w:rFonts w:hint="default" w:ascii="Arial" w:hAnsi="Arial" w:eastAsia="宋体" w:cs="Arial"/>
                <w:kern w:val="2"/>
                <w:sz w:val="21"/>
                <w:szCs w:val="21"/>
                <w:lang w:val="en-US" w:eastAsia="zh-CN" w:bidi="ar"/>
              </w:rPr>
              <w:t>0.0</w:t>
            </w:r>
            <w:r>
              <w:rPr>
                <w:rFonts w:hint="eastAsia" w:ascii="Arial" w:hAnsi="Arial" w:eastAsia="宋体" w:cs="Arial"/>
                <w:kern w:val="2"/>
                <w:sz w:val="21"/>
                <w:szCs w:val="21"/>
                <w:lang w:val="en-US" w:eastAsia="zh-CN" w:bidi="ar"/>
              </w:rPr>
              <w:t>01</w:t>
            </w:r>
          </w:p>
        </w:tc>
        <w:tc>
          <w:tcPr>
            <w:tcW w:w="900" w:type="pct"/>
            <w:tcBorders>
              <w:top w:val="single" w:color="auto" w:sz="4" w:space="0"/>
              <w:left w:val="single" w:color="auto" w:sz="4" w:space="0"/>
              <w:bottom w:val="single" w:color="auto" w:sz="4" w:space="0"/>
              <w:right w:val="single" w:color="auto" w:sz="4" w:space="0"/>
            </w:tcBorders>
            <w:noWrap w:val="0"/>
            <w:vAlign w:val="center"/>
          </w:tcPr>
          <w:p w14:paraId="720B0B1A">
            <w:pPr>
              <w:keepNext w:val="0"/>
              <w:keepLines w:val="0"/>
              <w:widowControl w:val="0"/>
              <w:suppressLineNumbers w:val="0"/>
              <w:adjustRightInd w:val="0"/>
              <w:snapToGrid w:val="0"/>
              <w:spacing w:before="0" w:beforeAutospacing="0" w:after="0" w:afterAutospacing="0"/>
              <w:ind w:left="0" w:right="0"/>
              <w:jc w:val="center"/>
              <w:rPr>
                <w:rFonts w:hint="default" w:cs="Arial"/>
                <w:color w:val="auto"/>
                <w:sz w:val="21"/>
                <w:szCs w:val="21"/>
                <w:lang w:val="en-US"/>
              </w:rPr>
            </w:pPr>
            <w:r>
              <w:rPr>
                <w:rFonts w:hint="default" w:ascii="Arial" w:hAnsi="Arial" w:eastAsia="宋体" w:cs="Arial"/>
                <w:color w:val="auto"/>
                <w:kern w:val="2"/>
                <w:sz w:val="21"/>
                <w:szCs w:val="21"/>
                <w:lang w:val="en-US" w:eastAsia="zh-CN" w:bidi="ar"/>
              </w:rPr>
              <w:t>0</w:t>
            </w:r>
          </w:p>
        </w:tc>
        <w:tc>
          <w:tcPr>
            <w:tcW w:w="861" w:type="pct"/>
            <w:tcBorders>
              <w:top w:val="single" w:color="auto" w:sz="4" w:space="0"/>
              <w:left w:val="single" w:color="auto" w:sz="4" w:space="0"/>
              <w:bottom w:val="single" w:color="auto" w:sz="4" w:space="0"/>
              <w:right w:val="single" w:color="auto" w:sz="4" w:space="0"/>
            </w:tcBorders>
            <w:noWrap w:val="0"/>
            <w:vAlign w:val="center"/>
          </w:tcPr>
          <w:p w14:paraId="2B346E57">
            <w:pPr>
              <w:keepNext w:val="0"/>
              <w:keepLines w:val="0"/>
              <w:widowControl w:val="0"/>
              <w:suppressLineNumbers w:val="0"/>
              <w:adjustRightInd w:val="0"/>
              <w:snapToGrid w:val="0"/>
              <w:spacing w:before="0" w:beforeAutospacing="0" w:after="0" w:afterAutospacing="0"/>
              <w:ind w:left="0" w:leftChars="0" w:right="0" w:rightChars="0"/>
              <w:jc w:val="center"/>
              <w:rPr>
                <w:rFonts w:hint="default" w:cs="Arial"/>
                <w:sz w:val="21"/>
                <w:szCs w:val="21"/>
                <w:lang w:val="en-US"/>
              </w:rPr>
            </w:pPr>
            <w:r>
              <w:rPr>
                <w:rFonts w:hint="default" w:ascii="Arial" w:hAnsi="Arial" w:eastAsia="宋体" w:cs="Arial"/>
                <w:color w:val="auto"/>
                <w:kern w:val="2"/>
                <w:sz w:val="21"/>
                <w:szCs w:val="21"/>
                <w:lang w:val="en-US" w:eastAsia="zh-CN" w:bidi="ar"/>
              </w:rPr>
              <w:t>0</w:t>
            </w:r>
          </w:p>
        </w:tc>
      </w:tr>
    </w:tbl>
    <w:p w14:paraId="06F365BF">
      <w:pPr>
        <w:pStyle w:val="76"/>
        <w:autoSpaceDE w:val="0"/>
        <w:autoSpaceDN w:val="0"/>
        <w:spacing w:line="360" w:lineRule="auto"/>
        <w:ind w:firstLine="360" w:firstLineChars="200"/>
        <w:jc w:val="left"/>
        <w:rPr>
          <w:rFonts w:hint="default" w:ascii="Arial" w:hAnsi="Arial" w:eastAsia="宋体" w:cs="Arial"/>
          <w:bCs/>
          <w:sz w:val="24"/>
          <w:szCs w:val="24"/>
        </w:rPr>
      </w:pPr>
      <w:r>
        <w:rPr>
          <w:rFonts w:hint="eastAsia" w:ascii="Times New Roman" w:hAnsi="Times New Roman" w:eastAsia="宋体"/>
          <w:sz w:val="18"/>
          <w:szCs w:val="18"/>
          <w:lang w:val="en-US" w:eastAsia="zh-CN"/>
        </w:rPr>
        <w:t>注：*已按</w:t>
      </w:r>
      <w:r>
        <w:rPr>
          <w:rFonts w:hint="default" w:ascii="Times New Roman" w:hAnsi="Times New Roman" w:eastAsia="宋体" w:cs="Times New Roman"/>
          <w:sz w:val="18"/>
          <w:szCs w:val="18"/>
        </w:rPr>
        <w:t>嘉兴联合污水处理厂</w:t>
      </w:r>
      <w:r>
        <w:rPr>
          <w:rFonts w:hint="eastAsia" w:ascii="Times New Roman" w:hAnsi="Times New Roman" w:eastAsia="宋体" w:cs="Times New Roman"/>
          <w:sz w:val="18"/>
          <w:szCs w:val="18"/>
          <w:lang w:val="en-US" w:eastAsia="zh-CN"/>
        </w:rPr>
        <w:t>尾水排放执的行现行标准进行核算。</w:t>
      </w:r>
    </w:p>
    <w:p w14:paraId="4D4E32B9">
      <w:pPr>
        <w:pStyle w:val="76"/>
        <w:autoSpaceDE w:val="0"/>
        <w:autoSpaceDN w:val="0"/>
        <w:spacing w:line="360" w:lineRule="auto"/>
        <w:ind w:firstLine="480" w:firstLineChars="200"/>
        <w:jc w:val="left"/>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sz w:val="24"/>
          <w:szCs w:val="24"/>
        </w:rPr>
        <w:t>因此，项目实施后全厂污染物排放总量控制建议值</w:t>
      </w:r>
      <w:r>
        <w:rPr>
          <w:rFonts w:hint="default" w:ascii="Arial" w:hAnsi="Arial" w:eastAsia="宋体" w:cs="Arial"/>
          <w:bCs/>
          <w:color w:val="auto"/>
          <w:sz w:val="24"/>
          <w:szCs w:val="24"/>
        </w:rPr>
        <w:t>为：COD</w:t>
      </w:r>
      <w:r>
        <w:rPr>
          <w:rFonts w:hint="default" w:ascii="Arial" w:hAnsi="Arial" w:eastAsia="宋体" w:cs="Arial"/>
          <w:bCs/>
          <w:color w:val="auto"/>
          <w:sz w:val="24"/>
          <w:szCs w:val="24"/>
          <w:lang w:val="en-US" w:eastAsia="zh-CN"/>
        </w:rPr>
        <w:t>cr</w:t>
      </w:r>
      <w:r>
        <w:rPr>
          <w:rFonts w:hint="default" w:ascii="Arial" w:hAnsi="Arial" w:eastAsia="宋体" w:cs="Arial"/>
          <w:bCs/>
          <w:color w:val="auto"/>
          <w:sz w:val="24"/>
          <w:szCs w:val="24"/>
        </w:rPr>
        <w:t>≤0.</w:t>
      </w:r>
      <w:r>
        <w:rPr>
          <w:rFonts w:hint="default" w:ascii="Arial" w:hAnsi="Arial" w:eastAsia="宋体" w:cs="Arial"/>
          <w:bCs/>
          <w:color w:val="auto"/>
          <w:sz w:val="24"/>
          <w:szCs w:val="24"/>
          <w:lang w:val="en-US" w:eastAsia="zh-CN"/>
        </w:rPr>
        <w:t>029</w:t>
      </w:r>
      <w:r>
        <w:rPr>
          <w:rFonts w:hint="default" w:ascii="Arial" w:hAnsi="Arial" w:eastAsia="宋体" w:cs="Arial"/>
          <w:bCs/>
          <w:color w:val="auto"/>
          <w:sz w:val="24"/>
          <w:szCs w:val="24"/>
        </w:rPr>
        <w:t>t/</w:t>
      </w:r>
      <w:r>
        <w:rPr>
          <w:rFonts w:hint="default" w:ascii="Arial" w:hAnsi="Arial" w:eastAsia="宋体" w:cs="Arial"/>
          <w:bCs/>
          <w:sz w:val="24"/>
          <w:szCs w:val="24"/>
        </w:rPr>
        <w:t>a，NH</w:t>
      </w:r>
      <w:r>
        <w:rPr>
          <w:rFonts w:hint="default" w:ascii="Arial" w:hAnsi="Arial" w:eastAsia="宋体" w:cs="Arial"/>
          <w:bCs/>
          <w:sz w:val="24"/>
          <w:szCs w:val="24"/>
          <w:vertAlign w:val="subscript"/>
        </w:rPr>
        <w:t>3</w:t>
      </w:r>
      <w:r>
        <w:rPr>
          <w:rFonts w:hint="default" w:ascii="Arial" w:hAnsi="Arial" w:eastAsia="宋体" w:cs="Arial"/>
          <w:bCs/>
          <w:sz w:val="24"/>
          <w:szCs w:val="24"/>
        </w:rPr>
        <w:t>-N≤0</w:t>
      </w:r>
      <w:r>
        <w:rPr>
          <w:rFonts w:hint="default" w:ascii="Arial" w:hAnsi="Arial" w:eastAsia="宋体" w:cs="Arial"/>
          <w:bCs/>
          <w:sz w:val="24"/>
          <w:szCs w:val="24"/>
          <w:lang w:val="en-US" w:eastAsia="zh-CN"/>
        </w:rPr>
        <w:t>.</w:t>
      </w:r>
      <w:r>
        <w:rPr>
          <w:rFonts w:hint="default" w:ascii="Arial" w:hAnsi="Arial" w:eastAsia="宋体" w:cs="Arial"/>
          <w:bCs/>
          <w:color w:val="000000" w:themeColor="text1"/>
          <w:sz w:val="24"/>
          <w:szCs w:val="24"/>
          <w:lang w:val="en-US" w:eastAsia="zh-CN"/>
          <w14:textFill>
            <w14:solidFill>
              <w14:schemeClr w14:val="tx1"/>
            </w14:solidFill>
          </w14:textFill>
        </w:rPr>
        <w:t>001</w:t>
      </w:r>
      <w:r>
        <w:rPr>
          <w:rFonts w:hint="default" w:ascii="Arial" w:hAnsi="Arial" w:eastAsia="宋体" w:cs="Arial"/>
          <w:bCs/>
          <w:color w:val="000000" w:themeColor="text1"/>
          <w:sz w:val="24"/>
          <w:szCs w:val="24"/>
          <w14:textFill>
            <w14:solidFill>
              <w14:schemeClr w14:val="tx1"/>
            </w14:solidFill>
          </w14:textFill>
        </w:rPr>
        <w:t>t/a。</w:t>
      </w:r>
    </w:p>
    <w:p w14:paraId="30C350C3">
      <w:pPr>
        <w:pStyle w:val="76"/>
        <w:numPr>
          <w:ilvl w:val="2"/>
          <w:numId w:val="4"/>
        </w:numPr>
        <w:spacing w:line="360" w:lineRule="auto"/>
        <w:ind w:left="210" w:leftChars="0" w:firstLine="0" w:firstLineChars="0"/>
        <w:outlineLvl w:val="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lang w:val="en-GB"/>
          <w14:textFill>
            <w14:solidFill>
              <w14:schemeClr w14:val="tx1"/>
            </w14:solidFill>
          </w14:textFill>
        </w:rPr>
        <w:t>总量平衡方案</w:t>
      </w:r>
    </w:p>
    <w:p w14:paraId="5265333D">
      <w:pPr>
        <w:autoSpaceDE w:val="0"/>
        <w:autoSpaceDN w:val="0"/>
        <w:spacing w:line="360" w:lineRule="auto"/>
        <w:ind w:firstLine="480" w:firstLineChars="200"/>
        <w:jc w:val="left"/>
        <w:rPr>
          <w:rFonts w:hint="default" w:ascii="Arial" w:hAnsi="Arial" w:eastAsia="宋体" w:cs="Arial"/>
          <w:bCs/>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企业原环评核定CODcr排放总量0.36t、</w:t>
      </w:r>
      <w:r>
        <w:rPr>
          <w:rFonts w:hint="default" w:ascii="Arial" w:hAnsi="Arial" w:eastAsia="宋体" w:cs="Arial"/>
          <w:bCs/>
          <w:color w:val="000000" w:themeColor="text1"/>
          <w:sz w:val="24"/>
          <w:szCs w:val="24"/>
          <w14:textFill>
            <w14:solidFill>
              <w14:schemeClr w14:val="tx1"/>
            </w14:solidFill>
          </w14:textFill>
        </w:rPr>
        <w:t>NH</w:t>
      </w:r>
      <w:r>
        <w:rPr>
          <w:rFonts w:hint="default" w:ascii="Arial" w:hAnsi="Arial" w:eastAsia="宋体" w:cs="Arial"/>
          <w:bCs/>
          <w:color w:val="000000" w:themeColor="text1"/>
          <w:sz w:val="24"/>
          <w:szCs w:val="24"/>
          <w:vertAlign w:val="subscript"/>
          <w14:textFill>
            <w14:solidFill>
              <w14:schemeClr w14:val="tx1"/>
            </w14:solidFill>
          </w14:textFill>
        </w:rPr>
        <w:t>3</w:t>
      </w:r>
      <w:r>
        <w:rPr>
          <w:rFonts w:hint="default" w:ascii="Arial" w:hAnsi="Arial" w:eastAsia="宋体" w:cs="Arial"/>
          <w:bCs/>
          <w:color w:val="000000" w:themeColor="text1"/>
          <w:sz w:val="24"/>
          <w:szCs w:val="24"/>
          <w14:textFill>
            <w14:solidFill>
              <w14:schemeClr w14:val="tx1"/>
            </w14:solidFill>
          </w14:textFill>
        </w:rPr>
        <w:t>-N</w:t>
      </w:r>
      <w:r>
        <w:rPr>
          <w:rFonts w:hint="default" w:ascii="Arial" w:hAnsi="Arial" w:eastAsia="宋体" w:cs="Arial"/>
          <w:bCs/>
          <w:color w:val="000000" w:themeColor="text1"/>
          <w:sz w:val="24"/>
          <w:szCs w:val="24"/>
          <w:lang w:val="en-US" w:eastAsia="zh-CN"/>
          <w14:textFill>
            <w14:solidFill>
              <w14:schemeClr w14:val="tx1"/>
            </w14:solidFill>
          </w14:textFill>
        </w:rPr>
        <w:t>排放总量0.018t，本次项目实施后</w:t>
      </w:r>
      <w:r>
        <w:rPr>
          <w:rFonts w:hint="default" w:ascii="Arial" w:hAnsi="Arial" w:eastAsia="宋体" w:cs="Arial"/>
          <w:color w:val="000000" w:themeColor="text1"/>
          <w:sz w:val="24"/>
          <w:szCs w:val="24"/>
          <w:lang w:val="en-US" w:eastAsia="zh-CN"/>
          <w14:textFill>
            <w14:solidFill>
              <w14:schemeClr w14:val="tx1"/>
            </w14:solidFill>
          </w14:textFill>
        </w:rPr>
        <w:t>CODcr、</w:t>
      </w:r>
      <w:r>
        <w:rPr>
          <w:rFonts w:hint="default" w:ascii="Arial" w:hAnsi="Arial" w:eastAsia="宋体" w:cs="Arial"/>
          <w:bCs/>
          <w:color w:val="000000" w:themeColor="text1"/>
          <w:sz w:val="24"/>
          <w:szCs w:val="24"/>
          <w14:textFill>
            <w14:solidFill>
              <w14:schemeClr w14:val="tx1"/>
            </w14:solidFill>
          </w14:textFill>
        </w:rPr>
        <w:t>NH</w:t>
      </w:r>
      <w:r>
        <w:rPr>
          <w:rFonts w:hint="default" w:ascii="Arial" w:hAnsi="Arial" w:eastAsia="宋体" w:cs="Arial"/>
          <w:bCs/>
          <w:color w:val="000000" w:themeColor="text1"/>
          <w:sz w:val="24"/>
          <w:szCs w:val="24"/>
          <w:vertAlign w:val="subscript"/>
          <w14:textFill>
            <w14:solidFill>
              <w14:schemeClr w14:val="tx1"/>
            </w14:solidFill>
          </w14:textFill>
        </w:rPr>
        <w:t>3</w:t>
      </w:r>
      <w:r>
        <w:rPr>
          <w:rFonts w:hint="default" w:ascii="Arial" w:hAnsi="Arial" w:eastAsia="宋体" w:cs="Arial"/>
          <w:bCs/>
          <w:color w:val="000000" w:themeColor="text1"/>
          <w:sz w:val="24"/>
          <w:szCs w:val="24"/>
          <w14:textFill>
            <w14:solidFill>
              <w14:schemeClr w14:val="tx1"/>
            </w14:solidFill>
          </w14:textFill>
        </w:rPr>
        <w:t>-N</w:t>
      </w:r>
      <w:r>
        <w:rPr>
          <w:rFonts w:hint="default" w:ascii="Arial" w:hAnsi="Arial" w:eastAsia="宋体" w:cs="Arial"/>
          <w:bCs/>
          <w:color w:val="000000" w:themeColor="text1"/>
          <w:sz w:val="24"/>
          <w:szCs w:val="24"/>
          <w:lang w:val="en-US" w:eastAsia="zh-CN"/>
          <w14:textFill>
            <w14:solidFill>
              <w14:schemeClr w14:val="tx1"/>
            </w14:solidFill>
          </w14:textFill>
        </w:rPr>
        <w:t>总量未超过原环评核定量，无需总量平衡。</w:t>
      </w:r>
    </w:p>
    <w:p w14:paraId="0C916B2F">
      <w:pPr>
        <w:autoSpaceDE w:val="0"/>
        <w:autoSpaceDN w:val="0"/>
        <w:spacing w:line="360" w:lineRule="auto"/>
        <w:ind w:firstLine="480" w:firstLineChars="200"/>
        <w:jc w:val="left"/>
        <w:rPr>
          <w:rFonts w:hint="default" w:ascii="Arial" w:hAnsi="Arial" w:eastAsia="宋体" w:cs="Arial"/>
          <w:bCs/>
          <w:color w:val="000000" w:themeColor="text1"/>
          <w:sz w:val="24"/>
          <w:szCs w:val="24"/>
          <w:lang w:val="en-US" w:eastAsia="zh-CN"/>
          <w14:textFill>
            <w14:solidFill>
              <w14:schemeClr w14:val="tx1"/>
            </w14:solidFill>
          </w14:textFill>
        </w:rPr>
      </w:pPr>
    </w:p>
    <w:p w14:paraId="255B3A5E">
      <w:pPr>
        <w:pStyle w:val="76"/>
        <w:rPr>
          <w:rFonts w:hint="default" w:ascii="Arial" w:hAnsi="Arial" w:eastAsia="宋体" w:cs="Arial"/>
          <w:b/>
          <w:bCs/>
          <w:color w:val="000000" w:themeColor="text1"/>
          <w:sz w:val="24"/>
          <w:szCs w:val="24"/>
          <w:lang w:eastAsia="zh-CN"/>
          <w14:textFill>
            <w14:solidFill>
              <w14:schemeClr w14:val="tx1"/>
            </w14:solidFill>
          </w14:textFill>
        </w:rPr>
        <w:sectPr>
          <w:headerReference r:id="rId18"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6228E0E4">
      <w:pPr>
        <w:pStyle w:val="76"/>
        <w:keepNext w:val="0"/>
        <w:keepLines w:val="0"/>
        <w:pageBreakBefore w:val="0"/>
        <w:widowControl w:val="0"/>
        <w:numPr>
          <w:ilvl w:val="0"/>
          <w:numId w:val="4"/>
        </w:numPr>
        <w:kinsoku/>
        <w:wordWrap/>
        <w:overflowPunct/>
        <w:topLinePunct w:val="0"/>
        <w:autoSpaceDE/>
        <w:autoSpaceDN/>
        <w:bidi w:val="0"/>
        <w:adjustRightInd/>
        <w:snapToGrid/>
        <w:spacing w:line="240" w:lineRule="auto"/>
        <w:ind w:left="210" w:leftChars="0" w:firstLineChars="0"/>
        <w:jc w:val="both"/>
        <w:textAlignment w:val="auto"/>
        <w:outlineLvl w:val="0"/>
        <w:rPr>
          <w:rFonts w:hint="default" w:ascii="Arial" w:hAnsi="Arial" w:eastAsia="宋体" w:cs="Arial"/>
          <w:b/>
          <w:bCs/>
          <w:color w:val="FFFFFF" w:themeColor="background1"/>
          <w:sz w:val="2"/>
          <w:szCs w:val="2"/>
          <w:vertAlign w:val="subscript"/>
          <w14:textFill>
            <w14:solidFill>
              <w14:schemeClr w14:val="bg1"/>
            </w14:solidFill>
          </w14:textFill>
        </w:rPr>
      </w:pPr>
      <w:bookmarkStart w:id="11" w:name="_Toc104732981"/>
      <w:r>
        <w:rPr>
          <w:rFonts w:hint="default" w:ascii="Arial" w:hAnsi="Arial" w:eastAsia="宋体" w:cs="Arial"/>
          <w:b/>
          <w:bCs/>
          <w:color w:val="FFFFFF" w:themeColor="background1"/>
          <w:sz w:val="2"/>
          <w:szCs w:val="2"/>
          <w:vertAlign w:val="subscript"/>
          <w14:textFill>
            <w14:solidFill>
              <w14:schemeClr w14:val="bg1"/>
            </w14:solidFill>
          </w14:textFill>
        </w:rPr>
        <w:t>主要环境影响和保护措施</w:t>
      </w:r>
      <w:bookmarkEnd w:id="11"/>
    </w:p>
    <w:p w14:paraId="085436CC">
      <w:pPr>
        <w:pStyle w:val="76"/>
        <w:numPr>
          <w:ilvl w:val="1"/>
          <w:numId w:val="4"/>
        </w:numPr>
        <w:spacing w:line="360" w:lineRule="auto"/>
        <w:ind w:left="210" w:leftChars="0" w:firstLineChars="0"/>
        <w:outlineLvl w:val="1"/>
        <w:rPr>
          <w:rFonts w:hint="default" w:ascii="Arial" w:hAnsi="Arial" w:eastAsia="宋体" w:cs="Arial"/>
          <w:b/>
          <w:bCs/>
          <w:sz w:val="24"/>
          <w:szCs w:val="24"/>
        </w:rPr>
      </w:pPr>
      <w:r>
        <w:rPr>
          <w:rFonts w:hint="default" w:ascii="Arial" w:hAnsi="Arial" w:eastAsia="宋体" w:cs="Arial"/>
          <w:b/>
          <w:bCs/>
          <w:sz w:val="24"/>
          <w:szCs w:val="24"/>
        </w:rPr>
        <w:t>施工期环境影响和保护措施</w:t>
      </w:r>
    </w:p>
    <w:p w14:paraId="68EFF2BA">
      <w:pPr>
        <w:spacing w:line="360" w:lineRule="auto"/>
        <w:ind w:right="11" w:firstLine="480"/>
        <w:rPr>
          <w:rFonts w:hint="default" w:ascii="Arial" w:hAnsi="Arial" w:eastAsia="宋体" w:cs="Arial"/>
          <w:sz w:val="24"/>
          <w:szCs w:val="24"/>
        </w:rPr>
      </w:pPr>
      <w:r>
        <w:rPr>
          <w:rFonts w:hint="default" w:ascii="Arial" w:hAnsi="Arial" w:eastAsia="宋体" w:cs="Arial"/>
          <w:sz w:val="24"/>
          <w:szCs w:val="24"/>
        </w:rPr>
        <w:t>本项目选址于浙江省嘉兴市平湖市五洲路</w:t>
      </w:r>
      <w:r>
        <w:rPr>
          <w:rFonts w:hint="default" w:ascii="Arial" w:hAnsi="Arial" w:eastAsia="宋体" w:cs="Arial"/>
          <w:sz w:val="24"/>
          <w:szCs w:val="24"/>
          <w:lang w:val="en-US" w:eastAsia="zh-CN"/>
        </w:rPr>
        <w:t>1268</w:t>
      </w:r>
      <w:r>
        <w:rPr>
          <w:rFonts w:hint="default" w:ascii="Arial" w:hAnsi="Arial" w:eastAsia="宋体" w:cs="Arial"/>
          <w:sz w:val="24"/>
          <w:szCs w:val="24"/>
        </w:rPr>
        <w:t>号，</w:t>
      </w:r>
      <w:r>
        <w:rPr>
          <w:rFonts w:hint="default" w:ascii="Arial" w:hAnsi="Arial" w:eastAsia="宋体" w:cs="Arial"/>
          <w:sz w:val="24"/>
          <w:szCs w:val="24"/>
          <w:lang w:val="en-US" w:eastAsia="zh-CN"/>
        </w:rPr>
        <w:t>利用</w:t>
      </w:r>
      <w:r>
        <w:rPr>
          <w:rFonts w:hint="default" w:ascii="Arial" w:hAnsi="Arial" w:eastAsia="宋体" w:cs="Arial"/>
          <w:sz w:val="24"/>
          <w:szCs w:val="24"/>
        </w:rPr>
        <w:t>已建生产厂房实施。项目施工期主要为少量设备安装过程，基本不会对周围环境产生影响。</w:t>
      </w:r>
    </w:p>
    <w:p w14:paraId="2EC638D7">
      <w:pPr>
        <w:pStyle w:val="76"/>
        <w:ind w:firstLine="482"/>
        <w:rPr>
          <w:rFonts w:hint="default" w:ascii="Arial" w:hAnsi="Arial" w:eastAsia="宋体" w:cs="Arial"/>
          <w:b/>
          <w:bCs/>
          <w:sz w:val="24"/>
          <w:szCs w:val="24"/>
        </w:rPr>
        <w:sectPr>
          <w:headerReference r:id="rId19"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6B3829FF">
      <w:pPr>
        <w:pStyle w:val="76"/>
        <w:numPr>
          <w:ilvl w:val="1"/>
          <w:numId w:val="4"/>
        </w:numPr>
        <w:spacing w:line="360" w:lineRule="auto"/>
        <w:ind w:left="210" w:leftChars="0" w:firstLineChars="0"/>
        <w:outlineLvl w:val="1"/>
        <w:rPr>
          <w:rFonts w:hint="default" w:ascii="Arial" w:hAnsi="Arial" w:eastAsia="宋体" w:cs="Arial"/>
          <w:b/>
          <w:bCs/>
          <w:sz w:val="24"/>
          <w:szCs w:val="24"/>
        </w:rPr>
      </w:pPr>
      <w:r>
        <w:rPr>
          <w:rFonts w:hint="default" w:ascii="Arial" w:hAnsi="Arial" w:eastAsia="宋体" w:cs="Arial"/>
          <w:b/>
          <w:bCs/>
          <w:sz w:val="24"/>
          <w:szCs w:val="24"/>
        </w:rPr>
        <w:t>运营期环境影响和保护措施</w:t>
      </w:r>
    </w:p>
    <w:p w14:paraId="5641E929">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废气环境影响和保护措施</w:t>
      </w:r>
    </w:p>
    <w:p w14:paraId="30C3E80D">
      <w:pPr>
        <w:numPr>
          <w:ilvl w:val="0"/>
          <w:numId w:val="10"/>
        </w:numPr>
        <w:spacing w:line="360" w:lineRule="auto"/>
        <w:ind w:firstLine="480" w:firstLineChars="200"/>
        <w:jc w:val="left"/>
        <w:rPr>
          <w:rFonts w:hint="default" w:ascii="Arial" w:hAnsi="Arial" w:eastAsia="宋体" w:cs="Arial"/>
          <w:sz w:val="24"/>
          <w:szCs w:val="24"/>
          <w:lang w:val="en-US" w:eastAsia="zh-CN"/>
        </w:rPr>
      </w:pPr>
      <w:r>
        <w:rPr>
          <w:rFonts w:hint="default" w:ascii="Arial" w:hAnsi="Arial" w:eastAsia="宋体" w:cs="Arial"/>
          <w:sz w:val="24"/>
          <w:szCs w:val="24"/>
          <w:lang w:val="en-US" w:eastAsia="zh-CN"/>
        </w:rPr>
        <w:t>淬火回火废气：本项目</w:t>
      </w:r>
      <w:r>
        <w:rPr>
          <w:rFonts w:hint="eastAsia" w:ascii="Arial" w:hAnsi="Arial" w:eastAsia="宋体" w:cs="Arial"/>
          <w:sz w:val="24"/>
          <w:szCs w:val="24"/>
          <w:lang w:val="en-US" w:eastAsia="zh-CN"/>
        </w:rPr>
        <w:t>感应淬火</w:t>
      </w:r>
      <w:r>
        <w:rPr>
          <w:rFonts w:hint="default" w:ascii="Arial" w:hAnsi="Arial" w:eastAsia="宋体" w:cs="Arial"/>
          <w:sz w:val="24"/>
          <w:szCs w:val="24"/>
          <w:lang w:val="en-US" w:eastAsia="zh-CN"/>
        </w:rPr>
        <w:t>采用水性淬火液，水性淬火液使用浓度为3~5%，主要成分为高分子聚合物、去离子水及少量防锈剂、湿润剂等添加剂。</w:t>
      </w:r>
      <w:r>
        <w:rPr>
          <w:rFonts w:hint="eastAsia" w:ascii="Arial" w:hAnsi="Arial" w:eastAsia="宋体" w:cs="Arial"/>
          <w:sz w:val="24"/>
          <w:szCs w:val="24"/>
          <w:lang w:val="en-US" w:eastAsia="zh-CN"/>
        </w:rPr>
        <w:t>感应淬火</w:t>
      </w:r>
      <w:r>
        <w:rPr>
          <w:rFonts w:hint="default" w:ascii="Arial" w:hAnsi="Arial" w:eastAsia="宋体" w:cs="Arial"/>
          <w:sz w:val="24"/>
          <w:szCs w:val="24"/>
          <w:lang w:val="en-US" w:eastAsia="zh-CN"/>
        </w:rPr>
        <w:t>、回火过程中主要产生水蒸气，水性淬火液基本不含挥发性有机物和颗粒物（油雾），因此本项目热处理工艺废气产生量极少，本报告不进行定量分析。</w:t>
      </w:r>
    </w:p>
    <w:p w14:paraId="7728F19C">
      <w:pPr>
        <w:numPr>
          <w:ilvl w:val="0"/>
          <w:numId w:val="10"/>
        </w:numPr>
        <w:spacing w:line="360" w:lineRule="auto"/>
        <w:ind w:firstLine="480" w:firstLineChars="200"/>
        <w:jc w:val="left"/>
        <w:rPr>
          <w:rFonts w:hint="default" w:ascii="Arial" w:hAnsi="Arial" w:eastAsia="宋体" w:cs="Arial"/>
          <w:bCs/>
          <w:color w:val="000000" w:themeColor="text1"/>
          <w:sz w:val="24"/>
          <w:szCs w:val="24"/>
          <w14:textFill>
            <w14:solidFill>
              <w14:schemeClr w14:val="tx1"/>
            </w14:solidFill>
          </w14:textFill>
        </w:rPr>
      </w:pPr>
      <w:r>
        <w:rPr>
          <w:rFonts w:hint="eastAsia" w:ascii="Arial" w:hAnsi="Arial" w:eastAsia="宋体" w:cs="Arial"/>
          <w:sz w:val="24"/>
          <w:szCs w:val="24"/>
          <w:lang w:val="en-US" w:eastAsia="zh-CN"/>
        </w:rPr>
        <w:t>前处理、</w:t>
      </w:r>
      <w:r>
        <w:rPr>
          <w:rFonts w:hint="default" w:ascii="Arial" w:hAnsi="Arial" w:eastAsia="宋体" w:cs="Arial"/>
          <w:sz w:val="24"/>
          <w:szCs w:val="24"/>
          <w:lang w:val="en-US" w:eastAsia="zh-CN"/>
        </w:rPr>
        <w:t>烘干废气：</w:t>
      </w:r>
      <w:r>
        <w:rPr>
          <w:rFonts w:hint="eastAsia" w:ascii="Arial" w:hAnsi="Arial" w:eastAsia="宋体" w:cs="Arial"/>
          <w:sz w:val="24"/>
          <w:szCs w:val="24"/>
          <w:lang w:val="en-US" w:eastAsia="zh-CN"/>
        </w:rPr>
        <w:t>项目使用防锈剂含有挥发性有机物（FD-16</w:t>
      </w:r>
      <w:r>
        <w:rPr>
          <w:rFonts w:hint="default" w:ascii="Arial" w:hAnsi="Arial" w:eastAsia="宋体" w:cs="Arial"/>
          <w:sz w:val="24"/>
          <w:szCs w:val="24"/>
          <w:lang w:val="en-US" w:eastAsia="zh-CN"/>
        </w:rPr>
        <w:t>防锈剂</w:t>
      </w:r>
      <w:r>
        <w:rPr>
          <w:rFonts w:hint="eastAsia" w:ascii="Arial" w:hAnsi="Arial" w:eastAsia="宋体" w:cs="Arial"/>
          <w:sz w:val="24"/>
          <w:szCs w:val="24"/>
          <w:lang w:val="en-US" w:eastAsia="zh-CN"/>
        </w:rPr>
        <w:t>即用状态下挥发性有机物含量为12.6g/L</w:t>
      </w:r>
      <w:r>
        <w:rPr>
          <w:rFonts w:hint="default" w:ascii="Arial" w:hAnsi="Arial" w:eastAsia="宋体" w:cs="Arial"/>
          <w:sz w:val="24"/>
          <w:szCs w:val="24"/>
          <w:lang w:val="en-US" w:eastAsia="zh-CN"/>
        </w:rPr>
        <w:t>，</w:t>
      </w:r>
      <w:r>
        <w:rPr>
          <w:rFonts w:hint="eastAsia" w:ascii="Arial" w:hAnsi="Arial" w:eastAsia="宋体" w:cs="Arial"/>
          <w:sz w:val="24"/>
          <w:szCs w:val="24"/>
          <w:lang w:val="en-US" w:eastAsia="zh-CN"/>
        </w:rPr>
        <w:t>QV750防锈剂即用状态下挥发性有机物含量为0.6g/L），</w:t>
      </w:r>
      <w:r>
        <w:rPr>
          <w:rFonts w:hint="default" w:ascii="Arial" w:hAnsi="Arial" w:eastAsia="宋体" w:cs="Arial"/>
          <w:sz w:val="24"/>
          <w:szCs w:val="24"/>
          <w:lang w:val="en-US" w:eastAsia="zh-CN"/>
        </w:rPr>
        <w:t>工件上附着少量</w:t>
      </w:r>
      <w:r>
        <w:rPr>
          <w:rFonts w:hint="eastAsia" w:ascii="Arial" w:hAnsi="Arial" w:eastAsia="宋体" w:cs="Arial"/>
          <w:sz w:val="24"/>
          <w:szCs w:val="24"/>
          <w:lang w:val="en-US" w:eastAsia="zh-CN"/>
        </w:rPr>
        <w:t>防锈剂</w:t>
      </w:r>
      <w:r>
        <w:rPr>
          <w:rFonts w:hint="default" w:ascii="Arial" w:hAnsi="Arial" w:eastAsia="宋体" w:cs="Arial"/>
          <w:sz w:val="24"/>
          <w:szCs w:val="24"/>
          <w:lang w:val="en-US" w:eastAsia="zh-CN"/>
        </w:rPr>
        <w:t>在</w:t>
      </w:r>
      <w:r>
        <w:rPr>
          <w:rFonts w:hint="eastAsia" w:ascii="Arial" w:hAnsi="Arial" w:eastAsia="宋体" w:cs="Arial"/>
          <w:sz w:val="24"/>
          <w:szCs w:val="24"/>
          <w:lang w:val="en-US" w:eastAsia="zh-CN"/>
        </w:rPr>
        <w:t>前处理及</w:t>
      </w:r>
      <w:r>
        <w:rPr>
          <w:rFonts w:hint="default" w:ascii="Arial" w:hAnsi="Arial" w:eastAsia="宋体" w:cs="Arial"/>
          <w:sz w:val="24"/>
          <w:szCs w:val="24"/>
          <w:lang w:val="en-US" w:eastAsia="zh-CN"/>
        </w:rPr>
        <w:t>烘干过程中</w:t>
      </w:r>
      <w:r>
        <w:rPr>
          <w:rFonts w:hint="default" w:ascii="Arial" w:hAnsi="Arial" w:eastAsia="宋体" w:cs="Arial"/>
          <w:color w:val="000000" w:themeColor="text1"/>
          <w:sz w:val="24"/>
          <w:szCs w:val="24"/>
          <w:lang w:val="en-US" w:eastAsia="zh-CN"/>
          <w14:textFill>
            <w14:solidFill>
              <w14:schemeClr w14:val="tx1"/>
            </w14:solidFill>
          </w14:textFill>
        </w:rPr>
        <w:t>会挥发，含有少量挥发性有机物，以非甲烷总烃计。</w:t>
      </w:r>
      <w:r>
        <w:rPr>
          <w:rFonts w:hint="eastAsia" w:ascii="Arial" w:hAnsi="Arial" w:eastAsia="宋体" w:cs="Arial"/>
          <w:color w:val="000000" w:themeColor="text1"/>
          <w:sz w:val="24"/>
          <w:szCs w:val="24"/>
          <w:lang w:val="en-US" w:eastAsia="zh-CN"/>
          <w14:textFill>
            <w14:solidFill>
              <w14:schemeClr w14:val="tx1"/>
            </w14:solidFill>
          </w14:textFill>
        </w:rPr>
        <w:t>前处理过程中废气在车间内无组织排放，</w:t>
      </w:r>
      <w:r>
        <w:rPr>
          <w:rFonts w:hint="default" w:ascii="Arial" w:hAnsi="Arial" w:eastAsia="宋体" w:cs="Arial"/>
          <w:color w:val="000000" w:themeColor="text1"/>
          <w:sz w:val="24"/>
          <w:szCs w:val="24"/>
          <w:lang w:val="en-US" w:eastAsia="zh-CN"/>
          <w14:textFill>
            <w14:solidFill>
              <w14:schemeClr w14:val="tx1"/>
            </w14:solidFill>
          </w14:textFill>
        </w:rPr>
        <w:t>烘干废气在烘箱开门时排放至车间内，</w:t>
      </w:r>
      <w:r>
        <w:rPr>
          <w:rFonts w:hint="default" w:ascii="Arial" w:hAnsi="Arial" w:eastAsia="宋体" w:cs="Arial"/>
          <w:color w:val="000000" w:themeColor="text1"/>
          <w:sz w:val="24"/>
          <w:szCs w:val="24"/>
          <w14:textFill>
            <w14:solidFill>
              <w14:schemeClr w14:val="tx1"/>
            </w14:solidFill>
          </w14:textFill>
        </w:rPr>
        <w:t>车间通风后对周边大气环境基本无影响，</w:t>
      </w:r>
      <w:r>
        <w:rPr>
          <w:rFonts w:hint="default" w:ascii="Arial" w:hAnsi="Arial" w:eastAsia="宋体" w:cs="Arial"/>
          <w:color w:val="000000" w:themeColor="text1"/>
          <w:sz w:val="24"/>
          <w:szCs w:val="24"/>
          <w:lang w:val="en-US" w:eastAsia="zh-CN"/>
          <w14:textFill>
            <w14:solidFill>
              <w14:schemeClr w14:val="tx1"/>
            </w14:solidFill>
          </w14:textFill>
        </w:rPr>
        <w:t>本报告不进行定量分析</w:t>
      </w:r>
      <w:r>
        <w:rPr>
          <w:rFonts w:hint="default" w:ascii="Arial" w:hAnsi="Arial" w:eastAsia="宋体" w:cs="Arial"/>
          <w:color w:val="000000" w:themeColor="text1"/>
          <w:sz w:val="24"/>
          <w:szCs w:val="24"/>
          <w14:textFill>
            <w14:solidFill>
              <w14:schemeClr w14:val="tx1"/>
            </w14:solidFill>
          </w14:textFill>
        </w:rPr>
        <w:t>。</w:t>
      </w:r>
    </w:p>
    <w:p w14:paraId="15D9FB3D">
      <w:pPr>
        <w:numPr>
          <w:ilvl w:val="0"/>
          <w:numId w:val="10"/>
        </w:numPr>
        <w:spacing w:line="360" w:lineRule="auto"/>
        <w:ind w:firstLine="480" w:firstLineChars="200"/>
        <w:jc w:val="left"/>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不凝汽：</w:t>
      </w:r>
      <w:r>
        <w:rPr>
          <w:rFonts w:hint="default" w:ascii="Arial" w:hAnsi="Arial" w:eastAsia="宋体" w:cs="Arial"/>
          <w:spacing w:val="0"/>
          <w:kern w:val="0"/>
          <w:sz w:val="24"/>
          <w:szCs w:val="24"/>
        </w:rPr>
        <w:t>本项目</w:t>
      </w:r>
      <w:r>
        <w:rPr>
          <w:rFonts w:hint="default" w:ascii="Arial" w:hAnsi="Arial" w:eastAsia="宋体" w:cs="Arial"/>
          <w:spacing w:val="0"/>
          <w:kern w:val="0"/>
          <w:sz w:val="24"/>
          <w:szCs w:val="24"/>
          <w:lang w:val="en-US" w:eastAsia="zh-CN"/>
        </w:rPr>
        <w:t>废水处理设施采用</w:t>
      </w:r>
      <w:r>
        <w:rPr>
          <w:rFonts w:hint="default" w:ascii="Arial" w:hAnsi="Arial" w:eastAsia="宋体" w:cs="Arial"/>
          <w:spacing w:val="0"/>
          <w:kern w:val="0"/>
          <w:sz w:val="24"/>
          <w:szCs w:val="24"/>
        </w:rPr>
        <w:t>低温蒸发</w:t>
      </w:r>
      <w:r>
        <w:rPr>
          <w:rFonts w:hint="default" w:ascii="Arial" w:hAnsi="Arial" w:eastAsia="宋体" w:cs="Arial"/>
          <w:spacing w:val="0"/>
          <w:kern w:val="0"/>
          <w:sz w:val="24"/>
          <w:szCs w:val="24"/>
          <w:lang w:val="en-US" w:eastAsia="zh-CN"/>
        </w:rPr>
        <w:t>工艺，低温蒸发系统</w:t>
      </w:r>
      <w:r>
        <w:rPr>
          <w:rFonts w:hint="default" w:ascii="Arial" w:hAnsi="Arial" w:eastAsia="宋体" w:cs="Arial"/>
          <w:spacing w:val="0"/>
          <w:kern w:val="0"/>
          <w:sz w:val="24"/>
          <w:szCs w:val="24"/>
        </w:rPr>
        <w:t>密闭操作，有少量</w:t>
      </w:r>
      <w:r>
        <w:rPr>
          <w:rFonts w:hint="default" w:ascii="Arial" w:hAnsi="Arial" w:eastAsia="宋体" w:cs="Arial"/>
          <w:b w:val="0"/>
          <w:bCs w:val="0"/>
          <w:spacing w:val="0"/>
          <w:kern w:val="0"/>
          <w:sz w:val="24"/>
          <w:szCs w:val="24"/>
        </w:rPr>
        <w:t>不凝气体</w:t>
      </w:r>
      <w:r>
        <w:rPr>
          <w:rFonts w:hint="default" w:ascii="Arial" w:hAnsi="Arial" w:eastAsia="宋体" w:cs="Arial"/>
          <w:b w:val="0"/>
          <w:bCs w:val="0"/>
          <w:spacing w:val="0"/>
          <w:kern w:val="0"/>
          <w:sz w:val="24"/>
          <w:szCs w:val="24"/>
          <w:lang w:eastAsia="zh-CN"/>
        </w:rPr>
        <w:t>（</w:t>
      </w:r>
      <w:r>
        <w:rPr>
          <w:rFonts w:hint="default" w:ascii="Arial" w:hAnsi="Arial" w:eastAsia="宋体" w:cs="Arial"/>
          <w:b w:val="0"/>
          <w:bCs w:val="0"/>
          <w:spacing w:val="0"/>
          <w:kern w:val="0"/>
          <w:sz w:val="24"/>
          <w:szCs w:val="24"/>
          <w:lang w:val="en-US" w:eastAsia="zh-CN"/>
        </w:rPr>
        <w:t>非甲烷总烃</w:t>
      </w:r>
      <w:r>
        <w:rPr>
          <w:rFonts w:hint="default" w:ascii="Arial" w:hAnsi="Arial" w:eastAsia="宋体" w:cs="Arial"/>
          <w:b w:val="0"/>
          <w:bCs w:val="0"/>
          <w:spacing w:val="0"/>
          <w:kern w:val="0"/>
          <w:sz w:val="24"/>
          <w:szCs w:val="24"/>
          <w:lang w:eastAsia="zh-CN"/>
        </w:rPr>
        <w:t>）</w:t>
      </w:r>
      <w:r>
        <w:rPr>
          <w:rFonts w:hint="default" w:ascii="Arial" w:hAnsi="Arial" w:eastAsia="宋体" w:cs="Arial"/>
          <w:spacing w:val="0"/>
          <w:kern w:val="0"/>
          <w:sz w:val="24"/>
          <w:szCs w:val="24"/>
        </w:rPr>
        <w:t>通过冷凝液回收罐的排气孔</w:t>
      </w:r>
      <w:r>
        <w:rPr>
          <w:rFonts w:hint="default" w:ascii="Arial" w:hAnsi="Arial" w:eastAsia="宋体" w:cs="Arial"/>
          <w:spacing w:val="0"/>
          <w:kern w:val="0"/>
          <w:sz w:val="24"/>
          <w:szCs w:val="24"/>
          <w:lang w:val="en-US" w:eastAsia="zh-CN"/>
        </w:rPr>
        <w:t>散逸，</w:t>
      </w:r>
      <w:r>
        <w:rPr>
          <w:rFonts w:hint="default" w:ascii="Arial" w:hAnsi="Arial" w:eastAsia="宋体" w:cs="Arial"/>
          <w:sz w:val="24"/>
          <w:szCs w:val="24"/>
          <w:lang w:val="en-US" w:eastAsia="zh-CN"/>
        </w:rPr>
        <w:t>产生量极少，本报告不进行定量分析</w:t>
      </w:r>
      <w:r>
        <w:rPr>
          <w:rFonts w:hint="default" w:ascii="Arial" w:hAnsi="Arial" w:eastAsia="宋体" w:cs="Arial"/>
          <w:spacing w:val="0"/>
          <w:kern w:val="0"/>
          <w:sz w:val="24"/>
          <w:szCs w:val="24"/>
        </w:rPr>
        <w:t>。</w:t>
      </w:r>
    </w:p>
    <w:p w14:paraId="0E917A9A">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color w:val="auto"/>
          <w:sz w:val="24"/>
          <w:highlight w:val="none"/>
        </w:rPr>
        <w:t>大气环境影响分析</w:t>
      </w:r>
    </w:p>
    <w:p w14:paraId="5524238F">
      <w:pPr>
        <w:pStyle w:val="83"/>
        <w:rPr>
          <w:rFonts w:hint="default" w:ascii="Arial" w:hAnsi="Arial" w:eastAsia="宋体" w:cs="Arial"/>
          <w:bCs/>
          <w:color w:val="auto"/>
          <w:highlight w:val="none"/>
        </w:rPr>
      </w:pPr>
      <w:r>
        <w:rPr>
          <w:rFonts w:hint="default" w:ascii="Arial" w:hAnsi="Arial" w:eastAsia="宋体" w:cs="Arial"/>
          <w:color w:val="auto"/>
          <w:highlight w:val="none"/>
        </w:rPr>
        <w:t>根据环境质量数据可知，平湖</w:t>
      </w:r>
      <w:r>
        <w:rPr>
          <w:rFonts w:hint="default" w:ascii="Arial" w:hAnsi="Arial" w:eastAsia="宋体" w:cs="Arial"/>
          <w:color w:val="000000"/>
          <w:highlight w:val="none"/>
        </w:rPr>
        <w:t>市区域环境空气属于达标区。</w:t>
      </w:r>
      <w:r>
        <w:rPr>
          <w:rFonts w:hint="default" w:ascii="Arial" w:hAnsi="Arial" w:eastAsia="宋体" w:cs="Arial"/>
          <w:bCs/>
          <w:color w:val="000000"/>
          <w:highlight w:val="none"/>
        </w:rPr>
        <w:t>本项目建设不会加重区域环境质量负担，</w:t>
      </w:r>
      <w:r>
        <w:rPr>
          <w:rFonts w:hint="eastAsia" w:ascii="Arial" w:hAnsi="Arial" w:cs="Arial"/>
          <w:bCs/>
          <w:color w:val="000000"/>
          <w:highlight w:val="none"/>
          <w:lang w:val="en-US" w:eastAsia="zh-CN"/>
        </w:rPr>
        <w:t>不会</w:t>
      </w:r>
      <w:r>
        <w:rPr>
          <w:rFonts w:hint="default" w:ascii="Arial" w:hAnsi="Arial" w:eastAsia="宋体" w:cs="Arial"/>
          <w:bCs/>
          <w:color w:val="000000"/>
          <w:highlight w:val="none"/>
        </w:rPr>
        <w:t>导致区域环境质量进一步恶化。只要企业落实环保设施竣工验收，</w:t>
      </w:r>
      <w:r>
        <w:rPr>
          <w:rFonts w:hint="default" w:ascii="Arial" w:hAnsi="Arial" w:eastAsia="宋体" w:cs="Arial"/>
          <w:bCs/>
          <w:color w:val="auto"/>
          <w:highlight w:val="none"/>
        </w:rPr>
        <w:t>本项目对周边大气环境的影响是可接受的。</w:t>
      </w:r>
    </w:p>
    <w:p w14:paraId="75A0B238">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color w:val="auto"/>
          <w:sz w:val="24"/>
          <w:highlight w:val="none"/>
        </w:rPr>
        <w:t>废气监测计划</w:t>
      </w:r>
    </w:p>
    <w:p w14:paraId="25364EDE">
      <w:pPr>
        <w:adjustRightInd w:val="0"/>
        <w:snapToGrid w:val="0"/>
        <w:spacing w:line="360" w:lineRule="auto"/>
        <w:ind w:firstLine="480" w:firstLineChars="200"/>
        <w:rPr>
          <w:rFonts w:hint="default" w:ascii="Arial" w:hAnsi="Arial" w:eastAsia="宋体" w:cs="Arial"/>
          <w:color w:val="auto"/>
          <w:sz w:val="24"/>
          <w:highlight w:val="none"/>
        </w:rPr>
      </w:pPr>
      <w:r>
        <w:rPr>
          <w:rFonts w:hint="default" w:ascii="Arial" w:hAnsi="Arial" w:eastAsia="宋体" w:cs="Arial"/>
          <w:color w:val="auto"/>
          <w:sz w:val="24"/>
          <w:highlight w:val="none"/>
        </w:rPr>
        <w:t>废气监测计划依据《排污单位自行监测技术指南总则》</w:t>
      </w:r>
      <w:r>
        <w:rPr>
          <w:rFonts w:hint="default" w:ascii="Arial" w:hAnsi="Arial" w:eastAsia="宋体" w:cs="Arial"/>
          <w:bCs/>
          <w:color w:val="auto"/>
          <w:kern w:val="28"/>
          <w:sz w:val="24"/>
          <w:highlight w:val="none"/>
        </w:rPr>
        <w:t>（HJ 819-2017）的</w:t>
      </w:r>
      <w:r>
        <w:rPr>
          <w:rFonts w:hint="default" w:ascii="Arial" w:hAnsi="Arial" w:eastAsia="宋体" w:cs="Arial"/>
          <w:color w:val="auto"/>
          <w:sz w:val="24"/>
          <w:highlight w:val="none"/>
        </w:rPr>
        <w:t>相关要求制定，具体监测计划建议如下。</w:t>
      </w:r>
    </w:p>
    <w:p w14:paraId="3FA28062">
      <w:pPr>
        <w:pStyle w:val="76"/>
        <w:keepNext w:val="0"/>
        <w:keepLines w:val="0"/>
        <w:pageBreakBefore w:val="0"/>
        <w:widowControl w:val="0"/>
        <w:numPr>
          <w:ilvl w:val="3"/>
          <w:numId w:val="4"/>
        </w:numPr>
        <w:kinsoku/>
        <w:wordWrap/>
        <w:overflowPunct/>
        <w:topLinePunct w:val="0"/>
        <w:autoSpaceDE/>
        <w:autoSpaceDN/>
        <w:bidi w:val="0"/>
        <w:adjustRightInd/>
        <w:snapToGrid/>
        <w:spacing w:line="240" w:lineRule="auto"/>
        <w:ind w:left="777" w:leftChars="0" w:firstLine="0" w:firstLineChars="0"/>
        <w:jc w:val="center"/>
        <w:textAlignment w:val="auto"/>
        <w:outlineLvl w:val="2"/>
        <w:rPr>
          <w:rFonts w:hint="default" w:ascii="Arial" w:hAnsi="Arial" w:eastAsia="宋体" w:cs="Arial"/>
          <w:b/>
          <w:bCs/>
          <w:sz w:val="24"/>
          <w:szCs w:val="24"/>
        </w:rPr>
      </w:pPr>
      <w:r>
        <w:rPr>
          <w:rFonts w:hint="eastAsia" w:ascii="Arial" w:hAnsi="Arial" w:eastAsia="宋体" w:cs="Arial"/>
          <w:b/>
          <w:bCs/>
          <w:color w:val="auto"/>
          <w:sz w:val="24"/>
          <w:highlight w:val="none"/>
          <w:lang w:val="en-US" w:eastAsia="zh-CN"/>
        </w:rPr>
        <w:t xml:space="preserve">  </w:t>
      </w:r>
      <w:r>
        <w:rPr>
          <w:rFonts w:hint="default" w:ascii="Arial" w:hAnsi="Arial" w:eastAsia="宋体" w:cs="Arial"/>
          <w:b/>
          <w:bCs/>
          <w:color w:val="auto"/>
          <w:sz w:val="24"/>
          <w:highlight w:val="none"/>
        </w:rPr>
        <w:t>废气监测计划</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116"/>
        <w:gridCol w:w="1390"/>
        <w:gridCol w:w="1235"/>
        <w:gridCol w:w="3454"/>
      </w:tblGrid>
      <w:tr w14:paraId="4C07E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l2br w:val="nil"/>
            </w:tcBorders>
            <w:shd w:val="clear" w:color="auto" w:fill="FFFFFF"/>
            <w:noWrap w:val="0"/>
            <w:vAlign w:val="center"/>
          </w:tcPr>
          <w:p w14:paraId="026CF409">
            <w:pPr>
              <w:pStyle w:val="76"/>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类别</w:t>
            </w:r>
          </w:p>
        </w:tc>
        <w:tc>
          <w:tcPr>
            <w:tcW w:w="703" w:type="pct"/>
            <w:shd w:val="clear" w:color="auto" w:fill="FFFFFF"/>
            <w:noWrap w:val="0"/>
            <w:vAlign w:val="center"/>
          </w:tcPr>
          <w:p w14:paraId="2FCF03B1">
            <w:pPr>
              <w:pStyle w:val="76"/>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监测点位</w:t>
            </w:r>
          </w:p>
        </w:tc>
        <w:tc>
          <w:tcPr>
            <w:tcW w:w="875" w:type="pct"/>
            <w:shd w:val="clear" w:color="auto" w:fill="FFFFFF"/>
            <w:noWrap w:val="0"/>
            <w:vAlign w:val="center"/>
          </w:tcPr>
          <w:p w14:paraId="582BCB94">
            <w:pPr>
              <w:pStyle w:val="76"/>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监测指标</w:t>
            </w:r>
          </w:p>
        </w:tc>
        <w:tc>
          <w:tcPr>
            <w:tcW w:w="778" w:type="pct"/>
            <w:shd w:val="clear" w:color="auto" w:fill="FFFFFF"/>
            <w:noWrap w:val="0"/>
            <w:vAlign w:val="center"/>
          </w:tcPr>
          <w:p w14:paraId="26B9056D">
            <w:pPr>
              <w:pStyle w:val="76"/>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监测频次</w:t>
            </w:r>
          </w:p>
        </w:tc>
        <w:tc>
          <w:tcPr>
            <w:tcW w:w="2175" w:type="pct"/>
            <w:shd w:val="clear" w:color="auto" w:fill="FFFFFF"/>
            <w:noWrap w:val="0"/>
            <w:vAlign w:val="center"/>
          </w:tcPr>
          <w:p w14:paraId="23242688">
            <w:pPr>
              <w:pStyle w:val="76"/>
              <w:jc w:val="center"/>
              <w:outlineLvl w:val="3"/>
              <w:rPr>
                <w:rFonts w:hint="default" w:ascii="Arial" w:hAnsi="Arial" w:eastAsia="宋体" w:cs="Arial"/>
                <w:b w:val="0"/>
                <w:bCs/>
                <w:color w:val="000000"/>
                <w:sz w:val="24"/>
                <w:highlight w:val="none"/>
              </w:rPr>
            </w:pPr>
            <w:r>
              <w:rPr>
                <w:rFonts w:hint="default" w:ascii="Arial" w:hAnsi="Arial" w:eastAsia="宋体" w:cs="Arial"/>
                <w:b w:val="0"/>
                <w:color w:val="000000"/>
                <w:szCs w:val="21"/>
                <w:highlight w:val="none"/>
              </w:rPr>
              <w:t>执行排放标准</w:t>
            </w:r>
          </w:p>
        </w:tc>
      </w:tr>
      <w:tr w14:paraId="0E306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restart"/>
            <w:shd w:val="clear" w:color="auto" w:fill="FFFFFF"/>
            <w:noWrap w:val="0"/>
            <w:vAlign w:val="center"/>
          </w:tcPr>
          <w:p w14:paraId="5C0F904B">
            <w:pPr>
              <w:pStyle w:val="76"/>
              <w:jc w:val="center"/>
              <w:outlineLvl w:val="3"/>
              <w:rPr>
                <w:rFonts w:hint="eastAsia" w:ascii="Arial" w:hAnsi="Arial" w:eastAsia="宋体" w:cs="Arial"/>
                <w:b w:val="0"/>
                <w:color w:val="000000"/>
                <w:szCs w:val="21"/>
                <w:highlight w:val="none"/>
                <w:lang w:val="en-US" w:eastAsia="zh-CN"/>
              </w:rPr>
            </w:pPr>
            <w:r>
              <w:rPr>
                <w:rFonts w:hint="eastAsia" w:ascii="Arial" w:hAnsi="Arial" w:cs="Arial"/>
                <w:b w:val="0"/>
                <w:color w:val="000000"/>
                <w:szCs w:val="21"/>
                <w:highlight w:val="none"/>
                <w:lang w:val="en-US" w:eastAsia="zh-CN"/>
              </w:rPr>
              <w:t>无组织</w:t>
            </w:r>
          </w:p>
        </w:tc>
        <w:tc>
          <w:tcPr>
            <w:tcW w:w="703" w:type="pct"/>
            <w:vMerge w:val="restart"/>
            <w:shd w:val="clear" w:color="auto" w:fill="FFFFFF"/>
            <w:noWrap w:val="0"/>
            <w:vAlign w:val="center"/>
          </w:tcPr>
          <w:p w14:paraId="4BC12A26">
            <w:pPr>
              <w:pStyle w:val="76"/>
              <w:jc w:val="center"/>
              <w:outlineLvl w:val="3"/>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厂界</w:t>
            </w:r>
          </w:p>
        </w:tc>
        <w:tc>
          <w:tcPr>
            <w:tcW w:w="875" w:type="pct"/>
            <w:shd w:val="clear" w:color="auto" w:fill="FFFFFF"/>
            <w:noWrap w:val="0"/>
            <w:vAlign w:val="center"/>
          </w:tcPr>
          <w:p w14:paraId="772641C7">
            <w:pPr>
              <w:pStyle w:val="76"/>
              <w:jc w:val="center"/>
              <w:outlineLvl w:val="3"/>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非甲烷总烃</w:t>
            </w:r>
          </w:p>
        </w:tc>
        <w:tc>
          <w:tcPr>
            <w:tcW w:w="778" w:type="pct"/>
            <w:vMerge w:val="restart"/>
            <w:shd w:val="clear" w:color="auto" w:fill="FFFFFF"/>
            <w:noWrap w:val="0"/>
            <w:vAlign w:val="center"/>
          </w:tcPr>
          <w:p w14:paraId="283B944F">
            <w:pPr>
              <w:pStyle w:val="76"/>
              <w:jc w:val="center"/>
              <w:outlineLvl w:val="3"/>
              <w:rPr>
                <w:rFonts w:hint="default" w:ascii="Arial" w:hAnsi="Arial" w:eastAsia="宋体" w:cs="Arial"/>
                <w:b w:val="0"/>
                <w:color w:val="000000"/>
                <w:szCs w:val="21"/>
                <w:highlight w:val="none"/>
              </w:rPr>
            </w:pPr>
            <w:r>
              <w:rPr>
                <w:rFonts w:hint="default" w:ascii="Arial" w:hAnsi="Arial" w:eastAsia="宋体" w:cs="Arial"/>
                <w:b w:val="0"/>
                <w:color w:val="000000"/>
                <w:szCs w:val="21"/>
                <w:highlight w:val="none"/>
              </w:rPr>
              <w:t>1次/年</w:t>
            </w:r>
          </w:p>
        </w:tc>
        <w:tc>
          <w:tcPr>
            <w:tcW w:w="2175" w:type="pct"/>
            <w:vMerge w:val="restart"/>
            <w:shd w:val="clear" w:color="auto" w:fill="FFFFFF"/>
            <w:noWrap w:val="0"/>
            <w:vAlign w:val="center"/>
          </w:tcPr>
          <w:p w14:paraId="3DF50017">
            <w:pPr>
              <w:pStyle w:val="76"/>
              <w:jc w:val="center"/>
              <w:outlineLvl w:val="3"/>
              <w:rPr>
                <w:rFonts w:hint="default" w:ascii="Arial" w:hAnsi="Arial" w:eastAsia="宋体" w:cs="Arial"/>
                <w:b w:val="0"/>
                <w:color w:val="000000"/>
                <w:szCs w:val="21"/>
                <w:highlight w:val="none"/>
              </w:rPr>
            </w:pPr>
            <w:r>
              <w:rPr>
                <w:rFonts w:hint="eastAsia" w:ascii="Times New Roman" w:hAnsi="Times New Roman" w:eastAsia="宋体"/>
                <w:szCs w:val="21"/>
              </w:rPr>
              <w:t>《大气污染物综合排放标准》（GB 16297-1996）二级标准</w:t>
            </w:r>
            <w:r>
              <w:rPr>
                <w:rFonts w:hint="eastAsia" w:ascii="Times New Roman" w:hAnsi="Times New Roman" w:eastAsia="宋体"/>
                <w:szCs w:val="21"/>
                <w:lang w:eastAsia="zh-CN"/>
              </w:rPr>
              <w:t>；</w:t>
            </w:r>
            <w:r>
              <w:rPr>
                <w:rFonts w:ascii="Times New Roman" w:hAnsi="Times New Roman" w:eastAsia="宋体"/>
                <w:szCs w:val="21"/>
              </w:rPr>
              <w:t>《挥发性有机物无组织排放控制标准》（GB 37822-2019）中特别排放限值</w:t>
            </w:r>
          </w:p>
        </w:tc>
      </w:tr>
      <w:tr w14:paraId="0583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continue"/>
            <w:shd w:val="clear" w:color="auto" w:fill="FFFFFF"/>
            <w:noWrap w:val="0"/>
            <w:vAlign w:val="center"/>
          </w:tcPr>
          <w:p w14:paraId="5BC280DB">
            <w:pPr>
              <w:pStyle w:val="76"/>
              <w:jc w:val="center"/>
              <w:outlineLvl w:val="3"/>
              <w:rPr>
                <w:rFonts w:hint="default" w:ascii="Arial" w:hAnsi="Arial" w:eastAsia="宋体" w:cs="Arial"/>
                <w:b w:val="0"/>
                <w:color w:val="000000"/>
                <w:szCs w:val="21"/>
                <w:highlight w:val="none"/>
              </w:rPr>
            </w:pPr>
          </w:p>
        </w:tc>
        <w:tc>
          <w:tcPr>
            <w:tcW w:w="703" w:type="pct"/>
            <w:vMerge w:val="continue"/>
            <w:shd w:val="clear" w:color="auto" w:fill="FFFFFF"/>
            <w:noWrap w:val="0"/>
            <w:vAlign w:val="center"/>
          </w:tcPr>
          <w:p w14:paraId="4BA390B7">
            <w:pPr>
              <w:pStyle w:val="76"/>
              <w:jc w:val="center"/>
              <w:outlineLvl w:val="3"/>
              <w:rPr>
                <w:rFonts w:hint="default" w:ascii="Arial" w:hAnsi="Arial" w:eastAsia="宋体" w:cs="Arial"/>
                <w:b w:val="0"/>
                <w:color w:val="000000"/>
                <w:szCs w:val="21"/>
                <w:highlight w:val="none"/>
              </w:rPr>
            </w:pPr>
          </w:p>
        </w:tc>
        <w:tc>
          <w:tcPr>
            <w:tcW w:w="875" w:type="pct"/>
            <w:shd w:val="clear" w:color="auto" w:fill="FFFFFF"/>
            <w:noWrap w:val="0"/>
            <w:vAlign w:val="center"/>
          </w:tcPr>
          <w:p w14:paraId="1C25304E">
            <w:pPr>
              <w:pStyle w:val="76"/>
              <w:jc w:val="center"/>
              <w:outlineLvl w:val="3"/>
              <w:rPr>
                <w:rFonts w:hint="default" w:ascii="Arial" w:hAnsi="Arial" w:eastAsia="宋体" w:cs="Arial"/>
                <w:b w:val="0"/>
                <w:color w:val="000000"/>
                <w:szCs w:val="21"/>
                <w:highlight w:val="none"/>
                <w:lang w:val="en-US" w:eastAsia="zh-CN"/>
              </w:rPr>
            </w:pPr>
            <w:r>
              <w:rPr>
                <w:rFonts w:hint="default" w:ascii="Arial" w:hAnsi="Arial" w:eastAsia="宋体" w:cs="Arial"/>
                <w:b w:val="0"/>
                <w:color w:val="000000"/>
                <w:szCs w:val="21"/>
                <w:highlight w:val="none"/>
                <w:lang w:val="en-US" w:eastAsia="zh-CN"/>
              </w:rPr>
              <w:t>颗粒物</w:t>
            </w:r>
          </w:p>
        </w:tc>
        <w:tc>
          <w:tcPr>
            <w:tcW w:w="778" w:type="pct"/>
            <w:vMerge w:val="continue"/>
            <w:shd w:val="clear" w:color="auto" w:fill="FFFFFF"/>
            <w:noWrap w:val="0"/>
            <w:vAlign w:val="center"/>
          </w:tcPr>
          <w:p w14:paraId="0C14C547">
            <w:pPr>
              <w:pStyle w:val="76"/>
              <w:jc w:val="center"/>
              <w:outlineLvl w:val="3"/>
              <w:rPr>
                <w:rFonts w:hint="default" w:ascii="Arial" w:hAnsi="Arial" w:eastAsia="宋体" w:cs="Arial"/>
                <w:b w:val="0"/>
                <w:color w:val="000000"/>
                <w:szCs w:val="21"/>
                <w:highlight w:val="none"/>
              </w:rPr>
            </w:pPr>
          </w:p>
        </w:tc>
        <w:tc>
          <w:tcPr>
            <w:tcW w:w="2175" w:type="pct"/>
            <w:vMerge w:val="continue"/>
            <w:shd w:val="clear" w:color="auto" w:fill="FFFFFF"/>
            <w:noWrap w:val="0"/>
            <w:vAlign w:val="center"/>
          </w:tcPr>
          <w:p w14:paraId="308D2A72">
            <w:pPr>
              <w:pStyle w:val="76"/>
              <w:jc w:val="center"/>
              <w:outlineLvl w:val="3"/>
              <w:rPr>
                <w:rFonts w:hint="default" w:ascii="Arial" w:hAnsi="Arial" w:eastAsia="宋体" w:cs="Arial"/>
                <w:b w:val="0"/>
                <w:color w:val="000000"/>
                <w:szCs w:val="21"/>
                <w:highlight w:val="none"/>
              </w:rPr>
            </w:pPr>
          </w:p>
        </w:tc>
      </w:tr>
      <w:tr w14:paraId="26DF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7" w:type="pct"/>
            <w:vMerge w:val="continue"/>
            <w:shd w:val="clear" w:color="auto" w:fill="FFFFFF"/>
            <w:noWrap w:val="0"/>
            <w:vAlign w:val="center"/>
          </w:tcPr>
          <w:p w14:paraId="500B09E8">
            <w:pPr>
              <w:pStyle w:val="76"/>
              <w:jc w:val="center"/>
              <w:outlineLvl w:val="3"/>
              <w:rPr>
                <w:rFonts w:hint="default" w:ascii="Arial" w:hAnsi="Arial" w:eastAsia="宋体" w:cs="Arial"/>
                <w:b w:val="0"/>
                <w:color w:val="000000"/>
                <w:szCs w:val="21"/>
                <w:highlight w:val="none"/>
              </w:rPr>
            </w:pPr>
          </w:p>
        </w:tc>
        <w:tc>
          <w:tcPr>
            <w:tcW w:w="703" w:type="pct"/>
            <w:shd w:val="clear" w:color="auto" w:fill="FFFFFF"/>
            <w:noWrap w:val="0"/>
            <w:vAlign w:val="center"/>
          </w:tcPr>
          <w:p w14:paraId="42669C47">
            <w:pPr>
              <w:pStyle w:val="76"/>
              <w:jc w:val="center"/>
              <w:outlineLvl w:val="3"/>
              <w:rPr>
                <w:rFonts w:hint="eastAsia" w:ascii="Arial" w:hAnsi="Arial" w:eastAsia="宋体" w:cs="Arial"/>
                <w:b w:val="0"/>
                <w:color w:val="000000"/>
                <w:szCs w:val="21"/>
                <w:highlight w:val="none"/>
                <w:lang w:val="en-US" w:eastAsia="zh-CN"/>
              </w:rPr>
            </w:pPr>
            <w:r>
              <w:rPr>
                <w:rFonts w:hint="eastAsia" w:ascii="Arial" w:hAnsi="Arial" w:eastAsia="宋体" w:cs="Arial"/>
                <w:b w:val="0"/>
                <w:color w:val="000000"/>
                <w:szCs w:val="21"/>
                <w:highlight w:val="none"/>
                <w:lang w:val="en-US" w:eastAsia="zh-CN"/>
              </w:rPr>
              <w:t>厂区内</w:t>
            </w:r>
          </w:p>
        </w:tc>
        <w:tc>
          <w:tcPr>
            <w:tcW w:w="875" w:type="pct"/>
            <w:shd w:val="clear" w:color="auto" w:fill="FFFFFF"/>
            <w:noWrap w:val="0"/>
            <w:vAlign w:val="center"/>
          </w:tcPr>
          <w:p w14:paraId="54D3D142">
            <w:pPr>
              <w:pStyle w:val="76"/>
              <w:jc w:val="center"/>
              <w:outlineLvl w:val="3"/>
              <w:rPr>
                <w:rFonts w:hint="default" w:ascii="Arial" w:hAnsi="Arial" w:eastAsia="宋体" w:cs="Arial"/>
                <w:b w:val="0"/>
                <w:color w:val="000000"/>
                <w:szCs w:val="21"/>
                <w:highlight w:val="none"/>
                <w:lang w:val="en-US" w:eastAsia="zh-CN"/>
              </w:rPr>
            </w:pPr>
            <w:r>
              <w:rPr>
                <w:rFonts w:hint="eastAsia" w:ascii="Arial" w:hAnsi="Arial" w:eastAsia="宋体" w:cs="Arial"/>
                <w:b w:val="0"/>
                <w:color w:val="000000"/>
                <w:szCs w:val="21"/>
                <w:highlight w:val="none"/>
                <w:lang w:val="en-US" w:eastAsia="zh-CN"/>
              </w:rPr>
              <w:t>VOCs</w:t>
            </w:r>
          </w:p>
        </w:tc>
        <w:tc>
          <w:tcPr>
            <w:tcW w:w="778" w:type="pct"/>
            <w:vMerge w:val="continue"/>
            <w:shd w:val="clear" w:color="auto" w:fill="FFFFFF"/>
            <w:noWrap w:val="0"/>
            <w:vAlign w:val="center"/>
          </w:tcPr>
          <w:p w14:paraId="101CEBB2">
            <w:pPr>
              <w:pStyle w:val="76"/>
              <w:jc w:val="center"/>
              <w:outlineLvl w:val="3"/>
              <w:rPr>
                <w:rFonts w:hint="default" w:ascii="Arial" w:hAnsi="Arial" w:eastAsia="宋体" w:cs="Arial"/>
                <w:b w:val="0"/>
                <w:color w:val="000000"/>
                <w:szCs w:val="21"/>
                <w:highlight w:val="none"/>
              </w:rPr>
            </w:pPr>
          </w:p>
        </w:tc>
        <w:tc>
          <w:tcPr>
            <w:tcW w:w="2175" w:type="pct"/>
            <w:vMerge w:val="continue"/>
            <w:shd w:val="clear" w:color="auto" w:fill="FFFFFF"/>
            <w:noWrap w:val="0"/>
            <w:vAlign w:val="center"/>
          </w:tcPr>
          <w:p w14:paraId="1F7B1731">
            <w:pPr>
              <w:pStyle w:val="76"/>
              <w:jc w:val="center"/>
              <w:outlineLvl w:val="3"/>
              <w:rPr>
                <w:rFonts w:hint="default" w:ascii="Arial" w:hAnsi="Arial" w:eastAsia="宋体" w:cs="Arial"/>
                <w:b w:val="0"/>
                <w:color w:val="000000"/>
                <w:szCs w:val="21"/>
                <w:highlight w:val="none"/>
              </w:rPr>
            </w:pPr>
          </w:p>
        </w:tc>
      </w:tr>
    </w:tbl>
    <w:p w14:paraId="229D44AE">
      <w:pPr>
        <w:pStyle w:val="76"/>
        <w:numPr>
          <w:ilvl w:val="2"/>
          <w:numId w:val="4"/>
        </w:numPr>
        <w:spacing w:line="360" w:lineRule="auto"/>
        <w:ind w:left="210" w:leftChars="0" w:firstLine="0" w:firstLineChars="0"/>
        <w:outlineLvl w:val="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废水环境影响和保护措施</w:t>
      </w:r>
    </w:p>
    <w:p w14:paraId="3E887DD2">
      <w:pPr>
        <w:spacing w:line="360" w:lineRule="auto"/>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lang w:val="en-US" w:eastAsia="zh-CN"/>
          <w14:textFill>
            <w14:solidFill>
              <w14:schemeClr w14:val="tx1"/>
            </w14:solidFill>
          </w14:textFill>
        </w:rPr>
        <w:t>1、</w:t>
      </w:r>
      <w:r>
        <w:rPr>
          <w:rFonts w:hint="default" w:ascii="Arial" w:hAnsi="Arial" w:eastAsia="宋体" w:cs="Arial"/>
          <w:b/>
          <w:bCs/>
          <w:color w:val="000000" w:themeColor="text1"/>
          <w:sz w:val="24"/>
          <w:szCs w:val="24"/>
          <w14:textFill>
            <w14:solidFill>
              <w14:schemeClr w14:val="tx1"/>
            </w14:solidFill>
          </w14:textFill>
        </w:rPr>
        <w:t>废水污染源强核算</w:t>
      </w:r>
    </w:p>
    <w:p w14:paraId="793DCF0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2" w:firstLineChars="0"/>
        <w:textAlignment w:val="auto"/>
        <w:rPr>
          <w:rFonts w:hint="default" w:ascii="Arial" w:hAnsi="Arial" w:eastAsia="宋体" w:cs="Arial"/>
          <w:bCs/>
          <w:color w:val="000000" w:themeColor="text1"/>
          <w:kern w:val="28"/>
          <w:sz w:val="24"/>
          <w:szCs w:val="24"/>
          <w14:textFill>
            <w14:solidFill>
              <w14:schemeClr w14:val="tx1"/>
            </w14:solidFill>
          </w14:textFill>
        </w:rPr>
      </w:pPr>
      <w:r>
        <w:rPr>
          <w:rFonts w:hint="default" w:ascii="Arial" w:hAnsi="Arial" w:eastAsia="宋体" w:cs="Arial"/>
          <w:bCs/>
          <w:color w:val="000000" w:themeColor="text1"/>
          <w:kern w:val="28"/>
          <w:sz w:val="24"/>
          <w:szCs w:val="24"/>
          <w:lang w:val="en-US" w:eastAsia="zh-CN" w:bidi="ar-SA"/>
          <w14:textFill>
            <w14:solidFill>
              <w14:schemeClr w14:val="tx1"/>
            </w14:solidFill>
          </w14:textFill>
        </w:rPr>
        <w:t>（1）清洗</w:t>
      </w:r>
      <w:r>
        <w:rPr>
          <w:rFonts w:hint="default" w:ascii="Arial" w:hAnsi="Arial" w:eastAsia="宋体" w:cs="Arial"/>
          <w:bCs/>
          <w:color w:val="000000" w:themeColor="text1"/>
          <w:kern w:val="28"/>
          <w:sz w:val="24"/>
          <w:szCs w:val="24"/>
          <w14:textFill>
            <w14:solidFill>
              <w14:schemeClr w14:val="tx1"/>
            </w14:solidFill>
          </w14:textFill>
        </w:rPr>
        <w:t>废水</w:t>
      </w:r>
    </w:p>
    <w:p w14:paraId="1035E3AE">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color w:val="000000" w:themeColor="text1"/>
          <w:kern w:val="28"/>
          <w:sz w:val="24"/>
          <w:szCs w:val="24"/>
          <w:lang w:val="en-US" w:eastAsia="zh-CN"/>
          <w14:textFill>
            <w14:solidFill>
              <w14:schemeClr w14:val="tx1"/>
            </w14:solidFill>
          </w14:textFill>
        </w:rPr>
      </w:pPr>
      <w:r>
        <w:rPr>
          <w:rFonts w:hint="default" w:ascii="Arial" w:hAnsi="Arial" w:eastAsia="宋体" w:cs="Arial"/>
          <w:bCs/>
          <w:color w:val="000000" w:themeColor="text1"/>
          <w:kern w:val="28"/>
          <w:sz w:val="24"/>
          <w:szCs w:val="24"/>
          <w:lang w:val="en-US" w:eastAsia="zh-CN"/>
          <w14:textFill>
            <w14:solidFill>
              <w14:schemeClr w14:val="tx1"/>
            </w14:solidFill>
          </w14:textFill>
        </w:rPr>
        <w:t>项目有2条超声波清洗线，1条多槽超声波清洗线，1条两槽式超声波波浪涌动抛动清洗机。其中超声波清洗线和多槽超声波清洗清洗方式相同，每条清洗线有2个清洗槽（0.6</w:t>
      </w:r>
      <w:r>
        <w:rPr>
          <w:rFonts w:hint="default" w:ascii="Arial" w:hAnsi="Arial" w:eastAsia="宋体" w:cs="Arial"/>
          <w:b w:val="0"/>
          <w:color w:val="000000" w:themeColor="text1"/>
          <w:sz w:val="21"/>
          <w:szCs w:val="21"/>
          <w14:textFill>
            <w14:solidFill>
              <w14:schemeClr w14:val="tx1"/>
            </w14:solidFill>
          </w14:textFill>
        </w:rPr>
        <w:t>m</w:t>
      </w:r>
      <w:r>
        <w:rPr>
          <w:rFonts w:hint="default" w:ascii="Arial" w:hAnsi="Arial" w:eastAsia="宋体" w:cs="Arial"/>
          <w:b w:val="0"/>
          <w:color w:val="000000" w:themeColor="text1"/>
          <w:sz w:val="21"/>
          <w:szCs w:val="21"/>
          <w:vertAlign w:val="superscript"/>
          <w14:textFill>
            <w14:solidFill>
              <w14:schemeClr w14:val="tx1"/>
            </w14:solidFill>
          </w14:textFill>
        </w:rPr>
        <w:t>3</w:t>
      </w:r>
      <w:r>
        <w:rPr>
          <w:rFonts w:hint="default" w:ascii="Arial" w:hAnsi="Arial" w:eastAsia="宋体" w:cs="Arial"/>
          <w:bCs/>
          <w:color w:val="000000" w:themeColor="text1"/>
          <w:kern w:val="28"/>
          <w:sz w:val="24"/>
          <w:szCs w:val="24"/>
          <w:lang w:val="en-US" w:eastAsia="zh-CN"/>
          <w14:textFill>
            <w14:solidFill>
              <w14:schemeClr w14:val="tx1"/>
            </w14:solidFill>
          </w14:textFill>
        </w:rPr>
        <w:t>），5个防锈槽（0.6</w:t>
      </w:r>
      <w:r>
        <w:rPr>
          <w:rFonts w:hint="default" w:ascii="Arial" w:hAnsi="Arial" w:eastAsia="宋体" w:cs="Arial"/>
          <w:b w:val="0"/>
          <w:color w:val="000000" w:themeColor="text1"/>
          <w:sz w:val="21"/>
          <w:szCs w:val="21"/>
          <w14:textFill>
            <w14:solidFill>
              <w14:schemeClr w14:val="tx1"/>
            </w14:solidFill>
          </w14:textFill>
        </w:rPr>
        <w:t>m</w:t>
      </w:r>
      <w:r>
        <w:rPr>
          <w:rFonts w:hint="default" w:ascii="Arial" w:hAnsi="Arial" w:eastAsia="宋体" w:cs="Arial"/>
          <w:b w:val="0"/>
          <w:color w:val="000000" w:themeColor="text1"/>
          <w:sz w:val="21"/>
          <w:szCs w:val="21"/>
          <w:vertAlign w:val="superscript"/>
          <w14:textFill>
            <w14:solidFill>
              <w14:schemeClr w14:val="tx1"/>
            </w14:solidFill>
          </w14:textFill>
        </w:rPr>
        <w:t>3</w:t>
      </w:r>
      <w:r>
        <w:rPr>
          <w:rFonts w:hint="default" w:ascii="Arial" w:hAnsi="Arial" w:eastAsia="宋体" w:cs="Arial"/>
          <w:bCs/>
          <w:color w:val="000000" w:themeColor="text1"/>
          <w:kern w:val="28"/>
          <w:sz w:val="24"/>
          <w:szCs w:val="24"/>
          <w:lang w:val="en-US" w:eastAsia="zh-CN"/>
          <w14:textFill>
            <w14:solidFill>
              <w14:schemeClr w14:val="tx1"/>
            </w14:solidFill>
          </w14:textFill>
        </w:rPr>
        <w:t>）。两槽式超声波波浪涌动抛动清洗线有2个防锈槽（0.6</w:t>
      </w:r>
      <w:r>
        <w:rPr>
          <w:rFonts w:hint="default" w:ascii="Arial" w:hAnsi="Arial" w:eastAsia="宋体" w:cs="Arial"/>
          <w:b w:val="0"/>
          <w:color w:val="000000" w:themeColor="text1"/>
          <w:sz w:val="21"/>
          <w:szCs w:val="21"/>
          <w14:textFill>
            <w14:solidFill>
              <w14:schemeClr w14:val="tx1"/>
            </w14:solidFill>
          </w14:textFill>
        </w:rPr>
        <w:t>m</w:t>
      </w:r>
      <w:r>
        <w:rPr>
          <w:rFonts w:hint="default" w:ascii="Arial" w:hAnsi="Arial" w:eastAsia="宋体" w:cs="Arial"/>
          <w:b w:val="0"/>
          <w:color w:val="000000" w:themeColor="text1"/>
          <w:sz w:val="21"/>
          <w:szCs w:val="21"/>
          <w:vertAlign w:val="superscript"/>
          <w14:textFill>
            <w14:solidFill>
              <w14:schemeClr w14:val="tx1"/>
            </w14:solidFill>
          </w14:textFill>
        </w:rPr>
        <w:t>3</w:t>
      </w:r>
      <w:r>
        <w:rPr>
          <w:rFonts w:hint="default" w:ascii="Arial" w:hAnsi="Arial" w:eastAsia="宋体" w:cs="Arial"/>
          <w:bCs/>
          <w:color w:val="000000" w:themeColor="text1"/>
          <w:kern w:val="28"/>
          <w:sz w:val="24"/>
          <w:szCs w:val="24"/>
          <w:lang w:val="en-US" w:eastAsia="zh-CN"/>
          <w14:textFill>
            <w14:solidFill>
              <w14:schemeClr w14:val="tx1"/>
            </w14:solidFill>
          </w14:textFill>
        </w:rPr>
        <w:t>）。</w:t>
      </w:r>
    </w:p>
    <w:p w14:paraId="0170F855">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bCs/>
          <w:color w:val="000000" w:themeColor="text1"/>
          <w:kern w:val="28"/>
          <w:sz w:val="24"/>
          <w:szCs w:val="24"/>
          <w:lang w:val="en-US" w:eastAsia="zh-CN"/>
          <w14:textFill>
            <w14:solidFill>
              <w14:schemeClr w14:val="tx1"/>
            </w14:solidFill>
          </w14:textFill>
        </w:rPr>
      </w:pPr>
      <w:r>
        <w:rPr>
          <w:rFonts w:hint="default" w:ascii="Arial" w:hAnsi="Arial" w:eastAsia="宋体" w:cs="Arial"/>
          <w:bCs/>
          <w:color w:val="000000" w:themeColor="text1"/>
          <w:kern w:val="28"/>
          <w:sz w:val="24"/>
          <w:szCs w:val="24"/>
          <w:lang w:val="en-US" w:eastAsia="zh-CN"/>
          <w14:textFill>
            <w14:solidFill>
              <w14:schemeClr w14:val="tx1"/>
            </w14:solidFill>
          </w14:textFill>
        </w:rPr>
        <w:t>超声波清洗线和多槽超声波清洗线年清洗工输入轴、扭杆、齿轮轴约680万件，清洗槽更换频率为</w:t>
      </w:r>
      <w:r>
        <w:rPr>
          <w:rFonts w:hint="eastAsia" w:ascii="Arial" w:hAnsi="Arial" w:eastAsia="宋体" w:cs="Arial"/>
          <w:color w:val="000000" w:themeColor="text1"/>
          <w:sz w:val="24"/>
          <w:szCs w:val="24"/>
          <w:lang w:val="en-US" w:eastAsia="zh-CN"/>
          <w14:textFill>
            <w14:solidFill>
              <w14:schemeClr w14:val="tx1"/>
            </w14:solidFill>
          </w14:textFill>
        </w:rPr>
        <w:t>30000</w:t>
      </w:r>
      <w:r>
        <w:rPr>
          <w:rFonts w:hint="default" w:ascii="Arial" w:hAnsi="Arial" w:eastAsia="宋体" w:cs="Arial"/>
          <w:bCs/>
          <w:color w:val="000000" w:themeColor="text1"/>
          <w:kern w:val="28"/>
          <w:sz w:val="24"/>
          <w:szCs w:val="24"/>
          <w:lang w:val="en-US" w:eastAsia="zh-CN"/>
          <w14:textFill>
            <w14:solidFill>
              <w14:schemeClr w14:val="tx1"/>
            </w14:solidFill>
          </w14:textFill>
        </w:rPr>
        <w:t>件/次；防锈槽1、2、3的更换频率为30000件/次；防锈槽4、5的更换频率为7天/次。两槽式超声波波浪涌动抛动清洗线清年洗SSU电镀输入轴约800万件，防锈槽的更换频率为3天/次。</w:t>
      </w:r>
    </w:p>
    <w:p w14:paraId="19845A1D">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2"/>
        <w:textAlignment w:val="auto"/>
        <w:rPr>
          <w:rFonts w:hint="default" w:ascii="Arial" w:hAnsi="Arial" w:eastAsia="宋体" w:cs="Arial"/>
          <w:color w:val="000000"/>
          <w:sz w:val="24"/>
          <w:lang w:val="en-US" w:eastAsia="zh-CN"/>
        </w:rPr>
        <w:sectPr>
          <w:headerReference r:id="rId20"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r>
        <w:rPr>
          <w:rFonts w:hint="default" w:ascii="Arial" w:hAnsi="Arial" w:eastAsia="宋体" w:cs="Arial"/>
          <w:bCs/>
          <w:color w:val="000000" w:themeColor="text1"/>
          <w:kern w:val="28"/>
          <w:sz w:val="24"/>
          <w:szCs w:val="24"/>
          <w:lang w:val="en-US" w:eastAsia="zh-CN"/>
          <w14:textFill>
            <w14:solidFill>
              <w14:schemeClr w14:val="tx1"/>
            </w14:solidFill>
          </w14:textFill>
        </w:rPr>
        <w:t>项目使用清洗剂、防锈剂需使用自来水稀释。超声波清洗线和多槽超声波清洗线所使用清洗剂QOH-1022Z工作浓度为0.5-1%，防锈剂QV750工作浓度为3-5%，防锈剂</w:t>
      </w:r>
      <w:r>
        <w:rPr>
          <w:rFonts w:hint="eastAsia" w:ascii="Arial" w:hAnsi="Arial" w:eastAsia="宋体" w:cs="Arial"/>
          <w:bCs/>
          <w:color w:val="000000" w:themeColor="text1"/>
          <w:kern w:val="28"/>
          <w:sz w:val="24"/>
          <w:szCs w:val="24"/>
          <w:lang w:val="en-US" w:eastAsia="zh-CN"/>
          <w14:textFill>
            <w14:solidFill>
              <w14:schemeClr w14:val="tx1"/>
            </w14:solidFill>
          </w14:textFill>
        </w:rPr>
        <w:t>FD-16</w:t>
      </w:r>
      <w:r>
        <w:rPr>
          <w:rFonts w:hint="default" w:ascii="Arial" w:hAnsi="Arial" w:eastAsia="宋体" w:cs="Arial"/>
          <w:bCs/>
          <w:color w:val="000000" w:themeColor="text1"/>
          <w:kern w:val="28"/>
          <w:sz w:val="24"/>
          <w:szCs w:val="24"/>
          <w:lang w:val="en-US" w:eastAsia="zh-CN"/>
          <w14:textFill>
            <w14:solidFill>
              <w14:schemeClr w14:val="tx1"/>
            </w14:solidFill>
          </w14:textFill>
        </w:rPr>
        <w:t>工作浓度为3-5%。</w:t>
      </w:r>
      <w:r>
        <w:rPr>
          <w:rFonts w:hint="default" w:ascii="Arial" w:hAnsi="Arial" w:eastAsia="宋体" w:cs="Arial"/>
          <w:color w:val="000000" w:themeColor="text1"/>
          <w:sz w:val="24"/>
          <w:lang w:val="en-US" w:eastAsia="zh-CN"/>
          <w14:textFill>
            <w14:solidFill>
              <w14:schemeClr w14:val="tx1"/>
            </w14:solidFill>
          </w14:textFill>
        </w:rPr>
        <w:t>项目年用水量取工作浓</w:t>
      </w:r>
      <w:r>
        <w:rPr>
          <w:rFonts w:hint="default" w:ascii="Arial" w:hAnsi="Arial" w:eastAsia="宋体" w:cs="Arial"/>
          <w:color w:val="000000"/>
          <w:sz w:val="24"/>
          <w:lang w:val="en-US" w:eastAsia="zh-CN"/>
        </w:rPr>
        <w:t>度平均值所需水量。此外，</w:t>
      </w:r>
      <w:r>
        <w:rPr>
          <w:rFonts w:hint="default" w:ascii="Arial" w:hAnsi="Arial" w:eastAsia="宋体" w:cs="Arial"/>
          <w:color w:val="000000"/>
          <w:sz w:val="24"/>
        </w:rPr>
        <w:t>工件带出及蒸发损耗</w:t>
      </w:r>
      <w:r>
        <w:rPr>
          <w:rFonts w:hint="default" w:ascii="Arial" w:hAnsi="Arial" w:eastAsia="宋体" w:cs="Arial"/>
          <w:color w:val="000000"/>
          <w:sz w:val="24"/>
          <w:lang w:val="en-US" w:eastAsia="zh-CN"/>
        </w:rPr>
        <w:t>按用</w:t>
      </w:r>
      <w:r>
        <w:rPr>
          <w:rFonts w:hint="default" w:ascii="Arial" w:hAnsi="Arial" w:eastAsia="宋体" w:cs="Arial"/>
          <w:color w:val="000000"/>
          <w:sz w:val="24"/>
        </w:rPr>
        <w:t>水量的1</w:t>
      </w:r>
      <w:r>
        <w:rPr>
          <w:rFonts w:hint="default" w:ascii="Arial" w:hAnsi="Arial" w:eastAsia="宋体" w:cs="Arial"/>
          <w:color w:val="000000"/>
          <w:sz w:val="24"/>
          <w:lang w:val="en-US" w:eastAsia="zh-CN"/>
        </w:rPr>
        <w:t>%计。</w:t>
      </w:r>
    </w:p>
    <w:p w14:paraId="48A4EDB2">
      <w:pPr>
        <w:pStyle w:val="910"/>
        <w:numPr>
          <w:ilvl w:val="3"/>
          <w:numId w:val="4"/>
        </w:numPr>
        <w:bidi w:val="0"/>
        <w:ind w:left="777" w:leftChars="0" w:firstLine="0" w:firstLineChars="0"/>
        <w:rPr>
          <w:rFonts w:hint="default" w:ascii="Arial" w:hAnsi="Arial" w:eastAsia="宋体" w:cs="Arial"/>
          <w:color w:val="000000"/>
          <w:lang w:val="en-US" w:eastAsia="zh-CN"/>
        </w:rPr>
      </w:pPr>
      <w:r>
        <w:rPr>
          <w:rFonts w:hint="default" w:ascii="Arial" w:hAnsi="Arial" w:eastAsia="宋体" w:cs="Arial"/>
          <w:color w:val="000000"/>
          <w:lang w:val="en-US" w:eastAsia="zh-CN"/>
        </w:rPr>
        <w:t>清洗废水产生一览表</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2121"/>
        <w:gridCol w:w="2122"/>
        <w:gridCol w:w="1395"/>
        <w:gridCol w:w="1302"/>
        <w:gridCol w:w="1022"/>
        <w:gridCol w:w="1594"/>
        <w:gridCol w:w="2419"/>
      </w:tblGrid>
      <w:tr w14:paraId="1C43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tcBorders>
              <w:tl2br w:val="nil"/>
            </w:tcBorders>
            <w:shd w:val="clear" w:color="auto" w:fill="FFFFFF"/>
            <w:noWrap w:val="0"/>
            <w:vAlign w:val="center"/>
          </w:tcPr>
          <w:p w14:paraId="011540B8">
            <w:pPr>
              <w:pStyle w:val="92"/>
              <w:snapToGrid w:val="0"/>
              <w:spacing w:line="240" w:lineRule="auto"/>
              <w:ind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项目</w:t>
            </w:r>
          </w:p>
        </w:tc>
        <w:tc>
          <w:tcPr>
            <w:tcW w:w="779" w:type="pct"/>
            <w:shd w:val="clear" w:color="auto" w:fill="FFFFFF"/>
            <w:noWrap w:val="0"/>
            <w:vAlign w:val="center"/>
          </w:tcPr>
          <w:p w14:paraId="15D9F8E8">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清洗槽槽</w:t>
            </w:r>
          </w:p>
        </w:tc>
        <w:tc>
          <w:tcPr>
            <w:tcW w:w="779" w:type="pct"/>
            <w:shd w:val="clear" w:color="auto" w:fill="FFFFFF"/>
            <w:noWrap w:val="0"/>
            <w:vAlign w:val="center"/>
          </w:tcPr>
          <w:p w14:paraId="5EE204DC">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药剂</w:t>
            </w:r>
          </w:p>
        </w:tc>
        <w:tc>
          <w:tcPr>
            <w:tcW w:w="512" w:type="pct"/>
            <w:shd w:val="clear" w:color="auto" w:fill="FFFFFF"/>
            <w:noWrap w:val="0"/>
            <w:vAlign w:val="center"/>
          </w:tcPr>
          <w:p w14:paraId="452875D2">
            <w:pPr>
              <w:pStyle w:val="92"/>
              <w:snapToGrid w:val="0"/>
              <w:spacing w:line="240" w:lineRule="auto"/>
              <w:ind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处理槽容积m</w:t>
            </w:r>
            <w:r>
              <w:rPr>
                <w:rFonts w:hint="default" w:ascii="Arial" w:hAnsi="Arial" w:eastAsia="宋体" w:cs="Arial"/>
                <w:b w:val="0"/>
                <w:color w:val="000000"/>
                <w:sz w:val="21"/>
                <w:szCs w:val="21"/>
                <w:vertAlign w:val="superscript"/>
              </w:rPr>
              <w:t>3</w:t>
            </w:r>
          </w:p>
        </w:tc>
        <w:tc>
          <w:tcPr>
            <w:tcW w:w="478" w:type="pct"/>
            <w:shd w:val="clear" w:color="auto" w:fill="FFFFFF"/>
            <w:noWrap w:val="0"/>
            <w:vAlign w:val="center"/>
          </w:tcPr>
          <w:p w14:paraId="4BF72E83">
            <w:pPr>
              <w:pStyle w:val="92"/>
              <w:snapToGrid w:val="0"/>
              <w:spacing w:line="240" w:lineRule="auto"/>
              <w:ind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更换频次</w:t>
            </w:r>
          </w:p>
        </w:tc>
        <w:tc>
          <w:tcPr>
            <w:tcW w:w="375" w:type="pct"/>
            <w:shd w:val="clear" w:color="auto" w:fill="FFFFFF"/>
            <w:noWrap w:val="0"/>
            <w:vAlign w:val="center"/>
          </w:tcPr>
          <w:p w14:paraId="552E6BA8">
            <w:pPr>
              <w:pStyle w:val="92"/>
              <w:snapToGrid w:val="0"/>
              <w:spacing w:line="240" w:lineRule="auto"/>
              <w:ind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更换次数</w:t>
            </w:r>
          </w:p>
        </w:tc>
        <w:tc>
          <w:tcPr>
            <w:tcW w:w="585" w:type="pct"/>
            <w:shd w:val="clear" w:color="auto" w:fill="FFFFFF"/>
            <w:noWrap w:val="0"/>
            <w:vAlign w:val="center"/>
          </w:tcPr>
          <w:p w14:paraId="441EF3DD">
            <w:pPr>
              <w:pStyle w:val="92"/>
              <w:snapToGrid w:val="0"/>
              <w:spacing w:line="240" w:lineRule="auto"/>
              <w:ind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废水产生量</w:t>
            </w:r>
          </w:p>
          <w:p w14:paraId="37929B76">
            <w:pPr>
              <w:pStyle w:val="92"/>
              <w:snapToGrid w:val="0"/>
              <w:spacing w:line="240" w:lineRule="auto"/>
              <w:ind w:firstLine="0" w:firstLineChars="0"/>
              <w:jc w:val="center"/>
              <w:rPr>
                <w:rFonts w:hint="default" w:ascii="Arial" w:hAnsi="Arial" w:eastAsia="宋体" w:cs="Arial"/>
                <w:b w:val="0"/>
                <w:color w:val="000000"/>
                <w:sz w:val="21"/>
                <w:szCs w:val="21"/>
              </w:rPr>
            </w:pPr>
            <w:r>
              <w:rPr>
                <w:rFonts w:hint="default" w:ascii="Arial" w:hAnsi="Arial" w:eastAsia="宋体" w:cs="Arial"/>
                <w:b w:val="0"/>
                <w:color w:val="000000"/>
                <w:sz w:val="21"/>
                <w:szCs w:val="21"/>
              </w:rPr>
              <w:t>t/a</w:t>
            </w:r>
          </w:p>
        </w:tc>
        <w:tc>
          <w:tcPr>
            <w:tcW w:w="888" w:type="pct"/>
            <w:shd w:val="clear" w:color="auto" w:fill="FFFFFF"/>
            <w:noWrap w:val="0"/>
            <w:vAlign w:val="center"/>
          </w:tcPr>
          <w:p w14:paraId="48C7FF0A">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污染因子</w:t>
            </w:r>
          </w:p>
        </w:tc>
      </w:tr>
      <w:tr w14:paraId="49BE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vMerge w:val="restart"/>
            <w:shd w:val="clear" w:color="auto" w:fill="FFFFFF"/>
            <w:noWrap w:val="0"/>
            <w:vAlign w:val="center"/>
          </w:tcPr>
          <w:p w14:paraId="395798F1">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两槽式超声波浪涌抛动式清洗机</w:t>
            </w:r>
          </w:p>
        </w:tc>
        <w:tc>
          <w:tcPr>
            <w:tcW w:w="779" w:type="pct"/>
            <w:shd w:val="clear" w:color="auto" w:fill="FFFFFF"/>
            <w:noWrap w:val="0"/>
            <w:vAlign w:val="center"/>
          </w:tcPr>
          <w:p w14:paraId="5890FB51">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防锈槽1</w:t>
            </w:r>
          </w:p>
        </w:tc>
        <w:tc>
          <w:tcPr>
            <w:tcW w:w="779" w:type="pct"/>
            <w:shd w:val="clear" w:color="auto" w:fill="FFFFFF"/>
            <w:noWrap w:val="0"/>
            <w:vAlign w:val="center"/>
          </w:tcPr>
          <w:p w14:paraId="62BD6736">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防锈剂</w:t>
            </w:r>
            <w:r>
              <w:rPr>
                <w:rFonts w:hint="eastAsia" w:ascii="Arial" w:hAnsi="Arial" w:cs="Arial"/>
                <w:b w:val="0"/>
                <w:bCs/>
                <w:color w:val="000000"/>
                <w:kern w:val="28"/>
                <w:sz w:val="21"/>
                <w:szCs w:val="21"/>
                <w:lang w:val="en-US" w:eastAsia="zh-CN"/>
              </w:rPr>
              <w:t>FD-16</w:t>
            </w:r>
          </w:p>
        </w:tc>
        <w:tc>
          <w:tcPr>
            <w:tcW w:w="512" w:type="pct"/>
            <w:shd w:val="clear" w:color="auto" w:fill="FFFFFF"/>
            <w:noWrap w:val="0"/>
            <w:vAlign w:val="center"/>
          </w:tcPr>
          <w:p w14:paraId="62BAB5B5">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0.6</w:t>
            </w:r>
          </w:p>
        </w:tc>
        <w:tc>
          <w:tcPr>
            <w:tcW w:w="478" w:type="pct"/>
            <w:shd w:val="clear" w:color="auto" w:fill="FFFFFF"/>
            <w:noWrap w:val="0"/>
            <w:vAlign w:val="center"/>
          </w:tcPr>
          <w:p w14:paraId="35533796">
            <w:pPr>
              <w:pStyle w:val="92"/>
              <w:snapToGrid w:val="0"/>
              <w:spacing w:line="240" w:lineRule="auto"/>
              <w:ind w:firstLine="0" w:firstLineChars="0"/>
              <w:jc w:val="center"/>
              <w:rPr>
                <w:rFonts w:hint="default" w:ascii="Arial" w:hAnsi="Arial" w:eastAsia="宋体" w:cs="Arial"/>
                <w:b w:val="0"/>
                <w:bCs/>
                <w:color w:val="000000"/>
                <w:kern w:val="28"/>
                <w:sz w:val="21"/>
                <w:szCs w:val="21"/>
              </w:rPr>
            </w:pPr>
            <w:r>
              <w:rPr>
                <w:rFonts w:hint="default" w:ascii="Arial" w:hAnsi="Arial" w:eastAsia="宋体" w:cs="Arial"/>
                <w:b w:val="0"/>
                <w:bCs/>
                <w:color w:val="000000"/>
                <w:kern w:val="28"/>
                <w:sz w:val="21"/>
                <w:szCs w:val="21"/>
              </w:rPr>
              <w:t>3天</w:t>
            </w:r>
          </w:p>
        </w:tc>
        <w:tc>
          <w:tcPr>
            <w:tcW w:w="375" w:type="pct"/>
            <w:shd w:val="clear" w:color="auto" w:fill="FFFFFF"/>
            <w:noWrap w:val="0"/>
            <w:vAlign w:val="center"/>
          </w:tcPr>
          <w:p w14:paraId="545EE420">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100</w:t>
            </w:r>
          </w:p>
        </w:tc>
        <w:tc>
          <w:tcPr>
            <w:tcW w:w="585" w:type="pct"/>
            <w:shd w:val="clear" w:color="auto" w:fill="FFFFFF"/>
            <w:noWrap w:val="0"/>
            <w:vAlign w:val="center"/>
          </w:tcPr>
          <w:p w14:paraId="31F91E7F">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60</w:t>
            </w:r>
          </w:p>
        </w:tc>
        <w:tc>
          <w:tcPr>
            <w:tcW w:w="888" w:type="pct"/>
            <w:shd w:val="clear" w:color="auto" w:fill="FFFFFF"/>
            <w:noWrap w:val="0"/>
            <w:vAlign w:val="center"/>
          </w:tcPr>
          <w:p w14:paraId="036AC563">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CODcr、NH</w:t>
            </w:r>
            <w:r>
              <w:rPr>
                <w:rFonts w:hint="default" w:ascii="Arial" w:hAnsi="Arial" w:eastAsia="宋体" w:cs="Arial"/>
                <w:b w:val="0"/>
                <w:color w:val="000000"/>
                <w:sz w:val="21"/>
                <w:szCs w:val="21"/>
                <w:vertAlign w:val="subscript"/>
                <w:lang w:val="en-US" w:eastAsia="zh-CN"/>
              </w:rPr>
              <w:t>3</w:t>
            </w:r>
            <w:r>
              <w:rPr>
                <w:rFonts w:hint="eastAsia" w:ascii="Arial" w:hAnsi="Arial" w:cs="Arial"/>
                <w:b w:val="0"/>
                <w:color w:val="000000"/>
                <w:sz w:val="21"/>
                <w:szCs w:val="21"/>
                <w:vertAlign w:val="baseline"/>
                <w:lang w:val="en-US" w:eastAsia="zh-CN"/>
              </w:rPr>
              <w:t>-N</w:t>
            </w:r>
            <w:r>
              <w:rPr>
                <w:rFonts w:hint="default" w:ascii="Arial" w:hAnsi="Arial" w:eastAsia="宋体" w:cs="Arial"/>
                <w:b w:val="0"/>
                <w:color w:val="000000"/>
                <w:sz w:val="21"/>
                <w:szCs w:val="21"/>
                <w:lang w:val="en-US" w:eastAsia="zh-CN"/>
              </w:rPr>
              <w:t>、石油类、TN、LAS</w:t>
            </w:r>
          </w:p>
        </w:tc>
      </w:tr>
      <w:tr w14:paraId="751DA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vMerge w:val="continue"/>
            <w:shd w:val="clear" w:color="auto" w:fill="FFFFFF"/>
            <w:noWrap w:val="0"/>
            <w:vAlign w:val="center"/>
          </w:tcPr>
          <w:p w14:paraId="43A62087">
            <w:pPr>
              <w:pStyle w:val="92"/>
              <w:snapToGrid w:val="0"/>
              <w:spacing w:line="240" w:lineRule="auto"/>
              <w:ind w:firstLine="0" w:firstLineChars="0"/>
              <w:jc w:val="center"/>
              <w:rPr>
                <w:rFonts w:hint="default" w:ascii="Arial" w:hAnsi="Arial" w:eastAsia="宋体" w:cs="Arial"/>
                <w:b w:val="0"/>
                <w:bCs/>
                <w:color w:val="000000"/>
                <w:kern w:val="28"/>
                <w:sz w:val="21"/>
                <w:szCs w:val="21"/>
              </w:rPr>
            </w:pPr>
          </w:p>
        </w:tc>
        <w:tc>
          <w:tcPr>
            <w:tcW w:w="779" w:type="pct"/>
            <w:shd w:val="clear" w:color="auto" w:fill="FFFFFF"/>
            <w:noWrap w:val="0"/>
            <w:vAlign w:val="center"/>
          </w:tcPr>
          <w:p w14:paraId="45A94D22">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防锈槽2</w:t>
            </w:r>
          </w:p>
        </w:tc>
        <w:tc>
          <w:tcPr>
            <w:tcW w:w="779" w:type="pct"/>
            <w:shd w:val="clear" w:color="auto" w:fill="FFFFFF"/>
            <w:noWrap w:val="0"/>
            <w:vAlign w:val="center"/>
          </w:tcPr>
          <w:p w14:paraId="2B34068B">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防锈剂</w:t>
            </w:r>
            <w:r>
              <w:rPr>
                <w:rFonts w:hint="eastAsia" w:ascii="Arial" w:hAnsi="Arial" w:cs="Arial"/>
                <w:b w:val="0"/>
                <w:bCs/>
                <w:color w:val="000000"/>
                <w:kern w:val="28"/>
                <w:sz w:val="21"/>
                <w:szCs w:val="21"/>
                <w:lang w:val="en-US" w:eastAsia="zh-CN"/>
              </w:rPr>
              <w:t>FD-16</w:t>
            </w:r>
          </w:p>
        </w:tc>
        <w:tc>
          <w:tcPr>
            <w:tcW w:w="512" w:type="pct"/>
            <w:shd w:val="clear" w:color="auto" w:fill="FFFFFF"/>
            <w:noWrap w:val="0"/>
            <w:vAlign w:val="center"/>
          </w:tcPr>
          <w:p w14:paraId="41CAA947">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0.6</w:t>
            </w:r>
          </w:p>
        </w:tc>
        <w:tc>
          <w:tcPr>
            <w:tcW w:w="478" w:type="pct"/>
            <w:shd w:val="clear" w:color="auto" w:fill="FFFFFF"/>
            <w:noWrap w:val="0"/>
            <w:vAlign w:val="center"/>
          </w:tcPr>
          <w:p w14:paraId="52EF5887">
            <w:pPr>
              <w:pStyle w:val="92"/>
              <w:snapToGrid w:val="0"/>
              <w:spacing w:line="240" w:lineRule="auto"/>
              <w:ind w:firstLine="0" w:firstLineChars="0"/>
              <w:jc w:val="center"/>
              <w:rPr>
                <w:rFonts w:hint="default" w:ascii="Arial" w:hAnsi="Arial" w:eastAsia="宋体" w:cs="Arial"/>
                <w:b w:val="0"/>
                <w:bCs/>
                <w:color w:val="000000"/>
                <w:kern w:val="28"/>
                <w:sz w:val="21"/>
                <w:szCs w:val="21"/>
              </w:rPr>
            </w:pPr>
            <w:r>
              <w:rPr>
                <w:rFonts w:hint="default" w:ascii="Arial" w:hAnsi="Arial" w:eastAsia="宋体" w:cs="Arial"/>
                <w:b w:val="0"/>
                <w:bCs/>
                <w:color w:val="000000"/>
                <w:kern w:val="28"/>
                <w:sz w:val="21"/>
                <w:szCs w:val="21"/>
              </w:rPr>
              <w:t>3天</w:t>
            </w:r>
          </w:p>
        </w:tc>
        <w:tc>
          <w:tcPr>
            <w:tcW w:w="375" w:type="pct"/>
            <w:shd w:val="clear" w:color="auto" w:fill="FFFFFF"/>
            <w:noWrap w:val="0"/>
            <w:vAlign w:val="center"/>
          </w:tcPr>
          <w:p w14:paraId="69379E40">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100</w:t>
            </w:r>
          </w:p>
        </w:tc>
        <w:tc>
          <w:tcPr>
            <w:tcW w:w="585" w:type="pct"/>
            <w:shd w:val="clear" w:color="auto" w:fill="FFFFFF"/>
            <w:noWrap w:val="0"/>
            <w:vAlign w:val="center"/>
          </w:tcPr>
          <w:p w14:paraId="066843BA">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60</w:t>
            </w:r>
          </w:p>
        </w:tc>
        <w:tc>
          <w:tcPr>
            <w:tcW w:w="888" w:type="pct"/>
            <w:shd w:val="clear" w:color="auto" w:fill="FFFFFF"/>
            <w:noWrap w:val="0"/>
            <w:vAlign w:val="center"/>
          </w:tcPr>
          <w:p w14:paraId="65CF79FC">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CODcr、NH</w:t>
            </w:r>
            <w:r>
              <w:rPr>
                <w:rFonts w:hint="default" w:ascii="Arial" w:hAnsi="Arial" w:eastAsia="宋体" w:cs="Arial"/>
                <w:b w:val="0"/>
                <w:color w:val="000000"/>
                <w:sz w:val="21"/>
                <w:szCs w:val="21"/>
                <w:vertAlign w:val="subscript"/>
                <w:lang w:val="en-US" w:eastAsia="zh-CN"/>
              </w:rPr>
              <w:t>3</w:t>
            </w:r>
            <w:r>
              <w:rPr>
                <w:rFonts w:hint="eastAsia" w:ascii="Arial" w:hAnsi="Arial" w:cs="Arial"/>
                <w:b w:val="0"/>
                <w:color w:val="000000"/>
                <w:sz w:val="21"/>
                <w:szCs w:val="21"/>
                <w:vertAlign w:val="baseline"/>
                <w:lang w:val="en-US" w:eastAsia="zh-CN"/>
              </w:rPr>
              <w:t>-N</w:t>
            </w:r>
            <w:r>
              <w:rPr>
                <w:rFonts w:hint="default" w:ascii="Arial" w:hAnsi="Arial" w:eastAsia="宋体" w:cs="Arial"/>
                <w:b w:val="0"/>
                <w:color w:val="000000"/>
                <w:sz w:val="21"/>
                <w:szCs w:val="21"/>
                <w:lang w:val="en-US" w:eastAsia="zh-CN"/>
              </w:rPr>
              <w:t>、石油类、TN、LAS</w:t>
            </w:r>
          </w:p>
        </w:tc>
      </w:tr>
      <w:tr w14:paraId="295D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vMerge w:val="restart"/>
            <w:shd w:val="clear" w:color="auto" w:fill="FFFFFF"/>
            <w:noWrap w:val="0"/>
            <w:vAlign w:val="center"/>
          </w:tcPr>
          <w:p w14:paraId="64993FFD">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超声波清洗线/多槽超声波清洗线</w:t>
            </w:r>
          </w:p>
        </w:tc>
        <w:tc>
          <w:tcPr>
            <w:tcW w:w="779" w:type="pct"/>
            <w:shd w:val="clear" w:color="auto" w:fill="FFFFFF"/>
            <w:noWrap w:val="0"/>
            <w:vAlign w:val="center"/>
          </w:tcPr>
          <w:p w14:paraId="76197016">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清洗槽1</w:t>
            </w:r>
          </w:p>
        </w:tc>
        <w:tc>
          <w:tcPr>
            <w:tcW w:w="779" w:type="pct"/>
            <w:shd w:val="clear" w:color="auto" w:fill="FFFFFF"/>
            <w:noWrap w:val="0"/>
            <w:vAlign w:val="center"/>
          </w:tcPr>
          <w:p w14:paraId="084DBCD2">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清洗剂QOH-1022Z</w:t>
            </w:r>
          </w:p>
        </w:tc>
        <w:tc>
          <w:tcPr>
            <w:tcW w:w="512" w:type="pct"/>
            <w:shd w:val="clear" w:color="auto" w:fill="FFFFFF"/>
            <w:noWrap w:val="0"/>
            <w:vAlign w:val="center"/>
          </w:tcPr>
          <w:p w14:paraId="5B027937">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0.6</w:t>
            </w:r>
          </w:p>
        </w:tc>
        <w:tc>
          <w:tcPr>
            <w:tcW w:w="478" w:type="pct"/>
            <w:shd w:val="clear" w:color="auto" w:fill="FFFFFF"/>
            <w:noWrap w:val="0"/>
            <w:vAlign w:val="center"/>
          </w:tcPr>
          <w:p w14:paraId="48800879">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30000件/次</w:t>
            </w:r>
          </w:p>
        </w:tc>
        <w:tc>
          <w:tcPr>
            <w:tcW w:w="375" w:type="pct"/>
            <w:shd w:val="clear" w:color="auto" w:fill="FFFFFF"/>
            <w:noWrap w:val="0"/>
            <w:vAlign w:val="center"/>
          </w:tcPr>
          <w:p w14:paraId="75DD68FB">
            <w:pPr>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227</w:t>
            </w:r>
          </w:p>
        </w:tc>
        <w:tc>
          <w:tcPr>
            <w:tcW w:w="585" w:type="pct"/>
            <w:vMerge w:val="restart"/>
            <w:shd w:val="clear" w:color="auto" w:fill="FFFFFF"/>
            <w:noWrap w:val="0"/>
            <w:vAlign w:val="center"/>
          </w:tcPr>
          <w:p w14:paraId="757FCBE6">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272.4</w:t>
            </w:r>
          </w:p>
        </w:tc>
        <w:tc>
          <w:tcPr>
            <w:tcW w:w="888" w:type="pct"/>
            <w:vMerge w:val="restart"/>
            <w:shd w:val="clear" w:color="auto" w:fill="FFFFFF"/>
            <w:noWrap w:val="0"/>
            <w:vAlign w:val="center"/>
          </w:tcPr>
          <w:p w14:paraId="2AB5C159">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CODcr、NH</w:t>
            </w:r>
            <w:r>
              <w:rPr>
                <w:rFonts w:hint="default" w:ascii="Arial" w:hAnsi="Arial" w:eastAsia="宋体" w:cs="Arial"/>
                <w:b w:val="0"/>
                <w:color w:val="000000"/>
                <w:sz w:val="21"/>
                <w:szCs w:val="21"/>
                <w:vertAlign w:val="subscript"/>
                <w:lang w:val="en-US" w:eastAsia="zh-CN"/>
              </w:rPr>
              <w:t>3</w:t>
            </w:r>
            <w:r>
              <w:rPr>
                <w:rFonts w:hint="eastAsia" w:ascii="Arial" w:hAnsi="Arial" w:cs="Arial"/>
                <w:b w:val="0"/>
                <w:color w:val="000000"/>
                <w:sz w:val="21"/>
                <w:szCs w:val="21"/>
                <w:vertAlign w:val="baseline"/>
                <w:lang w:val="en-US" w:eastAsia="zh-CN"/>
              </w:rPr>
              <w:t>-N</w:t>
            </w:r>
            <w:r>
              <w:rPr>
                <w:rFonts w:hint="default" w:ascii="Arial" w:hAnsi="Arial" w:eastAsia="宋体" w:cs="Arial"/>
                <w:b w:val="0"/>
                <w:color w:val="000000"/>
                <w:sz w:val="21"/>
                <w:szCs w:val="21"/>
                <w:lang w:val="en-US" w:eastAsia="zh-CN"/>
              </w:rPr>
              <w:t>、LAS</w:t>
            </w:r>
          </w:p>
        </w:tc>
      </w:tr>
      <w:tr w14:paraId="03D5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vMerge w:val="continue"/>
            <w:shd w:val="clear" w:color="auto" w:fill="FFFFFF"/>
            <w:noWrap w:val="0"/>
            <w:vAlign w:val="center"/>
          </w:tcPr>
          <w:p w14:paraId="7A198174">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p>
        </w:tc>
        <w:tc>
          <w:tcPr>
            <w:tcW w:w="779" w:type="pct"/>
            <w:shd w:val="clear" w:color="auto" w:fill="FFFFFF"/>
            <w:noWrap w:val="0"/>
            <w:vAlign w:val="center"/>
          </w:tcPr>
          <w:p w14:paraId="2687FC03">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清洗槽2</w:t>
            </w:r>
          </w:p>
        </w:tc>
        <w:tc>
          <w:tcPr>
            <w:tcW w:w="779" w:type="pct"/>
            <w:shd w:val="clear" w:color="auto" w:fill="FFFFFF"/>
            <w:noWrap w:val="0"/>
            <w:vAlign w:val="center"/>
          </w:tcPr>
          <w:p w14:paraId="0DD41C21">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清洗剂QOH-1022Z</w:t>
            </w:r>
          </w:p>
        </w:tc>
        <w:tc>
          <w:tcPr>
            <w:tcW w:w="512" w:type="pct"/>
            <w:shd w:val="clear" w:color="auto" w:fill="FFFFFF"/>
            <w:noWrap w:val="0"/>
            <w:vAlign w:val="center"/>
          </w:tcPr>
          <w:p w14:paraId="74FB3F4F">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0.6</w:t>
            </w:r>
          </w:p>
        </w:tc>
        <w:tc>
          <w:tcPr>
            <w:tcW w:w="478" w:type="pct"/>
            <w:shd w:val="clear" w:color="auto" w:fill="FFFFFF"/>
            <w:noWrap w:val="0"/>
            <w:vAlign w:val="center"/>
          </w:tcPr>
          <w:p w14:paraId="4C59252A">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bidi="ar-SA"/>
              </w:rPr>
            </w:pPr>
            <w:r>
              <w:rPr>
                <w:rFonts w:hint="default" w:ascii="Arial" w:hAnsi="Arial" w:eastAsia="宋体" w:cs="Arial"/>
                <w:b w:val="0"/>
                <w:bCs/>
                <w:color w:val="000000"/>
                <w:kern w:val="28"/>
                <w:sz w:val="21"/>
                <w:szCs w:val="21"/>
                <w:lang w:val="en-US" w:eastAsia="zh-CN"/>
              </w:rPr>
              <w:t>30000件/次</w:t>
            </w:r>
          </w:p>
        </w:tc>
        <w:tc>
          <w:tcPr>
            <w:tcW w:w="375" w:type="pct"/>
            <w:shd w:val="clear" w:color="auto" w:fill="FFFFFF"/>
            <w:noWrap w:val="0"/>
            <w:vAlign w:val="center"/>
          </w:tcPr>
          <w:p w14:paraId="53497526">
            <w:pPr>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227</w:t>
            </w:r>
          </w:p>
        </w:tc>
        <w:tc>
          <w:tcPr>
            <w:tcW w:w="585" w:type="pct"/>
            <w:vMerge w:val="continue"/>
            <w:shd w:val="clear" w:color="auto" w:fill="FFFFFF"/>
            <w:noWrap w:val="0"/>
            <w:vAlign w:val="center"/>
          </w:tcPr>
          <w:p w14:paraId="64D4C27D">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p>
        </w:tc>
        <w:tc>
          <w:tcPr>
            <w:tcW w:w="888" w:type="pct"/>
            <w:vMerge w:val="continue"/>
            <w:shd w:val="clear" w:color="auto" w:fill="FFFFFF"/>
            <w:noWrap w:val="0"/>
            <w:vAlign w:val="center"/>
          </w:tcPr>
          <w:p w14:paraId="0067657F">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p>
        </w:tc>
      </w:tr>
      <w:tr w14:paraId="68BB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vMerge w:val="continue"/>
            <w:shd w:val="clear" w:color="auto" w:fill="FFFFFF"/>
            <w:noWrap w:val="0"/>
            <w:vAlign w:val="center"/>
          </w:tcPr>
          <w:p w14:paraId="440A3600">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p>
        </w:tc>
        <w:tc>
          <w:tcPr>
            <w:tcW w:w="779" w:type="pct"/>
            <w:shd w:val="clear" w:color="auto" w:fill="FFFFFF"/>
            <w:noWrap w:val="0"/>
            <w:vAlign w:val="center"/>
          </w:tcPr>
          <w:p w14:paraId="69F64353">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防锈槽1</w:t>
            </w:r>
          </w:p>
        </w:tc>
        <w:tc>
          <w:tcPr>
            <w:tcW w:w="779" w:type="pct"/>
            <w:shd w:val="clear" w:color="auto" w:fill="FFFFFF"/>
            <w:noWrap w:val="0"/>
            <w:vAlign w:val="center"/>
          </w:tcPr>
          <w:p w14:paraId="43BEAFE1">
            <w:pPr>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防锈剂QV750</w:t>
            </w:r>
          </w:p>
        </w:tc>
        <w:tc>
          <w:tcPr>
            <w:tcW w:w="512" w:type="pct"/>
            <w:shd w:val="clear" w:color="auto" w:fill="FFFFFF"/>
            <w:noWrap w:val="0"/>
            <w:vAlign w:val="center"/>
          </w:tcPr>
          <w:p w14:paraId="442FC5C9">
            <w:pPr>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0.6</w:t>
            </w:r>
          </w:p>
        </w:tc>
        <w:tc>
          <w:tcPr>
            <w:tcW w:w="478" w:type="pct"/>
            <w:shd w:val="clear" w:color="auto" w:fill="FFFFFF"/>
            <w:noWrap w:val="0"/>
            <w:vAlign w:val="center"/>
          </w:tcPr>
          <w:p w14:paraId="562E0060">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30000件/次</w:t>
            </w:r>
          </w:p>
        </w:tc>
        <w:tc>
          <w:tcPr>
            <w:tcW w:w="375" w:type="pct"/>
            <w:shd w:val="clear" w:color="auto" w:fill="FFFFFF"/>
            <w:noWrap w:val="0"/>
            <w:vAlign w:val="center"/>
          </w:tcPr>
          <w:p w14:paraId="57CF2873">
            <w:pPr>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227</w:t>
            </w:r>
          </w:p>
        </w:tc>
        <w:tc>
          <w:tcPr>
            <w:tcW w:w="585" w:type="pct"/>
            <w:vMerge w:val="restart"/>
            <w:shd w:val="clear" w:color="auto" w:fill="FFFFFF"/>
            <w:noWrap w:val="0"/>
            <w:vAlign w:val="center"/>
          </w:tcPr>
          <w:p w14:paraId="7ECD4BF2">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408.6</w:t>
            </w:r>
          </w:p>
        </w:tc>
        <w:tc>
          <w:tcPr>
            <w:tcW w:w="888" w:type="pct"/>
            <w:vMerge w:val="restart"/>
            <w:shd w:val="clear" w:color="auto" w:fill="FFFFFF"/>
            <w:noWrap w:val="0"/>
            <w:vAlign w:val="center"/>
          </w:tcPr>
          <w:p w14:paraId="338FAD60">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CODcr、NH</w:t>
            </w:r>
            <w:r>
              <w:rPr>
                <w:rFonts w:hint="default" w:ascii="Arial" w:hAnsi="Arial" w:eastAsia="宋体" w:cs="Arial"/>
                <w:b w:val="0"/>
                <w:color w:val="000000"/>
                <w:sz w:val="21"/>
                <w:szCs w:val="21"/>
                <w:vertAlign w:val="subscript"/>
                <w:lang w:val="en-US" w:eastAsia="zh-CN"/>
              </w:rPr>
              <w:t>3</w:t>
            </w:r>
            <w:r>
              <w:rPr>
                <w:rFonts w:hint="eastAsia" w:ascii="Arial" w:hAnsi="Arial" w:cs="Arial"/>
                <w:b w:val="0"/>
                <w:color w:val="000000"/>
                <w:sz w:val="21"/>
                <w:szCs w:val="21"/>
                <w:vertAlign w:val="baseline"/>
                <w:lang w:val="en-US" w:eastAsia="zh-CN"/>
              </w:rPr>
              <w:t>-N</w:t>
            </w:r>
            <w:r>
              <w:rPr>
                <w:rFonts w:hint="default" w:ascii="Arial" w:hAnsi="Arial" w:eastAsia="宋体" w:cs="Arial"/>
                <w:b w:val="0"/>
                <w:color w:val="000000"/>
                <w:sz w:val="21"/>
                <w:szCs w:val="21"/>
                <w:lang w:val="en-US" w:eastAsia="zh-CN"/>
              </w:rPr>
              <w:t>、石油类、TN、LAS</w:t>
            </w:r>
          </w:p>
        </w:tc>
      </w:tr>
      <w:tr w14:paraId="7875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vMerge w:val="continue"/>
            <w:shd w:val="clear" w:color="auto" w:fill="FFFFFF"/>
            <w:noWrap w:val="0"/>
            <w:vAlign w:val="center"/>
          </w:tcPr>
          <w:p w14:paraId="3885165E">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p>
        </w:tc>
        <w:tc>
          <w:tcPr>
            <w:tcW w:w="779" w:type="pct"/>
            <w:shd w:val="clear" w:color="auto" w:fill="FFFFFF"/>
            <w:noWrap w:val="0"/>
            <w:vAlign w:val="center"/>
          </w:tcPr>
          <w:p w14:paraId="09DA9511">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防锈槽2</w:t>
            </w:r>
          </w:p>
        </w:tc>
        <w:tc>
          <w:tcPr>
            <w:tcW w:w="779" w:type="pct"/>
            <w:shd w:val="clear" w:color="auto" w:fill="FFFFFF"/>
            <w:noWrap w:val="0"/>
            <w:vAlign w:val="center"/>
          </w:tcPr>
          <w:p w14:paraId="75CE53FB">
            <w:pPr>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防锈剂QV750</w:t>
            </w:r>
          </w:p>
        </w:tc>
        <w:tc>
          <w:tcPr>
            <w:tcW w:w="512" w:type="pct"/>
            <w:shd w:val="clear" w:color="auto" w:fill="FFFFFF"/>
            <w:noWrap w:val="0"/>
            <w:vAlign w:val="center"/>
          </w:tcPr>
          <w:p w14:paraId="43AAC532">
            <w:pPr>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0.6</w:t>
            </w:r>
          </w:p>
        </w:tc>
        <w:tc>
          <w:tcPr>
            <w:tcW w:w="478" w:type="pct"/>
            <w:shd w:val="clear" w:color="auto" w:fill="FFFFFF"/>
            <w:noWrap w:val="0"/>
            <w:vAlign w:val="center"/>
          </w:tcPr>
          <w:p w14:paraId="6B1F9659">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30000件/次</w:t>
            </w:r>
          </w:p>
        </w:tc>
        <w:tc>
          <w:tcPr>
            <w:tcW w:w="375" w:type="pct"/>
            <w:shd w:val="clear" w:color="auto" w:fill="FFFFFF"/>
            <w:noWrap w:val="0"/>
            <w:vAlign w:val="center"/>
          </w:tcPr>
          <w:p w14:paraId="703FFECF">
            <w:pPr>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227</w:t>
            </w:r>
          </w:p>
        </w:tc>
        <w:tc>
          <w:tcPr>
            <w:tcW w:w="585" w:type="pct"/>
            <w:vMerge w:val="continue"/>
            <w:shd w:val="clear" w:color="auto" w:fill="FFFFFF"/>
            <w:noWrap w:val="0"/>
            <w:vAlign w:val="center"/>
          </w:tcPr>
          <w:p w14:paraId="70E5FB73">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p>
        </w:tc>
        <w:tc>
          <w:tcPr>
            <w:tcW w:w="888" w:type="pct"/>
            <w:vMerge w:val="continue"/>
            <w:shd w:val="clear" w:color="auto" w:fill="FFFFFF"/>
            <w:noWrap w:val="0"/>
            <w:vAlign w:val="center"/>
          </w:tcPr>
          <w:p w14:paraId="202E9C38">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p>
        </w:tc>
      </w:tr>
      <w:tr w14:paraId="7F87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vMerge w:val="continue"/>
            <w:shd w:val="clear" w:color="auto" w:fill="FFFFFF"/>
            <w:noWrap w:val="0"/>
            <w:vAlign w:val="center"/>
          </w:tcPr>
          <w:p w14:paraId="577BCE9B">
            <w:pPr>
              <w:pStyle w:val="92"/>
              <w:snapToGrid w:val="0"/>
              <w:spacing w:line="240" w:lineRule="auto"/>
              <w:ind w:firstLine="0" w:firstLineChars="0"/>
              <w:jc w:val="center"/>
              <w:rPr>
                <w:rFonts w:hint="default" w:ascii="Arial" w:hAnsi="Arial" w:eastAsia="宋体" w:cs="Arial"/>
                <w:b w:val="0"/>
                <w:bCs/>
                <w:color w:val="000000"/>
                <w:kern w:val="28"/>
                <w:sz w:val="21"/>
                <w:szCs w:val="21"/>
              </w:rPr>
            </w:pPr>
          </w:p>
        </w:tc>
        <w:tc>
          <w:tcPr>
            <w:tcW w:w="779" w:type="pct"/>
            <w:shd w:val="clear" w:color="auto" w:fill="FFFFFF"/>
            <w:noWrap w:val="0"/>
            <w:vAlign w:val="center"/>
          </w:tcPr>
          <w:p w14:paraId="2B1040A1">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防锈槽3</w:t>
            </w:r>
          </w:p>
        </w:tc>
        <w:tc>
          <w:tcPr>
            <w:tcW w:w="779" w:type="pct"/>
            <w:shd w:val="clear" w:color="auto" w:fill="FFFFFF"/>
            <w:noWrap w:val="0"/>
            <w:vAlign w:val="center"/>
          </w:tcPr>
          <w:p w14:paraId="1F74FB4F">
            <w:pPr>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防锈剂QV750</w:t>
            </w:r>
          </w:p>
        </w:tc>
        <w:tc>
          <w:tcPr>
            <w:tcW w:w="512" w:type="pct"/>
            <w:shd w:val="clear" w:color="auto" w:fill="FFFFFF"/>
            <w:noWrap w:val="0"/>
            <w:vAlign w:val="center"/>
          </w:tcPr>
          <w:p w14:paraId="070DBB23">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0.6</w:t>
            </w:r>
          </w:p>
        </w:tc>
        <w:tc>
          <w:tcPr>
            <w:tcW w:w="478" w:type="pct"/>
            <w:shd w:val="clear" w:color="auto" w:fill="FFFFFF"/>
            <w:noWrap w:val="0"/>
            <w:vAlign w:val="center"/>
          </w:tcPr>
          <w:p w14:paraId="01018023">
            <w:pPr>
              <w:pStyle w:val="92"/>
              <w:snapToGrid w:val="0"/>
              <w:spacing w:line="240" w:lineRule="auto"/>
              <w:ind w:firstLine="0" w:firstLineChars="0"/>
              <w:jc w:val="center"/>
              <w:rPr>
                <w:rFonts w:hint="default" w:ascii="Arial" w:hAnsi="Arial" w:eastAsia="宋体" w:cs="Arial"/>
                <w:b w:val="0"/>
                <w:bCs/>
                <w:color w:val="000000"/>
                <w:kern w:val="28"/>
                <w:sz w:val="21"/>
                <w:szCs w:val="21"/>
              </w:rPr>
            </w:pPr>
            <w:r>
              <w:rPr>
                <w:rFonts w:hint="default" w:ascii="Arial" w:hAnsi="Arial" w:eastAsia="宋体" w:cs="Arial"/>
                <w:b w:val="0"/>
                <w:bCs/>
                <w:color w:val="000000"/>
                <w:kern w:val="28"/>
                <w:sz w:val="21"/>
                <w:szCs w:val="21"/>
                <w:lang w:val="en-US" w:eastAsia="zh-CN"/>
              </w:rPr>
              <w:t>30000件/次</w:t>
            </w:r>
          </w:p>
        </w:tc>
        <w:tc>
          <w:tcPr>
            <w:tcW w:w="375" w:type="pct"/>
            <w:shd w:val="clear" w:color="auto" w:fill="FFFFFF"/>
            <w:noWrap w:val="0"/>
            <w:vAlign w:val="center"/>
          </w:tcPr>
          <w:p w14:paraId="2E9A008A">
            <w:pPr>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227</w:t>
            </w:r>
          </w:p>
        </w:tc>
        <w:tc>
          <w:tcPr>
            <w:tcW w:w="585" w:type="pct"/>
            <w:vMerge w:val="continue"/>
            <w:shd w:val="clear" w:color="auto" w:fill="FFFFFF"/>
            <w:noWrap w:val="0"/>
            <w:vAlign w:val="center"/>
          </w:tcPr>
          <w:p w14:paraId="6A2ADA09">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p>
        </w:tc>
        <w:tc>
          <w:tcPr>
            <w:tcW w:w="888" w:type="pct"/>
            <w:vMerge w:val="continue"/>
            <w:shd w:val="clear" w:color="auto" w:fill="FFFFFF"/>
            <w:noWrap w:val="0"/>
            <w:vAlign w:val="center"/>
          </w:tcPr>
          <w:p w14:paraId="58931CB5">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p>
        </w:tc>
      </w:tr>
      <w:tr w14:paraId="38D6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vMerge w:val="continue"/>
            <w:shd w:val="clear" w:color="auto" w:fill="FFFFFF"/>
            <w:noWrap w:val="0"/>
            <w:vAlign w:val="center"/>
          </w:tcPr>
          <w:p w14:paraId="1D9F4619">
            <w:pPr>
              <w:pStyle w:val="92"/>
              <w:snapToGrid w:val="0"/>
              <w:spacing w:line="240" w:lineRule="auto"/>
              <w:ind w:firstLine="0" w:firstLineChars="0"/>
              <w:jc w:val="center"/>
              <w:rPr>
                <w:rFonts w:hint="default" w:ascii="Arial" w:hAnsi="Arial" w:eastAsia="宋体" w:cs="Arial"/>
                <w:b w:val="0"/>
                <w:bCs/>
                <w:color w:val="000000"/>
                <w:kern w:val="28"/>
                <w:sz w:val="21"/>
                <w:szCs w:val="21"/>
              </w:rPr>
            </w:pPr>
          </w:p>
        </w:tc>
        <w:tc>
          <w:tcPr>
            <w:tcW w:w="779" w:type="pct"/>
            <w:shd w:val="clear" w:color="auto" w:fill="FFFFFF"/>
            <w:noWrap w:val="0"/>
            <w:vAlign w:val="center"/>
          </w:tcPr>
          <w:p w14:paraId="65C78729">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防锈槽4</w:t>
            </w:r>
          </w:p>
        </w:tc>
        <w:tc>
          <w:tcPr>
            <w:tcW w:w="779" w:type="pct"/>
            <w:shd w:val="clear" w:color="auto" w:fill="FFFFFF"/>
            <w:noWrap w:val="0"/>
            <w:vAlign w:val="center"/>
          </w:tcPr>
          <w:p w14:paraId="1B22DC39">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防锈剂</w:t>
            </w:r>
            <w:r>
              <w:rPr>
                <w:rFonts w:hint="eastAsia" w:ascii="Arial" w:hAnsi="Arial" w:cs="Arial"/>
                <w:b w:val="0"/>
                <w:bCs/>
                <w:color w:val="000000"/>
                <w:kern w:val="28"/>
                <w:sz w:val="21"/>
                <w:szCs w:val="21"/>
                <w:lang w:val="en-US" w:eastAsia="zh-CN"/>
              </w:rPr>
              <w:t>FD-16</w:t>
            </w:r>
          </w:p>
        </w:tc>
        <w:tc>
          <w:tcPr>
            <w:tcW w:w="512" w:type="pct"/>
            <w:shd w:val="clear" w:color="auto" w:fill="FFFFFF"/>
            <w:noWrap w:val="0"/>
            <w:vAlign w:val="center"/>
          </w:tcPr>
          <w:p w14:paraId="3F0F8384">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0.6</w:t>
            </w:r>
          </w:p>
        </w:tc>
        <w:tc>
          <w:tcPr>
            <w:tcW w:w="478" w:type="pct"/>
            <w:shd w:val="clear" w:color="auto" w:fill="FFFFFF"/>
            <w:noWrap w:val="0"/>
            <w:vAlign w:val="center"/>
          </w:tcPr>
          <w:p w14:paraId="71C9671E">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7天</w:t>
            </w:r>
          </w:p>
        </w:tc>
        <w:tc>
          <w:tcPr>
            <w:tcW w:w="375" w:type="pct"/>
            <w:shd w:val="clear" w:color="auto" w:fill="FFFFFF"/>
            <w:noWrap w:val="0"/>
            <w:vAlign w:val="center"/>
          </w:tcPr>
          <w:p w14:paraId="1E900053">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43</w:t>
            </w:r>
          </w:p>
        </w:tc>
        <w:tc>
          <w:tcPr>
            <w:tcW w:w="585" w:type="pct"/>
            <w:vMerge w:val="restart"/>
            <w:shd w:val="clear" w:color="auto" w:fill="FFFFFF"/>
            <w:noWrap w:val="0"/>
            <w:vAlign w:val="center"/>
          </w:tcPr>
          <w:p w14:paraId="4EB4FF84">
            <w:pPr>
              <w:pStyle w:val="92"/>
              <w:snapToGrid w:val="0"/>
              <w:spacing w:line="240" w:lineRule="auto"/>
              <w:ind w:firstLine="0" w:firstLineChars="0"/>
              <w:jc w:val="center"/>
              <w:rPr>
                <w:rFonts w:hint="default" w:ascii="Arial" w:hAnsi="Arial" w:eastAsia="宋体" w:cs="Arial"/>
                <w:b w:val="0"/>
                <w:color w:val="000000"/>
                <w:sz w:val="21"/>
                <w:szCs w:val="21"/>
                <w:lang w:val="en-US"/>
              </w:rPr>
            </w:pPr>
            <w:r>
              <w:rPr>
                <w:rFonts w:hint="default" w:ascii="Arial" w:hAnsi="Arial" w:eastAsia="宋体" w:cs="Arial"/>
                <w:b w:val="0"/>
                <w:color w:val="000000"/>
                <w:sz w:val="21"/>
                <w:szCs w:val="21"/>
                <w:lang w:val="en-US" w:eastAsia="zh-CN"/>
              </w:rPr>
              <w:t>51.6</w:t>
            </w:r>
          </w:p>
        </w:tc>
        <w:tc>
          <w:tcPr>
            <w:tcW w:w="888" w:type="pct"/>
            <w:vMerge w:val="restart"/>
            <w:shd w:val="clear" w:color="auto" w:fill="FFFFFF"/>
            <w:noWrap w:val="0"/>
            <w:vAlign w:val="center"/>
          </w:tcPr>
          <w:p w14:paraId="7A67942A">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CODcr、NH</w:t>
            </w:r>
            <w:r>
              <w:rPr>
                <w:rFonts w:hint="default" w:ascii="Arial" w:hAnsi="Arial" w:eastAsia="宋体" w:cs="Arial"/>
                <w:b w:val="0"/>
                <w:color w:val="000000"/>
                <w:sz w:val="21"/>
                <w:szCs w:val="21"/>
                <w:vertAlign w:val="subscript"/>
                <w:lang w:val="en-US" w:eastAsia="zh-CN"/>
              </w:rPr>
              <w:t>3</w:t>
            </w:r>
            <w:r>
              <w:rPr>
                <w:rFonts w:hint="eastAsia" w:ascii="Arial" w:hAnsi="Arial" w:cs="Arial"/>
                <w:b w:val="0"/>
                <w:color w:val="000000"/>
                <w:sz w:val="21"/>
                <w:szCs w:val="21"/>
                <w:vertAlign w:val="baseline"/>
                <w:lang w:val="en-US" w:eastAsia="zh-CN"/>
              </w:rPr>
              <w:t>-N</w:t>
            </w:r>
            <w:r>
              <w:rPr>
                <w:rFonts w:hint="default" w:ascii="Arial" w:hAnsi="Arial" w:eastAsia="宋体" w:cs="Arial"/>
                <w:b w:val="0"/>
                <w:color w:val="000000"/>
                <w:sz w:val="21"/>
                <w:szCs w:val="21"/>
                <w:lang w:val="en-US" w:eastAsia="zh-CN"/>
              </w:rPr>
              <w:t>、石油类、TN、LAS</w:t>
            </w:r>
          </w:p>
        </w:tc>
      </w:tr>
      <w:tr w14:paraId="1790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vMerge w:val="continue"/>
            <w:shd w:val="clear" w:color="auto" w:fill="FFFFFF"/>
            <w:noWrap w:val="0"/>
            <w:vAlign w:val="center"/>
          </w:tcPr>
          <w:p w14:paraId="31CC7207">
            <w:pPr>
              <w:pStyle w:val="92"/>
              <w:snapToGrid w:val="0"/>
              <w:spacing w:line="240" w:lineRule="auto"/>
              <w:ind w:firstLine="0" w:firstLineChars="0"/>
              <w:jc w:val="center"/>
              <w:rPr>
                <w:rFonts w:hint="default" w:ascii="Arial" w:hAnsi="Arial" w:eastAsia="宋体" w:cs="Arial"/>
                <w:b w:val="0"/>
                <w:bCs/>
                <w:color w:val="000000"/>
                <w:kern w:val="28"/>
                <w:sz w:val="21"/>
                <w:szCs w:val="21"/>
              </w:rPr>
            </w:pPr>
          </w:p>
        </w:tc>
        <w:tc>
          <w:tcPr>
            <w:tcW w:w="779" w:type="pct"/>
            <w:shd w:val="clear" w:color="auto" w:fill="FFFFFF"/>
            <w:noWrap w:val="0"/>
            <w:vAlign w:val="center"/>
          </w:tcPr>
          <w:p w14:paraId="6A065CBE">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防锈槽5</w:t>
            </w:r>
          </w:p>
        </w:tc>
        <w:tc>
          <w:tcPr>
            <w:tcW w:w="779" w:type="pct"/>
            <w:shd w:val="clear" w:color="auto" w:fill="FFFFFF"/>
            <w:noWrap w:val="0"/>
            <w:vAlign w:val="center"/>
          </w:tcPr>
          <w:p w14:paraId="5B74AC4E">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防锈剂</w:t>
            </w:r>
            <w:r>
              <w:rPr>
                <w:rFonts w:hint="eastAsia" w:ascii="Arial" w:hAnsi="Arial" w:cs="Arial"/>
                <w:b w:val="0"/>
                <w:bCs/>
                <w:color w:val="000000"/>
                <w:kern w:val="28"/>
                <w:sz w:val="21"/>
                <w:szCs w:val="21"/>
                <w:lang w:val="en-US" w:eastAsia="zh-CN"/>
              </w:rPr>
              <w:t>FD-16</w:t>
            </w:r>
          </w:p>
        </w:tc>
        <w:tc>
          <w:tcPr>
            <w:tcW w:w="512" w:type="pct"/>
            <w:shd w:val="clear" w:color="auto" w:fill="FFFFFF"/>
            <w:noWrap w:val="0"/>
            <w:vAlign w:val="center"/>
          </w:tcPr>
          <w:p w14:paraId="161B3723">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0.6</w:t>
            </w:r>
          </w:p>
        </w:tc>
        <w:tc>
          <w:tcPr>
            <w:tcW w:w="478" w:type="pct"/>
            <w:shd w:val="clear" w:color="auto" w:fill="FFFFFF"/>
            <w:noWrap w:val="0"/>
            <w:vAlign w:val="center"/>
          </w:tcPr>
          <w:p w14:paraId="1A47F959">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7天</w:t>
            </w:r>
          </w:p>
        </w:tc>
        <w:tc>
          <w:tcPr>
            <w:tcW w:w="375" w:type="pct"/>
            <w:shd w:val="clear" w:color="auto" w:fill="FFFFFF"/>
            <w:noWrap w:val="0"/>
            <w:vAlign w:val="center"/>
          </w:tcPr>
          <w:p w14:paraId="0D7854C5">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43</w:t>
            </w:r>
          </w:p>
        </w:tc>
        <w:tc>
          <w:tcPr>
            <w:tcW w:w="585" w:type="pct"/>
            <w:vMerge w:val="continue"/>
            <w:shd w:val="clear" w:color="auto" w:fill="FFFFFF"/>
            <w:noWrap w:val="0"/>
            <w:vAlign w:val="center"/>
          </w:tcPr>
          <w:p w14:paraId="04BB15C8">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p>
        </w:tc>
        <w:tc>
          <w:tcPr>
            <w:tcW w:w="888" w:type="pct"/>
            <w:vMerge w:val="continue"/>
            <w:shd w:val="clear" w:color="auto" w:fill="FFFFFF"/>
            <w:noWrap w:val="0"/>
            <w:vAlign w:val="center"/>
          </w:tcPr>
          <w:p w14:paraId="5EFC5C55">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p>
        </w:tc>
      </w:tr>
      <w:tr w14:paraId="1E25F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9" w:type="pct"/>
            <w:shd w:val="clear" w:color="auto" w:fill="FFFFFF"/>
            <w:noWrap w:val="0"/>
            <w:vAlign w:val="center"/>
          </w:tcPr>
          <w:p w14:paraId="77C7A18C">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合计</w:t>
            </w:r>
          </w:p>
        </w:tc>
        <w:tc>
          <w:tcPr>
            <w:tcW w:w="779" w:type="pct"/>
            <w:shd w:val="clear" w:color="auto" w:fill="FFFFFF"/>
            <w:noWrap w:val="0"/>
            <w:vAlign w:val="center"/>
          </w:tcPr>
          <w:p w14:paraId="587CA5FC">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w:t>
            </w:r>
          </w:p>
        </w:tc>
        <w:tc>
          <w:tcPr>
            <w:tcW w:w="779" w:type="pct"/>
            <w:shd w:val="clear" w:color="auto" w:fill="FFFFFF"/>
            <w:noWrap w:val="0"/>
            <w:vAlign w:val="center"/>
          </w:tcPr>
          <w:p w14:paraId="6FB2BD2A">
            <w:pPr>
              <w:pStyle w:val="92"/>
              <w:snapToGrid w:val="0"/>
              <w:spacing w:line="240" w:lineRule="auto"/>
              <w:ind w:firstLine="0" w:firstLineChars="0"/>
              <w:jc w:val="center"/>
              <w:rPr>
                <w:rFonts w:hint="default" w:ascii="Arial" w:hAnsi="Arial" w:eastAsia="宋体" w:cs="Arial"/>
                <w:b w:val="0"/>
                <w:bCs/>
                <w:color w:val="000000"/>
                <w:kern w:val="28"/>
                <w:sz w:val="21"/>
                <w:szCs w:val="21"/>
                <w:lang w:val="en-US" w:eastAsia="zh-CN"/>
              </w:rPr>
            </w:pPr>
            <w:r>
              <w:rPr>
                <w:rFonts w:hint="default" w:ascii="Arial" w:hAnsi="Arial" w:eastAsia="宋体" w:cs="Arial"/>
                <w:b w:val="0"/>
                <w:bCs/>
                <w:color w:val="000000"/>
                <w:kern w:val="28"/>
                <w:sz w:val="21"/>
                <w:szCs w:val="21"/>
                <w:lang w:val="en-US" w:eastAsia="zh-CN"/>
              </w:rPr>
              <w:t>/</w:t>
            </w:r>
          </w:p>
        </w:tc>
        <w:tc>
          <w:tcPr>
            <w:tcW w:w="512" w:type="pct"/>
            <w:shd w:val="clear" w:color="auto" w:fill="FFFFFF"/>
            <w:noWrap w:val="0"/>
            <w:vAlign w:val="center"/>
          </w:tcPr>
          <w:p w14:paraId="214238DB">
            <w:pPr>
              <w:snapToGrid w:val="0"/>
              <w:spacing w:line="240" w:lineRule="auto"/>
              <w:ind w:firstLine="0" w:firstLineChars="0"/>
              <w:jc w:val="center"/>
              <w:rPr>
                <w:rFonts w:hint="default" w:ascii="Arial" w:hAnsi="Arial" w:eastAsia="宋体" w:cs="Arial"/>
                <w:b w:val="0"/>
                <w:color w:val="000000"/>
                <w:sz w:val="21"/>
                <w:szCs w:val="21"/>
              </w:rPr>
            </w:pPr>
            <w:r>
              <w:rPr>
                <w:rFonts w:hint="default" w:ascii="Arial" w:hAnsi="Arial" w:eastAsia="宋体" w:cs="Arial"/>
                <w:b w:val="0"/>
                <w:bCs/>
                <w:color w:val="000000"/>
                <w:kern w:val="28"/>
                <w:sz w:val="21"/>
                <w:szCs w:val="21"/>
                <w:lang w:val="en-US" w:eastAsia="zh-CN"/>
              </w:rPr>
              <w:t>/</w:t>
            </w:r>
          </w:p>
        </w:tc>
        <w:tc>
          <w:tcPr>
            <w:tcW w:w="478" w:type="pct"/>
            <w:shd w:val="clear" w:color="auto" w:fill="FFFFFF"/>
            <w:noWrap w:val="0"/>
            <w:vAlign w:val="center"/>
          </w:tcPr>
          <w:p w14:paraId="2B8411F7">
            <w:pPr>
              <w:snapToGrid w:val="0"/>
              <w:spacing w:line="240" w:lineRule="auto"/>
              <w:ind w:firstLine="0" w:firstLineChars="0"/>
              <w:jc w:val="center"/>
              <w:rPr>
                <w:rFonts w:hint="default" w:ascii="Arial" w:hAnsi="Arial" w:eastAsia="宋体" w:cs="Arial"/>
                <w:b w:val="0"/>
                <w:bCs/>
                <w:color w:val="000000"/>
                <w:kern w:val="28"/>
                <w:sz w:val="21"/>
                <w:szCs w:val="21"/>
              </w:rPr>
            </w:pPr>
            <w:r>
              <w:rPr>
                <w:rFonts w:hint="default" w:ascii="Arial" w:hAnsi="Arial" w:eastAsia="宋体" w:cs="Arial"/>
                <w:b w:val="0"/>
                <w:bCs/>
                <w:color w:val="000000"/>
                <w:kern w:val="28"/>
                <w:sz w:val="21"/>
                <w:szCs w:val="21"/>
                <w:lang w:val="en-US" w:eastAsia="zh-CN"/>
              </w:rPr>
              <w:t>/</w:t>
            </w:r>
          </w:p>
        </w:tc>
        <w:tc>
          <w:tcPr>
            <w:tcW w:w="375" w:type="pct"/>
            <w:shd w:val="clear" w:color="auto" w:fill="FFFFFF"/>
            <w:noWrap w:val="0"/>
            <w:vAlign w:val="center"/>
          </w:tcPr>
          <w:p w14:paraId="311B48BE">
            <w:pPr>
              <w:snapToGrid w:val="0"/>
              <w:spacing w:line="240" w:lineRule="auto"/>
              <w:ind w:firstLine="0" w:firstLineChars="0"/>
              <w:jc w:val="center"/>
              <w:rPr>
                <w:rFonts w:hint="default" w:ascii="Arial" w:hAnsi="Arial" w:eastAsia="宋体" w:cs="Arial"/>
                <w:b w:val="0"/>
                <w:color w:val="000000"/>
                <w:sz w:val="21"/>
                <w:szCs w:val="21"/>
              </w:rPr>
            </w:pPr>
            <w:r>
              <w:rPr>
                <w:rFonts w:hint="default" w:ascii="Arial" w:hAnsi="Arial" w:eastAsia="宋体" w:cs="Arial"/>
                <w:b w:val="0"/>
                <w:bCs/>
                <w:color w:val="000000"/>
                <w:kern w:val="28"/>
                <w:sz w:val="21"/>
                <w:szCs w:val="21"/>
                <w:lang w:val="en-US" w:eastAsia="zh-CN"/>
              </w:rPr>
              <w:t>/</w:t>
            </w:r>
          </w:p>
        </w:tc>
        <w:tc>
          <w:tcPr>
            <w:tcW w:w="585" w:type="pct"/>
            <w:shd w:val="clear" w:color="auto" w:fill="FFFFFF"/>
            <w:noWrap w:val="0"/>
            <w:vAlign w:val="center"/>
          </w:tcPr>
          <w:p w14:paraId="74A18CF2">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852.6</w:t>
            </w:r>
          </w:p>
        </w:tc>
        <w:tc>
          <w:tcPr>
            <w:tcW w:w="888" w:type="pct"/>
            <w:shd w:val="clear" w:color="auto" w:fill="FFFFFF"/>
            <w:noWrap w:val="0"/>
            <w:vAlign w:val="center"/>
          </w:tcPr>
          <w:p w14:paraId="38C00425">
            <w:pPr>
              <w:pStyle w:val="92"/>
              <w:snapToGrid w:val="0"/>
              <w:spacing w:line="240" w:lineRule="auto"/>
              <w:ind w:firstLine="0" w:firstLineChars="0"/>
              <w:jc w:val="center"/>
              <w:rPr>
                <w:rFonts w:hint="default" w:ascii="Arial" w:hAnsi="Arial" w:eastAsia="宋体" w:cs="Arial"/>
                <w:b w:val="0"/>
                <w:color w:val="000000"/>
                <w:sz w:val="21"/>
                <w:szCs w:val="21"/>
                <w:lang w:val="en-US" w:eastAsia="zh-CN"/>
              </w:rPr>
            </w:pPr>
            <w:r>
              <w:rPr>
                <w:rFonts w:hint="default" w:ascii="Arial" w:hAnsi="Arial" w:eastAsia="宋体" w:cs="Arial"/>
                <w:b w:val="0"/>
                <w:color w:val="000000"/>
                <w:sz w:val="21"/>
                <w:szCs w:val="21"/>
                <w:lang w:val="en-US" w:eastAsia="zh-CN"/>
              </w:rPr>
              <w:t>/</w:t>
            </w:r>
          </w:p>
        </w:tc>
      </w:tr>
    </w:tbl>
    <w:p w14:paraId="45AE46DC">
      <w:pPr>
        <w:pStyle w:val="76"/>
        <w:keepNext w:val="0"/>
        <w:keepLines w:val="0"/>
        <w:pageBreakBefore w:val="0"/>
        <w:widowControl w:val="0"/>
        <w:kinsoku/>
        <w:wordWrap/>
        <w:overflowPunct/>
        <w:topLinePunct w:val="0"/>
        <w:autoSpaceDE/>
        <w:autoSpaceDN/>
        <w:bidi w:val="0"/>
        <w:adjustRightInd/>
        <w:snapToGrid/>
        <w:spacing w:before="171" w:beforeLines="50" w:line="360" w:lineRule="auto"/>
        <w:ind w:left="105" w:leftChars="50" w:firstLine="482"/>
        <w:textAlignment w:val="auto"/>
        <w:rPr>
          <w:rFonts w:hint="default" w:ascii="Arial" w:hAnsi="Arial" w:eastAsia="宋体" w:cs="Arial"/>
          <w:bCs/>
          <w:color w:val="000000"/>
          <w:kern w:val="28"/>
          <w:sz w:val="24"/>
          <w:szCs w:val="24"/>
        </w:rPr>
        <w:sectPr>
          <w:headerReference r:id="rId21" w:type="default"/>
          <w:footerReference r:id="rId22" w:type="default"/>
          <w:pgSz w:w="16838" w:h="11906" w:orient="landscape"/>
          <w:pgMar w:top="1417" w:right="1440" w:bottom="1287" w:left="1440" w:header="567"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r>
        <w:rPr>
          <w:rFonts w:hint="default" w:ascii="Arial" w:hAnsi="Arial" w:eastAsia="宋体" w:cs="Arial"/>
          <w:bCs/>
          <w:color w:val="000000"/>
          <w:kern w:val="28"/>
          <w:sz w:val="24"/>
          <w:szCs w:val="24"/>
          <w:lang w:val="en-US" w:eastAsia="zh-CN"/>
        </w:rPr>
        <w:t>综上，</w:t>
      </w:r>
      <w:r>
        <w:rPr>
          <w:rFonts w:hint="default" w:ascii="Arial" w:hAnsi="Arial" w:eastAsia="宋体" w:cs="Arial"/>
          <w:bCs/>
          <w:color w:val="000000"/>
          <w:kern w:val="28"/>
          <w:sz w:val="24"/>
          <w:szCs w:val="24"/>
        </w:rPr>
        <w:t>本项目</w:t>
      </w:r>
      <w:r>
        <w:rPr>
          <w:rFonts w:hint="default" w:ascii="Arial" w:hAnsi="Arial" w:eastAsia="宋体" w:cs="Arial"/>
          <w:color w:val="000000"/>
          <w:sz w:val="24"/>
          <w:lang w:val="en-US" w:eastAsia="zh-CN"/>
        </w:rPr>
        <w:t>清洗工序年用水量约为861.2t/a，</w:t>
      </w:r>
      <w:r>
        <w:rPr>
          <w:rFonts w:hint="default" w:ascii="Arial" w:hAnsi="Arial" w:eastAsia="宋体" w:cs="Arial"/>
          <w:bCs/>
          <w:color w:val="000000"/>
          <w:kern w:val="28"/>
          <w:sz w:val="24"/>
          <w:szCs w:val="24"/>
          <w:lang w:val="en-US" w:eastAsia="zh-CN"/>
        </w:rPr>
        <w:t>清洗</w:t>
      </w:r>
      <w:r>
        <w:rPr>
          <w:rFonts w:hint="default" w:ascii="Arial" w:hAnsi="Arial" w:eastAsia="宋体" w:cs="Arial"/>
          <w:bCs/>
          <w:color w:val="000000"/>
          <w:kern w:val="28"/>
          <w:sz w:val="24"/>
          <w:szCs w:val="24"/>
          <w:lang w:eastAsia="zh-CN"/>
        </w:rPr>
        <w:t>废水</w:t>
      </w:r>
      <w:r>
        <w:rPr>
          <w:rFonts w:hint="default" w:ascii="Arial" w:hAnsi="Arial" w:eastAsia="宋体" w:cs="Arial"/>
          <w:bCs/>
          <w:color w:val="000000"/>
          <w:kern w:val="28"/>
          <w:sz w:val="24"/>
          <w:szCs w:val="24"/>
        </w:rPr>
        <w:t>产生量约为</w:t>
      </w:r>
      <w:r>
        <w:rPr>
          <w:rFonts w:hint="default" w:ascii="Arial" w:hAnsi="Arial" w:eastAsia="宋体" w:cs="Arial"/>
          <w:bCs/>
          <w:color w:val="000000"/>
          <w:kern w:val="28"/>
          <w:sz w:val="24"/>
          <w:szCs w:val="24"/>
          <w:lang w:val="en-US" w:eastAsia="zh-CN"/>
        </w:rPr>
        <w:t>852.6</w:t>
      </w:r>
      <w:r>
        <w:rPr>
          <w:rFonts w:hint="default" w:ascii="Arial" w:hAnsi="Arial" w:eastAsia="宋体" w:cs="Arial"/>
          <w:bCs/>
          <w:color w:val="000000"/>
          <w:kern w:val="28"/>
          <w:sz w:val="24"/>
          <w:szCs w:val="24"/>
        </w:rPr>
        <w:t>t/a。</w:t>
      </w:r>
    </w:p>
    <w:p w14:paraId="12FF42F1">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themeColor="text1"/>
          <w:kern w:val="28"/>
          <w:sz w:val="24"/>
          <w:szCs w:val="24"/>
          <w14:textFill>
            <w14:solidFill>
              <w14:schemeClr w14:val="tx1"/>
            </w14:solidFill>
          </w14:textFill>
        </w:rPr>
      </w:pPr>
      <w:r>
        <w:rPr>
          <w:rFonts w:hint="default" w:ascii="Arial" w:hAnsi="Arial" w:eastAsia="宋体" w:cs="Arial"/>
          <w:color w:val="000000"/>
          <w:sz w:val="24"/>
          <w:lang w:val="en-US" w:eastAsia="zh-CN"/>
        </w:rPr>
        <w:t>本项目所清洗零部件钢材牌号为37CrS4、ML40Cr、51CrN4，除主要元素外，还含有锰、铜、锌、镍、铬等其他杂质元素，根据企业提供的资料，本项目原材料所</w:t>
      </w:r>
      <w:r>
        <w:rPr>
          <w:rFonts w:hint="default" w:ascii="Arial" w:hAnsi="Arial" w:eastAsia="宋体" w:cs="Arial"/>
          <w:bCs/>
          <w:color w:val="000000"/>
          <w:kern w:val="28"/>
          <w:sz w:val="24"/>
          <w:szCs w:val="24"/>
        </w:rPr>
        <w:t>含的铜、锌、铬等其他杂质元素均低于低于国家规定的限值，其他杂质</w:t>
      </w:r>
      <w:r>
        <w:rPr>
          <w:rFonts w:hint="default" w:ascii="Arial" w:hAnsi="Arial" w:eastAsia="宋体" w:cs="Arial"/>
          <w:bCs/>
          <w:color w:val="000000" w:themeColor="text1"/>
          <w:kern w:val="28"/>
          <w:sz w:val="24"/>
          <w:szCs w:val="24"/>
          <w14:textFill>
            <w14:solidFill>
              <w14:schemeClr w14:val="tx1"/>
            </w14:solidFill>
          </w14:textFill>
        </w:rPr>
        <w:t>元素含量极低，且</w:t>
      </w:r>
      <w:r>
        <w:rPr>
          <w:rFonts w:hint="default" w:ascii="Arial" w:hAnsi="Arial" w:eastAsia="宋体" w:cs="Arial"/>
          <w:bCs/>
          <w:color w:val="000000" w:themeColor="text1"/>
          <w:kern w:val="28"/>
          <w:sz w:val="24"/>
          <w:szCs w:val="24"/>
          <w:lang w:val="en-US" w:eastAsia="zh-CN"/>
          <w14:textFill>
            <w14:solidFill>
              <w14:schemeClr w14:val="tx1"/>
            </w14:solidFill>
          </w14:textFill>
        </w:rPr>
        <w:t>清洗过程所使用的清洗剂和防锈剂均为碱性或中性药剂</w:t>
      </w:r>
      <w:r>
        <w:rPr>
          <w:rFonts w:hint="default" w:ascii="Arial" w:hAnsi="Arial" w:eastAsia="宋体" w:cs="Arial"/>
          <w:bCs/>
          <w:color w:val="000000" w:themeColor="text1"/>
          <w:kern w:val="28"/>
          <w:sz w:val="24"/>
          <w:szCs w:val="24"/>
          <w14:textFill>
            <w14:solidFill>
              <w14:schemeClr w14:val="tx1"/>
            </w14:solidFill>
          </w14:textFill>
        </w:rPr>
        <w:t>，仅有极少量杂质元素会进入到生产废水中，故本项目不对</w:t>
      </w:r>
      <w:r>
        <w:rPr>
          <w:rFonts w:hint="default" w:ascii="Arial" w:hAnsi="Arial" w:eastAsia="宋体" w:cs="Arial"/>
          <w:bCs/>
          <w:color w:val="000000" w:themeColor="text1"/>
          <w:kern w:val="28"/>
          <w:sz w:val="24"/>
          <w:szCs w:val="24"/>
          <w:lang w:val="en-US" w:eastAsia="zh-CN"/>
          <w14:textFill>
            <w14:solidFill>
              <w14:schemeClr w14:val="tx1"/>
            </w14:solidFill>
          </w14:textFill>
        </w:rPr>
        <w:t>生产废水</w:t>
      </w:r>
      <w:r>
        <w:rPr>
          <w:rFonts w:hint="default" w:ascii="Arial" w:hAnsi="Arial" w:eastAsia="宋体" w:cs="Arial"/>
          <w:bCs/>
          <w:color w:val="000000" w:themeColor="text1"/>
          <w:kern w:val="28"/>
          <w:sz w:val="24"/>
          <w:szCs w:val="24"/>
          <w14:textFill>
            <w14:solidFill>
              <w14:schemeClr w14:val="tx1"/>
            </w14:solidFill>
          </w14:textFill>
        </w:rPr>
        <w:t>中含有的</w:t>
      </w:r>
      <w:r>
        <w:rPr>
          <w:rFonts w:hint="default" w:ascii="Arial" w:hAnsi="Arial" w:eastAsia="宋体" w:cs="Arial"/>
          <w:bCs/>
          <w:color w:val="000000" w:themeColor="text1"/>
          <w:kern w:val="28"/>
          <w:sz w:val="24"/>
          <w:szCs w:val="24"/>
          <w:lang w:val="en-US" w:eastAsia="zh-CN"/>
          <w14:textFill>
            <w14:solidFill>
              <w14:schemeClr w14:val="tx1"/>
            </w14:solidFill>
          </w14:textFill>
        </w:rPr>
        <w:t>重金属</w:t>
      </w:r>
      <w:r>
        <w:rPr>
          <w:rFonts w:hint="default" w:ascii="Arial" w:hAnsi="Arial" w:eastAsia="宋体" w:cs="Arial"/>
          <w:bCs/>
          <w:color w:val="000000" w:themeColor="text1"/>
          <w:kern w:val="28"/>
          <w:sz w:val="24"/>
          <w:szCs w:val="24"/>
          <w14:textFill>
            <w14:solidFill>
              <w14:schemeClr w14:val="tx1"/>
            </w14:solidFill>
          </w14:textFill>
        </w:rPr>
        <w:t>元素进行定量分析。</w:t>
      </w:r>
    </w:p>
    <w:p w14:paraId="514E6536">
      <w:pPr>
        <w:pStyle w:val="76"/>
        <w:keepNext w:val="0"/>
        <w:keepLines w:val="0"/>
        <w:pageBreakBefore w:val="0"/>
        <w:widowControl w:val="0"/>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color w:val="000000" w:themeColor="text1"/>
          <w:kern w:val="28"/>
          <w:sz w:val="24"/>
          <w:szCs w:val="24"/>
          <w14:textFill>
            <w14:solidFill>
              <w14:schemeClr w14:val="tx1"/>
            </w14:solidFill>
          </w14:textFill>
        </w:rPr>
      </w:pPr>
      <w:r>
        <w:rPr>
          <w:rFonts w:hint="default" w:ascii="Arial" w:hAnsi="Arial" w:eastAsia="宋体" w:cs="Arial"/>
          <w:bCs/>
          <w:color w:val="000000" w:themeColor="text1"/>
          <w:kern w:val="28"/>
          <w:sz w:val="24"/>
          <w:szCs w:val="24"/>
          <w:lang w:val="en-US" w:eastAsia="zh-CN"/>
          <w14:textFill>
            <w14:solidFill>
              <w14:schemeClr w14:val="tx1"/>
            </w14:solidFill>
          </w14:textFill>
        </w:rPr>
        <w:t>前处理废水结合</w:t>
      </w:r>
      <w:r>
        <w:rPr>
          <w:rFonts w:hint="default" w:ascii="Arial" w:hAnsi="Arial" w:eastAsia="宋体" w:cs="Arial"/>
          <w:bCs/>
          <w:color w:val="000000" w:themeColor="text1"/>
          <w:kern w:val="28"/>
          <w:sz w:val="24"/>
          <w:szCs w:val="24"/>
          <w14:textFill>
            <w14:solidFill>
              <w14:schemeClr w14:val="tx1"/>
            </w14:solidFill>
          </w14:textFill>
        </w:rPr>
        <w:t>企业提供的</w:t>
      </w:r>
      <w:r>
        <w:rPr>
          <w:rFonts w:hint="default" w:ascii="Arial" w:hAnsi="Arial" w:eastAsia="宋体" w:cs="Arial"/>
          <w:bCs/>
          <w:color w:val="000000" w:themeColor="text1"/>
          <w:kern w:val="28"/>
          <w:sz w:val="24"/>
          <w:szCs w:val="24"/>
          <w:lang w:val="en-US" w:eastAsia="zh-CN"/>
          <w14:textFill>
            <w14:solidFill>
              <w14:schemeClr w14:val="tx1"/>
            </w14:solidFill>
          </w14:textFill>
        </w:rPr>
        <w:t>污水处理</w:t>
      </w:r>
      <w:r>
        <w:rPr>
          <w:rFonts w:hint="default" w:ascii="Arial" w:hAnsi="Arial" w:eastAsia="宋体" w:cs="Arial"/>
          <w:color w:val="000000" w:themeColor="text1"/>
          <w:sz w:val="24"/>
          <w:szCs w:val="24"/>
          <w14:textFill>
            <w14:solidFill>
              <w14:schemeClr w14:val="tx1"/>
            </w14:solidFill>
          </w14:textFill>
        </w:rPr>
        <w:t>技术方案，本项目</w:t>
      </w:r>
      <w:r>
        <w:rPr>
          <w:rFonts w:hint="default" w:ascii="Arial" w:hAnsi="Arial" w:eastAsia="宋体" w:cs="Arial"/>
          <w:color w:val="000000" w:themeColor="text1"/>
          <w:sz w:val="24"/>
          <w:szCs w:val="24"/>
          <w:lang w:val="en-US" w:eastAsia="zh-CN"/>
          <w14:textFill>
            <w14:solidFill>
              <w14:schemeClr w14:val="tx1"/>
            </w14:solidFill>
          </w14:textFill>
        </w:rPr>
        <w:t>清洗废水水质见</w:t>
      </w:r>
      <w:r>
        <w:rPr>
          <w:rFonts w:hint="default" w:ascii="Arial" w:hAnsi="Arial" w:eastAsia="宋体" w:cs="Arial"/>
          <w:color w:val="000000" w:themeColor="text1"/>
          <w:sz w:val="24"/>
          <w:szCs w:val="24"/>
          <w14:textFill>
            <w14:solidFill>
              <w14:schemeClr w14:val="tx1"/>
            </w14:solidFill>
          </w14:textFill>
        </w:rPr>
        <w:t>表4-</w:t>
      </w:r>
      <w:r>
        <w:rPr>
          <w:rFonts w:hint="eastAsia" w:ascii="Arial" w:hAnsi="Arial" w:eastAsia="宋体" w:cs="Arial"/>
          <w:color w:val="000000" w:themeColor="text1"/>
          <w:sz w:val="24"/>
          <w:szCs w:val="24"/>
          <w:lang w:val="en-US" w:eastAsia="zh-CN"/>
          <w14:textFill>
            <w14:solidFill>
              <w14:schemeClr w14:val="tx1"/>
            </w14:solidFill>
          </w14:textFill>
        </w:rPr>
        <w:t>3</w:t>
      </w:r>
      <w:r>
        <w:rPr>
          <w:rFonts w:hint="default" w:ascii="Arial" w:hAnsi="Arial" w:eastAsia="宋体" w:cs="Arial"/>
          <w:color w:val="000000" w:themeColor="text1"/>
          <w:sz w:val="24"/>
          <w:szCs w:val="24"/>
          <w14:textFill>
            <w14:solidFill>
              <w14:schemeClr w14:val="tx1"/>
            </w14:solidFill>
          </w14:textFill>
        </w:rPr>
        <w:t>。</w:t>
      </w:r>
    </w:p>
    <w:p w14:paraId="6AEB350F">
      <w:pPr>
        <w:pStyle w:val="910"/>
        <w:numPr>
          <w:ilvl w:val="3"/>
          <w:numId w:val="4"/>
        </w:numPr>
        <w:bidi w:val="0"/>
        <w:ind w:left="777" w:leftChars="0" w:firstLine="0" w:firstLineChars="0"/>
        <w:rPr>
          <w:rFonts w:hint="default" w:ascii="Arial" w:hAnsi="Arial" w:eastAsia="宋体" w:cs="Arial"/>
          <w:color w:val="000000" w:themeColor="text1"/>
          <w:lang w:val="en-US" w:eastAsia="zh-CN"/>
          <w14:textFill>
            <w14:solidFill>
              <w14:schemeClr w14:val="tx1"/>
            </w14:solidFill>
          </w14:textFill>
        </w:rPr>
      </w:pPr>
      <w:r>
        <w:rPr>
          <w:rFonts w:hint="default" w:ascii="Arial" w:hAnsi="Arial" w:eastAsia="宋体" w:cs="Arial"/>
          <w:color w:val="000000" w:themeColor="text1"/>
          <w:lang w:val="en-US" w:eastAsia="zh-CN"/>
          <w14:textFill>
            <w14:solidFill>
              <w14:schemeClr w14:val="tx1"/>
            </w14:solidFill>
          </w14:textFill>
        </w:rPr>
        <w:t xml:space="preserve">  清洗废水水质 单位:mg/L，除pH外</w:t>
      </w:r>
    </w:p>
    <w:tbl>
      <w:tblPr>
        <w:tblStyle w:val="5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132"/>
        <w:gridCol w:w="1133"/>
        <w:gridCol w:w="1133"/>
        <w:gridCol w:w="1133"/>
        <w:gridCol w:w="1134"/>
        <w:gridCol w:w="1140"/>
      </w:tblGrid>
      <w:tr w14:paraId="2B2F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2" w:type="dxa"/>
            <w:tcBorders>
              <w:tl2br w:val="single" w:color="auto" w:sz="4" w:space="0"/>
            </w:tcBorders>
            <w:noWrap w:val="0"/>
            <w:vAlign w:val="center"/>
          </w:tcPr>
          <w:p w14:paraId="3ADFA54F">
            <w:pPr>
              <w:adjustRightInd w:val="0"/>
              <w:snapToGrid w:val="0"/>
              <w:jc w:val="right"/>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污染物</w:t>
            </w:r>
          </w:p>
          <w:p w14:paraId="247B822C">
            <w:pPr>
              <w:adjustRightInd w:val="0"/>
              <w:snapToGrid w:val="0"/>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项目</w:t>
            </w:r>
          </w:p>
        </w:tc>
        <w:tc>
          <w:tcPr>
            <w:tcW w:w="1132" w:type="dxa"/>
            <w:noWrap w:val="0"/>
            <w:vAlign w:val="center"/>
          </w:tcPr>
          <w:p w14:paraId="02A9C6EB">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pH</w:t>
            </w:r>
          </w:p>
        </w:tc>
        <w:tc>
          <w:tcPr>
            <w:tcW w:w="1133" w:type="dxa"/>
            <w:noWrap w:val="0"/>
            <w:vAlign w:val="center"/>
          </w:tcPr>
          <w:p w14:paraId="4FDBB09F">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COD</w:t>
            </w:r>
            <w:r>
              <w:rPr>
                <w:rFonts w:hint="default" w:ascii="Arial" w:hAnsi="Arial" w:eastAsia="宋体" w:cs="Arial"/>
                <w:color w:val="000000" w:themeColor="text1"/>
                <w:szCs w:val="21"/>
                <w:vertAlign w:val="subscript"/>
                <w14:textFill>
                  <w14:solidFill>
                    <w14:schemeClr w14:val="tx1"/>
                  </w14:solidFill>
                </w14:textFill>
              </w:rPr>
              <w:t>Cr</w:t>
            </w:r>
          </w:p>
        </w:tc>
        <w:tc>
          <w:tcPr>
            <w:tcW w:w="1133" w:type="dxa"/>
            <w:noWrap w:val="0"/>
            <w:vAlign w:val="center"/>
          </w:tcPr>
          <w:p w14:paraId="3799EE58">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NH</w:t>
            </w:r>
            <w:r>
              <w:rPr>
                <w:rFonts w:hint="default" w:ascii="Arial" w:hAnsi="Arial" w:eastAsia="宋体" w:cs="Arial"/>
                <w:color w:val="000000" w:themeColor="text1"/>
                <w:szCs w:val="21"/>
                <w:vertAlign w:val="subscript"/>
                <w14:textFill>
                  <w14:solidFill>
                    <w14:schemeClr w14:val="tx1"/>
                  </w14:solidFill>
                </w14:textFill>
              </w:rPr>
              <w:t>3</w:t>
            </w:r>
            <w:r>
              <w:rPr>
                <w:rFonts w:hint="default" w:ascii="Arial" w:hAnsi="Arial" w:eastAsia="宋体" w:cs="Arial"/>
                <w:color w:val="000000" w:themeColor="text1"/>
                <w:szCs w:val="21"/>
                <w14:textFill>
                  <w14:solidFill>
                    <w14:schemeClr w14:val="tx1"/>
                  </w14:solidFill>
                </w14:textFill>
              </w:rPr>
              <w:t>-N</w:t>
            </w:r>
          </w:p>
        </w:tc>
        <w:tc>
          <w:tcPr>
            <w:tcW w:w="1133" w:type="dxa"/>
            <w:noWrap w:val="0"/>
            <w:vAlign w:val="center"/>
          </w:tcPr>
          <w:p w14:paraId="150609A2">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TN</w:t>
            </w:r>
          </w:p>
        </w:tc>
        <w:tc>
          <w:tcPr>
            <w:tcW w:w="1134" w:type="dxa"/>
            <w:noWrap w:val="0"/>
            <w:vAlign w:val="center"/>
          </w:tcPr>
          <w:p w14:paraId="44D05ECB">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SS</w:t>
            </w:r>
          </w:p>
        </w:tc>
        <w:tc>
          <w:tcPr>
            <w:tcW w:w="1140" w:type="dxa"/>
            <w:noWrap w:val="0"/>
            <w:vAlign w:val="center"/>
          </w:tcPr>
          <w:p w14:paraId="71C89F7C">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石油类</w:t>
            </w:r>
          </w:p>
        </w:tc>
      </w:tr>
      <w:tr w14:paraId="5BAB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2" w:type="dxa"/>
            <w:noWrap w:val="0"/>
            <w:vAlign w:val="center"/>
          </w:tcPr>
          <w:p w14:paraId="4E319685">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清洗</w:t>
            </w:r>
            <w:r>
              <w:rPr>
                <w:rFonts w:hint="default" w:ascii="Arial" w:hAnsi="Arial" w:eastAsia="宋体" w:cs="Arial"/>
                <w:color w:val="000000" w:themeColor="text1"/>
                <w:szCs w:val="21"/>
                <w14:textFill>
                  <w14:solidFill>
                    <w14:schemeClr w14:val="tx1"/>
                  </w14:solidFill>
                </w14:textFill>
              </w:rPr>
              <w:t>废水</w:t>
            </w:r>
          </w:p>
        </w:tc>
        <w:tc>
          <w:tcPr>
            <w:tcW w:w="1132" w:type="dxa"/>
            <w:noWrap w:val="0"/>
            <w:vAlign w:val="center"/>
          </w:tcPr>
          <w:p w14:paraId="5F35370E">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8-10</w:t>
            </w:r>
          </w:p>
        </w:tc>
        <w:tc>
          <w:tcPr>
            <w:tcW w:w="1133" w:type="dxa"/>
            <w:noWrap w:val="0"/>
            <w:vAlign w:val="center"/>
          </w:tcPr>
          <w:p w14:paraId="26C519D2">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4000</w:t>
            </w:r>
          </w:p>
        </w:tc>
        <w:tc>
          <w:tcPr>
            <w:tcW w:w="1133" w:type="dxa"/>
            <w:noWrap w:val="0"/>
            <w:vAlign w:val="center"/>
          </w:tcPr>
          <w:p w14:paraId="590BD498">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10</w:t>
            </w:r>
          </w:p>
        </w:tc>
        <w:tc>
          <w:tcPr>
            <w:tcW w:w="1133" w:type="dxa"/>
            <w:noWrap w:val="0"/>
            <w:vAlign w:val="center"/>
          </w:tcPr>
          <w:p w14:paraId="242B7CB7">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eastAsia" w:ascii="Arial" w:hAnsi="Arial" w:eastAsia="宋体" w:cs="Arial"/>
                <w:color w:val="000000" w:themeColor="text1"/>
                <w:szCs w:val="21"/>
                <w:lang w:val="en-US" w:eastAsia="zh-CN"/>
                <w14:textFill>
                  <w14:solidFill>
                    <w14:schemeClr w14:val="tx1"/>
                  </w14:solidFill>
                </w14:textFill>
              </w:rPr>
              <w:t>200</w:t>
            </w:r>
          </w:p>
        </w:tc>
        <w:tc>
          <w:tcPr>
            <w:tcW w:w="1134" w:type="dxa"/>
            <w:noWrap w:val="0"/>
            <w:vAlign w:val="center"/>
          </w:tcPr>
          <w:p w14:paraId="5345D562">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500</w:t>
            </w:r>
          </w:p>
        </w:tc>
        <w:tc>
          <w:tcPr>
            <w:tcW w:w="1140" w:type="dxa"/>
            <w:noWrap w:val="0"/>
            <w:vAlign w:val="center"/>
          </w:tcPr>
          <w:p w14:paraId="365C8AF7">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260</w:t>
            </w:r>
          </w:p>
        </w:tc>
      </w:tr>
    </w:tbl>
    <w:p w14:paraId="4C9AE220">
      <w:pPr>
        <w:keepNext w:val="0"/>
        <w:keepLines w:val="0"/>
        <w:pageBreakBefore w:val="0"/>
        <w:widowControl w:val="0"/>
        <w:kinsoku/>
        <w:wordWrap/>
        <w:overflowPunct/>
        <w:topLinePunct w:val="0"/>
        <w:autoSpaceDE/>
        <w:autoSpaceDN/>
        <w:bidi w:val="0"/>
        <w:adjustRightInd w:val="0"/>
        <w:snapToGrid w:val="0"/>
        <w:spacing w:before="171" w:beforeLines="50" w:line="360" w:lineRule="auto"/>
        <w:ind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2</w:t>
      </w:r>
      <w:r>
        <w:rPr>
          <w:rFonts w:hint="default" w:ascii="Arial" w:hAnsi="Arial" w:eastAsia="宋体" w:cs="Arial"/>
          <w:color w:val="000000" w:themeColor="text1"/>
          <w:sz w:val="24"/>
          <w:szCs w:val="24"/>
          <w14:textFill>
            <w14:solidFill>
              <w14:schemeClr w14:val="tx1"/>
            </w14:solidFill>
          </w14:textFill>
        </w:rPr>
        <w:t>、生活污水</w:t>
      </w:r>
    </w:p>
    <w:p w14:paraId="1BB15B08">
      <w:pPr>
        <w:adjustRightInd w:val="0"/>
        <w:snapToGrid w:val="0"/>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本项目</w:t>
      </w:r>
      <w:r>
        <w:rPr>
          <w:rFonts w:hint="default" w:ascii="Arial" w:hAnsi="Arial" w:eastAsia="宋体" w:cs="Arial"/>
          <w:sz w:val="24"/>
          <w:szCs w:val="24"/>
          <w:lang w:val="en-US" w:eastAsia="zh-CN"/>
        </w:rPr>
        <w:t>实施后员工数量与原环评核定数量一致，为420人，不新增生活污水</w:t>
      </w:r>
      <w:r>
        <w:rPr>
          <w:rFonts w:hint="default" w:ascii="Arial" w:hAnsi="Arial" w:eastAsia="宋体" w:cs="Arial"/>
          <w:sz w:val="24"/>
          <w:szCs w:val="24"/>
        </w:rPr>
        <w:t>。</w:t>
      </w:r>
    </w:p>
    <w:p w14:paraId="485B88CD">
      <w:pPr>
        <w:adjustRightInd w:val="0"/>
        <w:snapToGrid w:val="0"/>
        <w:spacing w:line="360" w:lineRule="auto"/>
        <w:ind w:firstLine="480" w:firstLineChars="200"/>
        <w:rPr>
          <w:rFonts w:hint="default" w:ascii="Arial" w:hAnsi="Arial" w:eastAsia="宋体" w:cs="Arial"/>
          <w:bCs/>
          <w:sz w:val="24"/>
          <w:szCs w:val="24"/>
          <w:lang w:val="en-GB"/>
        </w:rPr>
        <w:sectPr>
          <w:headerReference r:id="rId23"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741F5C3F">
      <w:pPr>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本项目主要废水污染物产生和排放情况见下表。</w:t>
      </w:r>
    </w:p>
    <w:p w14:paraId="33E973D1">
      <w:pPr>
        <w:pStyle w:val="76"/>
        <w:numPr>
          <w:ilvl w:val="3"/>
          <w:numId w:val="4"/>
        </w:numPr>
        <w:ind w:left="777" w:leftChars="0" w:firstLine="482"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项目废水污染物产排情况</w:t>
      </w:r>
    </w:p>
    <w:tbl>
      <w:tblPr>
        <w:tblStyle w:val="52"/>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09"/>
        <w:gridCol w:w="1133"/>
        <w:gridCol w:w="1133"/>
        <w:gridCol w:w="851"/>
        <w:gridCol w:w="850"/>
        <w:gridCol w:w="1133"/>
        <w:gridCol w:w="992"/>
        <w:gridCol w:w="1275"/>
        <w:gridCol w:w="709"/>
        <w:gridCol w:w="709"/>
        <w:gridCol w:w="850"/>
        <w:gridCol w:w="851"/>
        <w:gridCol w:w="850"/>
        <w:gridCol w:w="741"/>
      </w:tblGrid>
      <w:tr w14:paraId="41B9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tcBorders>
              <w:tl2br w:val="nil"/>
            </w:tcBorders>
            <w:shd w:val="clear" w:color="auto" w:fill="FFFFFF"/>
            <w:noWrap w:val="0"/>
            <w:vAlign w:val="center"/>
          </w:tcPr>
          <w:p w14:paraId="3037502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工序/</w:t>
            </w:r>
          </w:p>
          <w:p w14:paraId="0DBAE54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生产线</w:t>
            </w:r>
          </w:p>
        </w:tc>
        <w:tc>
          <w:tcPr>
            <w:tcW w:w="709" w:type="dxa"/>
            <w:vMerge w:val="restart"/>
            <w:shd w:val="clear" w:color="auto" w:fill="FFFFFF"/>
            <w:noWrap w:val="0"/>
            <w:vAlign w:val="center"/>
          </w:tcPr>
          <w:p w14:paraId="390259A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装置</w:t>
            </w:r>
          </w:p>
        </w:tc>
        <w:tc>
          <w:tcPr>
            <w:tcW w:w="1133" w:type="dxa"/>
            <w:vMerge w:val="restart"/>
            <w:shd w:val="clear" w:color="auto" w:fill="FFFFFF"/>
            <w:noWrap w:val="0"/>
            <w:vAlign w:val="center"/>
          </w:tcPr>
          <w:p w14:paraId="64EFF29D">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w:t>
            </w:r>
          </w:p>
        </w:tc>
        <w:tc>
          <w:tcPr>
            <w:tcW w:w="1133" w:type="dxa"/>
            <w:vMerge w:val="restart"/>
            <w:shd w:val="clear" w:color="auto" w:fill="FFFFFF"/>
            <w:noWrap w:val="0"/>
            <w:vAlign w:val="center"/>
          </w:tcPr>
          <w:p w14:paraId="51324D3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w:t>
            </w:r>
          </w:p>
          <w:p w14:paraId="14FAED3E">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因子</w:t>
            </w:r>
          </w:p>
        </w:tc>
        <w:tc>
          <w:tcPr>
            <w:tcW w:w="3827" w:type="dxa"/>
            <w:gridSpan w:val="4"/>
            <w:shd w:val="clear" w:color="auto" w:fill="FFFFFF"/>
            <w:noWrap w:val="0"/>
            <w:vAlign w:val="center"/>
          </w:tcPr>
          <w:p w14:paraId="530F3BA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污染物产生</w:t>
            </w:r>
          </w:p>
        </w:tc>
        <w:tc>
          <w:tcPr>
            <w:tcW w:w="1985" w:type="dxa"/>
            <w:gridSpan w:val="2"/>
            <w:shd w:val="clear" w:color="auto" w:fill="FFFFFF"/>
            <w:noWrap w:val="0"/>
            <w:vAlign w:val="center"/>
          </w:tcPr>
          <w:p w14:paraId="63096C9D">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治理措施</w:t>
            </w:r>
          </w:p>
        </w:tc>
        <w:tc>
          <w:tcPr>
            <w:tcW w:w="3261" w:type="dxa"/>
            <w:gridSpan w:val="4"/>
            <w:shd w:val="clear" w:color="auto" w:fill="FFFFFF"/>
            <w:noWrap w:val="0"/>
            <w:vAlign w:val="center"/>
          </w:tcPr>
          <w:p w14:paraId="6572790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污染物排放</w:t>
            </w:r>
          </w:p>
        </w:tc>
        <w:tc>
          <w:tcPr>
            <w:tcW w:w="741" w:type="dxa"/>
            <w:vMerge w:val="restart"/>
            <w:shd w:val="clear" w:color="auto" w:fill="FFFFFF"/>
            <w:noWrap w:val="0"/>
            <w:vAlign w:val="center"/>
          </w:tcPr>
          <w:p w14:paraId="09A5E47D">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排放</w:t>
            </w:r>
          </w:p>
          <w:p w14:paraId="251A2AF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时间</w:t>
            </w:r>
          </w:p>
          <w:p w14:paraId="76E4E4B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d</w:t>
            </w:r>
          </w:p>
        </w:tc>
      </w:tr>
      <w:tr w14:paraId="6A57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767EBE51">
            <w:pPr>
              <w:adjustRightInd w:val="0"/>
              <w:snapToGrid w:val="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4D74B67E">
            <w:pPr>
              <w:adjustRightInd w:val="0"/>
              <w:snapToGrid w:val="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06A2981B">
            <w:pPr>
              <w:adjustRightInd w:val="0"/>
              <w:snapToGrid w:val="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230E7AAF">
            <w:pPr>
              <w:adjustRightInd w:val="0"/>
              <w:snapToGrid w:val="0"/>
              <w:jc w:val="center"/>
              <w:rPr>
                <w:rFonts w:hint="default" w:ascii="Arial" w:hAnsi="Arial" w:eastAsia="宋体" w:cs="Arial"/>
                <w:b w:val="0"/>
                <w:color w:val="000000"/>
                <w:szCs w:val="21"/>
              </w:rPr>
            </w:pPr>
          </w:p>
        </w:tc>
        <w:tc>
          <w:tcPr>
            <w:tcW w:w="852" w:type="dxa"/>
            <w:shd w:val="clear" w:color="auto" w:fill="FFFFFF"/>
            <w:noWrap w:val="0"/>
            <w:vAlign w:val="center"/>
          </w:tcPr>
          <w:p w14:paraId="160505A7">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核算</w:t>
            </w:r>
          </w:p>
          <w:p w14:paraId="0A06A83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方法</w:t>
            </w:r>
          </w:p>
        </w:tc>
        <w:tc>
          <w:tcPr>
            <w:tcW w:w="850" w:type="dxa"/>
            <w:shd w:val="clear" w:color="auto" w:fill="FFFFFF"/>
            <w:noWrap w:val="0"/>
            <w:vAlign w:val="center"/>
          </w:tcPr>
          <w:p w14:paraId="5D09FCA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产生水量</w:t>
            </w:r>
          </w:p>
          <w:p w14:paraId="0881DBF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1133" w:type="dxa"/>
            <w:shd w:val="clear" w:color="auto" w:fill="FFFFFF"/>
            <w:noWrap w:val="0"/>
            <w:vAlign w:val="center"/>
          </w:tcPr>
          <w:p w14:paraId="6E2AD74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产生浓度</w:t>
            </w:r>
          </w:p>
          <w:p w14:paraId="6B22674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mg/L</w:t>
            </w:r>
          </w:p>
        </w:tc>
        <w:tc>
          <w:tcPr>
            <w:tcW w:w="992" w:type="dxa"/>
            <w:shd w:val="clear" w:color="auto" w:fill="FFFFFF"/>
            <w:noWrap w:val="0"/>
            <w:vAlign w:val="center"/>
          </w:tcPr>
          <w:p w14:paraId="1EBE7E1B">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产生量</w:t>
            </w:r>
          </w:p>
          <w:p w14:paraId="0F7DE74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1276" w:type="dxa"/>
            <w:shd w:val="clear" w:color="auto" w:fill="FFFFFF"/>
            <w:noWrap w:val="0"/>
            <w:vAlign w:val="center"/>
          </w:tcPr>
          <w:p w14:paraId="709776BD">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工艺</w:t>
            </w:r>
          </w:p>
        </w:tc>
        <w:tc>
          <w:tcPr>
            <w:tcW w:w="709" w:type="dxa"/>
            <w:shd w:val="clear" w:color="auto" w:fill="FFFFFF"/>
            <w:noWrap w:val="0"/>
            <w:vAlign w:val="center"/>
          </w:tcPr>
          <w:p w14:paraId="4DA83A9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效率</w:t>
            </w:r>
          </w:p>
          <w:p w14:paraId="4085A23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709" w:type="dxa"/>
            <w:shd w:val="clear" w:color="auto" w:fill="FFFFFF"/>
            <w:noWrap w:val="0"/>
            <w:vAlign w:val="center"/>
          </w:tcPr>
          <w:p w14:paraId="2C8E444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核算</w:t>
            </w:r>
          </w:p>
          <w:p w14:paraId="33E1807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方法</w:t>
            </w:r>
          </w:p>
        </w:tc>
        <w:tc>
          <w:tcPr>
            <w:tcW w:w="850" w:type="dxa"/>
            <w:shd w:val="clear" w:color="auto" w:fill="FFFFFF"/>
            <w:noWrap w:val="0"/>
            <w:vAlign w:val="center"/>
          </w:tcPr>
          <w:p w14:paraId="726496E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排放废水量</w:t>
            </w:r>
          </w:p>
          <w:p w14:paraId="599A1F9B">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852" w:type="dxa"/>
            <w:shd w:val="clear" w:color="auto" w:fill="FFFFFF"/>
            <w:noWrap w:val="0"/>
            <w:vAlign w:val="center"/>
          </w:tcPr>
          <w:p w14:paraId="11CA9DE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纳管排放浓度</w:t>
            </w:r>
          </w:p>
          <w:p w14:paraId="576521A0">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mg/L</w:t>
            </w:r>
          </w:p>
        </w:tc>
        <w:tc>
          <w:tcPr>
            <w:tcW w:w="850" w:type="dxa"/>
            <w:shd w:val="clear" w:color="auto" w:fill="FFFFFF"/>
            <w:noWrap w:val="0"/>
            <w:vAlign w:val="center"/>
          </w:tcPr>
          <w:p w14:paraId="18BC82B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纳管排放量</w:t>
            </w:r>
          </w:p>
          <w:p w14:paraId="515E9504">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t/a</w:t>
            </w:r>
          </w:p>
        </w:tc>
        <w:tc>
          <w:tcPr>
            <w:tcW w:w="741" w:type="dxa"/>
            <w:vMerge w:val="continue"/>
            <w:shd w:val="clear" w:color="auto" w:fill="FFFFFF"/>
            <w:noWrap w:val="0"/>
            <w:vAlign w:val="center"/>
          </w:tcPr>
          <w:p w14:paraId="77E135D0">
            <w:pPr>
              <w:adjustRightInd w:val="0"/>
              <w:snapToGrid w:val="0"/>
              <w:jc w:val="center"/>
              <w:rPr>
                <w:rFonts w:hint="default" w:ascii="Arial" w:hAnsi="Arial" w:eastAsia="宋体" w:cs="Arial"/>
                <w:b w:val="0"/>
                <w:color w:val="000000"/>
                <w:szCs w:val="21"/>
              </w:rPr>
            </w:pPr>
          </w:p>
        </w:tc>
      </w:tr>
      <w:tr w14:paraId="7E7F3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shd w:val="clear" w:color="auto" w:fill="FFFFFF"/>
            <w:noWrap w:val="0"/>
            <w:vAlign w:val="center"/>
          </w:tcPr>
          <w:p w14:paraId="4F395C52">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员工</w:t>
            </w:r>
          </w:p>
          <w:p w14:paraId="08CAFA2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生活</w:t>
            </w:r>
          </w:p>
        </w:tc>
        <w:tc>
          <w:tcPr>
            <w:tcW w:w="709" w:type="dxa"/>
            <w:vMerge w:val="restart"/>
            <w:shd w:val="clear" w:color="auto" w:fill="FFFFFF"/>
            <w:noWrap w:val="0"/>
            <w:vAlign w:val="center"/>
          </w:tcPr>
          <w:p w14:paraId="0CD1B15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1133" w:type="dxa"/>
            <w:vMerge w:val="restart"/>
            <w:shd w:val="clear" w:color="auto" w:fill="FFFFFF"/>
            <w:noWrap w:val="0"/>
            <w:vAlign w:val="center"/>
          </w:tcPr>
          <w:p w14:paraId="6521AE3C">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生活</w:t>
            </w:r>
          </w:p>
          <w:p w14:paraId="5BFE149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污水</w:t>
            </w:r>
          </w:p>
        </w:tc>
        <w:tc>
          <w:tcPr>
            <w:tcW w:w="1133" w:type="dxa"/>
            <w:shd w:val="clear" w:color="auto" w:fill="FFFFFF"/>
            <w:noWrap w:val="0"/>
            <w:vAlign w:val="center"/>
          </w:tcPr>
          <w:p w14:paraId="4D4A401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p>
        </w:tc>
        <w:tc>
          <w:tcPr>
            <w:tcW w:w="852" w:type="dxa"/>
            <w:vMerge w:val="restart"/>
            <w:shd w:val="clear" w:color="auto" w:fill="FFFFFF"/>
            <w:noWrap w:val="0"/>
            <w:vAlign w:val="center"/>
          </w:tcPr>
          <w:p w14:paraId="2D1DEEFA">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类比法</w:t>
            </w:r>
          </w:p>
        </w:tc>
        <w:tc>
          <w:tcPr>
            <w:tcW w:w="850" w:type="dxa"/>
            <w:vMerge w:val="restart"/>
            <w:shd w:val="clear" w:color="auto" w:fill="FFFFFF"/>
            <w:noWrap w:val="0"/>
            <w:vAlign w:val="center"/>
          </w:tcPr>
          <w:p w14:paraId="07DA30DB">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5040</w:t>
            </w:r>
          </w:p>
        </w:tc>
        <w:tc>
          <w:tcPr>
            <w:tcW w:w="1133" w:type="dxa"/>
            <w:shd w:val="clear" w:color="auto" w:fill="FFFFFF"/>
            <w:noWrap w:val="0"/>
            <w:vAlign w:val="center"/>
          </w:tcPr>
          <w:p w14:paraId="7C56F3CD">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300</w:t>
            </w:r>
          </w:p>
        </w:tc>
        <w:tc>
          <w:tcPr>
            <w:tcW w:w="992" w:type="dxa"/>
            <w:shd w:val="clear" w:color="auto" w:fill="FFFFFF"/>
            <w:noWrap w:val="0"/>
            <w:vAlign w:val="center"/>
          </w:tcPr>
          <w:p w14:paraId="16B641E1">
            <w:pPr>
              <w:keepNext w:val="0"/>
              <w:keepLines w:val="0"/>
              <w:widowControl/>
              <w:suppressLineNumbers w:val="0"/>
              <w:jc w:val="center"/>
              <w:textAlignment w:val="center"/>
              <w:rPr>
                <w:rFonts w:hint="default" w:ascii="Arial" w:hAnsi="Arial" w:eastAsia="宋体" w:cs="Arial"/>
                <w:b w:val="0"/>
                <w:color w:val="000000"/>
                <w:szCs w:val="21"/>
                <w:lang w:val="en-US" w:eastAsia="zh-CN"/>
              </w:rPr>
            </w:pPr>
            <w:r>
              <w:rPr>
                <w:rFonts w:hint="default" w:ascii="Arial" w:hAnsi="Arial" w:eastAsia="宋体" w:cs="Arial"/>
                <w:i w:val="0"/>
                <w:iCs w:val="0"/>
                <w:color w:val="000000"/>
                <w:kern w:val="0"/>
                <w:sz w:val="21"/>
                <w:szCs w:val="21"/>
                <w:u w:val="none"/>
                <w:lang w:val="en-US" w:eastAsia="zh-CN" w:bidi="ar"/>
              </w:rPr>
              <w:t xml:space="preserve">1.512 </w:t>
            </w:r>
          </w:p>
        </w:tc>
        <w:tc>
          <w:tcPr>
            <w:tcW w:w="1276" w:type="dxa"/>
            <w:vMerge w:val="restart"/>
            <w:shd w:val="clear" w:color="auto" w:fill="FFFFFF"/>
            <w:noWrap w:val="0"/>
            <w:vAlign w:val="center"/>
          </w:tcPr>
          <w:p w14:paraId="3766B10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化粪池</w:t>
            </w:r>
          </w:p>
        </w:tc>
        <w:tc>
          <w:tcPr>
            <w:tcW w:w="709" w:type="dxa"/>
            <w:shd w:val="clear" w:color="auto" w:fill="FFFFFF"/>
            <w:noWrap w:val="0"/>
            <w:vAlign w:val="center"/>
          </w:tcPr>
          <w:p w14:paraId="3DF38F7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709" w:type="dxa"/>
            <w:vMerge w:val="restart"/>
            <w:shd w:val="clear" w:color="auto" w:fill="FFFFFF"/>
            <w:noWrap w:val="0"/>
            <w:vAlign w:val="center"/>
          </w:tcPr>
          <w:p w14:paraId="5417CD57">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850" w:type="dxa"/>
            <w:vMerge w:val="restart"/>
            <w:shd w:val="clear" w:color="auto" w:fill="FFFFFF"/>
            <w:noWrap w:val="0"/>
            <w:vAlign w:val="center"/>
          </w:tcPr>
          <w:p w14:paraId="61AE3A00">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5040</w:t>
            </w:r>
          </w:p>
        </w:tc>
        <w:tc>
          <w:tcPr>
            <w:tcW w:w="852" w:type="dxa"/>
            <w:shd w:val="clear" w:color="auto" w:fill="FFFFFF"/>
            <w:noWrap w:val="0"/>
            <w:vAlign w:val="center"/>
          </w:tcPr>
          <w:p w14:paraId="31210427">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300</w:t>
            </w:r>
          </w:p>
        </w:tc>
        <w:tc>
          <w:tcPr>
            <w:tcW w:w="850" w:type="dxa"/>
            <w:shd w:val="clear" w:color="auto" w:fill="FFFFFF"/>
            <w:noWrap w:val="0"/>
            <w:vAlign w:val="center"/>
          </w:tcPr>
          <w:p w14:paraId="75AD3D99">
            <w:pPr>
              <w:keepNext w:val="0"/>
              <w:keepLines w:val="0"/>
              <w:widowControl/>
              <w:suppressLineNumbers w:val="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 xml:space="preserve">1.512 </w:t>
            </w:r>
          </w:p>
        </w:tc>
        <w:tc>
          <w:tcPr>
            <w:tcW w:w="741" w:type="dxa"/>
            <w:vMerge w:val="restart"/>
            <w:shd w:val="clear" w:color="auto" w:fill="FFFFFF"/>
            <w:noWrap w:val="0"/>
            <w:vAlign w:val="center"/>
          </w:tcPr>
          <w:p w14:paraId="30AF259E">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300</w:t>
            </w:r>
          </w:p>
        </w:tc>
      </w:tr>
      <w:tr w14:paraId="3921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715405FE">
            <w:pPr>
              <w:adjustRightInd w:val="0"/>
              <w:snapToGrid w:val="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2A52BA4B">
            <w:pPr>
              <w:adjustRightInd w:val="0"/>
              <w:snapToGrid w:val="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56F37AA5">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61C7BC48">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NH</w:t>
            </w:r>
            <w:r>
              <w:rPr>
                <w:rFonts w:hint="default" w:ascii="Arial" w:hAnsi="Arial" w:eastAsia="宋体" w:cs="Arial"/>
                <w:b w:val="0"/>
                <w:color w:val="000000"/>
                <w:szCs w:val="21"/>
                <w:vertAlign w:val="subscript"/>
              </w:rPr>
              <w:t>3</w:t>
            </w:r>
            <w:r>
              <w:rPr>
                <w:rFonts w:hint="default" w:ascii="Arial" w:hAnsi="Arial" w:eastAsia="宋体" w:cs="Arial"/>
                <w:b w:val="0"/>
                <w:color w:val="000000"/>
                <w:szCs w:val="21"/>
              </w:rPr>
              <w:t>-N</w:t>
            </w:r>
          </w:p>
        </w:tc>
        <w:tc>
          <w:tcPr>
            <w:tcW w:w="852" w:type="dxa"/>
            <w:vMerge w:val="continue"/>
            <w:shd w:val="clear" w:color="auto" w:fill="FFFFFF"/>
            <w:noWrap w:val="0"/>
            <w:vAlign w:val="center"/>
          </w:tcPr>
          <w:p w14:paraId="1959A7C5">
            <w:pPr>
              <w:adjustRightInd w:val="0"/>
              <w:snapToGrid w:val="0"/>
              <w:jc w:val="center"/>
              <w:rPr>
                <w:rFonts w:hint="default" w:ascii="Arial" w:hAnsi="Arial" w:eastAsia="宋体" w:cs="Arial"/>
                <w:b w:val="0"/>
                <w:color w:val="000000"/>
                <w:szCs w:val="21"/>
              </w:rPr>
            </w:pPr>
          </w:p>
        </w:tc>
        <w:tc>
          <w:tcPr>
            <w:tcW w:w="850" w:type="dxa"/>
            <w:vMerge w:val="continue"/>
            <w:shd w:val="clear" w:color="auto" w:fill="FFFFFF"/>
            <w:noWrap w:val="0"/>
            <w:vAlign w:val="center"/>
          </w:tcPr>
          <w:p w14:paraId="0816802A">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4EE1F076">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30</w:t>
            </w:r>
          </w:p>
        </w:tc>
        <w:tc>
          <w:tcPr>
            <w:tcW w:w="992" w:type="dxa"/>
            <w:shd w:val="clear" w:color="auto" w:fill="FFFFFF"/>
            <w:noWrap w:val="0"/>
            <w:vAlign w:val="center"/>
          </w:tcPr>
          <w:p w14:paraId="3C0BABF3">
            <w:pPr>
              <w:keepNext w:val="0"/>
              <w:keepLines w:val="0"/>
              <w:widowControl/>
              <w:suppressLineNumbers w:val="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 xml:space="preserve">0.151 </w:t>
            </w:r>
          </w:p>
        </w:tc>
        <w:tc>
          <w:tcPr>
            <w:tcW w:w="1276" w:type="dxa"/>
            <w:vMerge w:val="continue"/>
            <w:shd w:val="clear" w:color="auto" w:fill="FFFFFF"/>
            <w:noWrap w:val="0"/>
            <w:vAlign w:val="center"/>
          </w:tcPr>
          <w:p w14:paraId="7EEBA55F">
            <w:pPr>
              <w:adjustRightInd w:val="0"/>
              <w:snapToGrid w:val="0"/>
              <w:jc w:val="center"/>
              <w:rPr>
                <w:rFonts w:hint="default" w:ascii="Arial" w:hAnsi="Arial" w:eastAsia="宋体" w:cs="Arial"/>
                <w:b w:val="0"/>
                <w:color w:val="000000"/>
                <w:szCs w:val="21"/>
              </w:rPr>
            </w:pPr>
          </w:p>
        </w:tc>
        <w:tc>
          <w:tcPr>
            <w:tcW w:w="709" w:type="dxa"/>
            <w:shd w:val="clear" w:color="auto" w:fill="FFFFFF"/>
            <w:noWrap w:val="0"/>
            <w:vAlign w:val="center"/>
          </w:tcPr>
          <w:p w14:paraId="606F887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709" w:type="dxa"/>
            <w:vMerge w:val="continue"/>
            <w:shd w:val="clear" w:color="auto" w:fill="FFFFFF"/>
            <w:noWrap w:val="0"/>
            <w:vAlign w:val="center"/>
          </w:tcPr>
          <w:p w14:paraId="44735001">
            <w:pPr>
              <w:adjustRightInd w:val="0"/>
              <w:snapToGrid w:val="0"/>
              <w:jc w:val="center"/>
              <w:rPr>
                <w:rFonts w:hint="default" w:ascii="Arial" w:hAnsi="Arial" w:eastAsia="宋体" w:cs="Arial"/>
                <w:b w:val="0"/>
                <w:color w:val="000000"/>
                <w:szCs w:val="21"/>
              </w:rPr>
            </w:pPr>
          </w:p>
        </w:tc>
        <w:tc>
          <w:tcPr>
            <w:tcW w:w="850" w:type="dxa"/>
            <w:vMerge w:val="continue"/>
            <w:shd w:val="clear" w:color="auto" w:fill="FFFFFF"/>
            <w:noWrap w:val="0"/>
            <w:vAlign w:val="center"/>
          </w:tcPr>
          <w:p w14:paraId="6BCE3511">
            <w:pPr>
              <w:adjustRightInd w:val="0"/>
              <w:snapToGrid w:val="0"/>
              <w:jc w:val="center"/>
              <w:rPr>
                <w:rFonts w:hint="default" w:ascii="Arial" w:hAnsi="Arial" w:eastAsia="宋体" w:cs="Arial"/>
                <w:b w:val="0"/>
                <w:color w:val="000000"/>
                <w:szCs w:val="21"/>
              </w:rPr>
            </w:pPr>
          </w:p>
        </w:tc>
        <w:tc>
          <w:tcPr>
            <w:tcW w:w="852" w:type="dxa"/>
            <w:shd w:val="clear" w:color="auto" w:fill="FFFFFF"/>
            <w:noWrap w:val="0"/>
            <w:vAlign w:val="center"/>
          </w:tcPr>
          <w:p w14:paraId="27AD30F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30</w:t>
            </w:r>
          </w:p>
        </w:tc>
        <w:tc>
          <w:tcPr>
            <w:tcW w:w="850" w:type="dxa"/>
            <w:shd w:val="clear" w:color="auto" w:fill="FFFFFF"/>
            <w:noWrap w:val="0"/>
            <w:vAlign w:val="center"/>
          </w:tcPr>
          <w:p w14:paraId="70F1190F">
            <w:pPr>
              <w:keepNext w:val="0"/>
              <w:keepLines w:val="0"/>
              <w:widowControl/>
              <w:suppressLineNumbers w:val="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 xml:space="preserve">0.151 </w:t>
            </w:r>
          </w:p>
        </w:tc>
        <w:tc>
          <w:tcPr>
            <w:tcW w:w="741" w:type="dxa"/>
            <w:vMerge w:val="continue"/>
            <w:shd w:val="clear" w:color="auto" w:fill="FFFFFF"/>
            <w:noWrap w:val="0"/>
            <w:vAlign w:val="center"/>
          </w:tcPr>
          <w:p w14:paraId="41F3A890">
            <w:pPr>
              <w:adjustRightInd w:val="0"/>
              <w:snapToGrid w:val="0"/>
              <w:jc w:val="center"/>
              <w:rPr>
                <w:rFonts w:hint="default" w:ascii="Arial" w:hAnsi="Arial" w:eastAsia="宋体" w:cs="Arial"/>
                <w:b w:val="0"/>
                <w:color w:val="000000"/>
                <w:szCs w:val="21"/>
              </w:rPr>
            </w:pPr>
          </w:p>
        </w:tc>
      </w:tr>
      <w:tr w14:paraId="6F69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restart"/>
            <w:shd w:val="clear" w:color="auto" w:fill="FFFFFF"/>
            <w:noWrap w:val="0"/>
            <w:vAlign w:val="center"/>
          </w:tcPr>
          <w:p w14:paraId="5F1D9C2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清洗</w:t>
            </w:r>
          </w:p>
        </w:tc>
        <w:tc>
          <w:tcPr>
            <w:tcW w:w="709" w:type="dxa"/>
            <w:vMerge w:val="restart"/>
            <w:shd w:val="clear" w:color="auto" w:fill="FFFFFF"/>
            <w:noWrap w:val="0"/>
            <w:vAlign w:val="center"/>
          </w:tcPr>
          <w:p w14:paraId="6F5EBA6F">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清洗设备</w:t>
            </w:r>
          </w:p>
        </w:tc>
        <w:tc>
          <w:tcPr>
            <w:tcW w:w="1133" w:type="dxa"/>
            <w:vMerge w:val="restart"/>
            <w:shd w:val="clear" w:color="auto" w:fill="FFFFFF"/>
            <w:noWrap w:val="0"/>
            <w:vAlign w:val="center"/>
          </w:tcPr>
          <w:p w14:paraId="4A467D28">
            <w:pPr>
              <w:adjustRightInd w:val="0"/>
              <w:snapToGrid w:val="0"/>
              <w:jc w:val="both"/>
              <w:rPr>
                <w:rFonts w:hint="default" w:ascii="Arial" w:hAnsi="Arial" w:eastAsia="宋体" w:cs="Arial"/>
                <w:b w:val="0"/>
                <w:color w:val="000000"/>
                <w:szCs w:val="21"/>
                <w:lang w:eastAsia="zh-CN"/>
              </w:rPr>
            </w:pPr>
            <w:r>
              <w:rPr>
                <w:rFonts w:hint="default" w:ascii="Arial" w:hAnsi="Arial" w:eastAsia="宋体" w:cs="Arial"/>
                <w:b w:val="0"/>
                <w:color w:val="000000"/>
                <w:szCs w:val="21"/>
                <w:lang w:val="en-US" w:eastAsia="zh-CN"/>
              </w:rPr>
              <w:t>清洗</w:t>
            </w:r>
            <w:r>
              <w:rPr>
                <w:rFonts w:hint="default" w:ascii="Arial" w:hAnsi="Arial" w:eastAsia="宋体" w:cs="Arial"/>
                <w:b w:val="0"/>
                <w:color w:val="000000"/>
                <w:szCs w:val="21"/>
                <w:lang w:eastAsia="zh-CN"/>
              </w:rPr>
              <w:t>废水</w:t>
            </w:r>
          </w:p>
        </w:tc>
        <w:tc>
          <w:tcPr>
            <w:tcW w:w="1133" w:type="dxa"/>
            <w:shd w:val="clear" w:color="auto" w:fill="FFFFFF"/>
            <w:noWrap w:val="0"/>
            <w:vAlign w:val="center"/>
          </w:tcPr>
          <w:p w14:paraId="306ECC13">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COD</w:t>
            </w:r>
            <w:r>
              <w:rPr>
                <w:rFonts w:hint="default" w:ascii="Arial" w:hAnsi="Arial" w:eastAsia="宋体" w:cs="Arial"/>
                <w:b w:val="0"/>
                <w:color w:val="000000"/>
                <w:szCs w:val="21"/>
                <w:vertAlign w:val="subscript"/>
              </w:rPr>
              <w:t>Cr</w:t>
            </w:r>
          </w:p>
        </w:tc>
        <w:tc>
          <w:tcPr>
            <w:tcW w:w="852" w:type="dxa"/>
            <w:shd w:val="clear" w:color="auto" w:fill="FFFFFF"/>
            <w:noWrap w:val="0"/>
            <w:vAlign w:val="center"/>
          </w:tcPr>
          <w:p w14:paraId="66D60B0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类比法</w:t>
            </w:r>
          </w:p>
        </w:tc>
        <w:tc>
          <w:tcPr>
            <w:tcW w:w="850" w:type="dxa"/>
            <w:vMerge w:val="restart"/>
            <w:shd w:val="clear" w:color="auto" w:fill="FFFFFF"/>
            <w:noWrap w:val="0"/>
            <w:vAlign w:val="center"/>
          </w:tcPr>
          <w:p w14:paraId="2CBE5A04">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852.6</w:t>
            </w:r>
          </w:p>
        </w:tc>
        <w:tc>
          <w:tcPr>
            <w:tcW w:w="1133" w:type="dxa"/>
            <w:shd w:val="clear" w:color="auto" w:fill="FFFFFF"/>
            <w:noWrap w:val="0"/>
            <w:vAlign w:val="center"/>
          </w:tcPr>
          <w:p w14:paraId="04ED9C7C">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4000</w:t>
            </w:r>
          </w:p>
        </w:tc>
        <w:tc>
          <w:tcPr>
            <w:tcW w:w="992" w:type="dxa"/>
            <w:shd w:val="clear" w:color="auto" w:fill="FFFFFF"/>
            <w:noWrap w:val="0"/>
            <w:vAlign w:val="center"/>
          </w:tcPr>
          <w:p w14:paraId="4EB05D49">
            <w:pPr>
              <w:keepNext w:val="0"/>
              <w:keepLines w:val="0"/>
              <w:widowControl/>
              <w:suppressLineNumbers w:val="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 xml:space="preserve">3.410 </w:t>
            </w:r>
          </w:p>
        </w:tc>
        <w:tc>
          <w:tcPr>
            <w:tcW w:w="1276" w:type="dxa"/>
            <w:vMerge w:val="restart"/>
            <w:shd w:val="clear" w:color="auto" w:fill="FFFFFF"/>
            <w:noWrap w:val="0"/>
            <w:vAlign w:val="center"/>
          </w:tcPr>
          <w:p w14:paraId="3FBA1CAE">
            <w:pPr>
              <w:adjustRightInd w:val="0"/>
              <w:snapToGrid w:val="0"/>
              <w:jc w:val="center"/>
              <w:rPr>
                <w:rFonts w:hint="default" w:ascii="Arial" w:hAnsi="Arial" w:eastAsia="宋体" w:cs="Arial"/>
                <w:b w:val="0"/>
                <w:color w:val="000000"/>
                <w:szCs w:val="21"/>
                <w:lang w:val="en-US"/>
              </w:rPr>
            </w:pPr>
            <w:r>
              <w:rPr>
                <w:rFonts w:hint="default" w:ascii="Arial" w:hAnsi="Arial" w:eastAsia="宋体" w:cs="Arial"/>
                <w:b w:val="0"/>
                <w:color w:val="000000"/>
                <w:szCs w:val="21"/>
                <w:lang w:val="en-US" w:eastAsia="zh-CN"/>
              </w:rPr>
              <w:t>低温浓缩+膜过滤</w:t>
            </w:r>
          </w:p>
        </w:tc>
        <w:tc>
          <w:tcPr>
            <w:tcW w:w="709" w:type="dxa"/>
            <w:shd w:val="clear" w:color="auto" w:fill="FFFFFF"/>
            <w:noWrap w:val="0"/>
            <w:vAlign w:val="center"/>
          </w:tcPr>
          <w:p w14:paraId="44D04F6D">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90</w:t>
            </w:r>
          </w:p>
        </w:tc>
        <w:tc>
          <w:tcPr>
            <w:tcW w:w="709" w:type="dxa"/>
            <w:shd w:val="clear" w:color="auto" w:fill="FFFFFF"/>
            <w:noWrap w:val="0"/>
            <w:vAlign w:val="center"/>
          </w:tcPr>
          <w:p w14:paraId="2C3089F9">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850" w:type="dxa"/>
            <w:vMerge w:val="restart"/>
            <w:shd w:val="clear" w:color="auto" w:fill="FFFFFF"/>
            <w:noWrap w:val="0"/>
            <w:vAlign w:val="center"/>
          </w:tcPr>
          <w:p w14:paraId="50AAB8B2">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724.7</w:t>
            </w:r>
          </w:p>
        </w:tc>
        <w:tc>
          <w:tcPr>
            <w:tcW w:w="852" w:type="dxa"/>
            <w:shd w:val="clear" w:color="auto" w:fill="FFFFFF"/>
            <w:noWrap w:val="0"/>
            <w:vAlign w:val="center"/>
          </w:tcPr>
          <w:p w14:paraId="1B944C27">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400</w:t>
            </w:r>
          </w:p>
        </w:tc>
        <w:tc>
          <w:tcPr>
            <w:tcW w:w="850" w:type="dxa"/>
            <w:shd w:val="clear" w:color="auto" w:fill="FFFFFF"/>
            <w:noWrap w:val="0"/>
            <w:vAlign w:val="center"/>
          </w:tcPr>
          <w:p w14:paraId="4A1A5044">
            <w:pPr>
              <w:keepNext w:val="0"/>
              <w:keepLines w:val="0"/>
              <w:widowControl/>
              <w:suppressLineNumbers w:val="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 xml:space="preserve">0.290 </w:t>
            </w:r>
          </w:p>
        </w:tc>
        <w:tc>
          <w:tcPr>
            <w:tcW w:w="741" w:type="dxa"/>
            <w:vMerge w:val="restart"/>
            <w:shd w:val="clear" w:color="auto" w:fill="FFFFFF"/>
            <w:noWrap w:val="0"/>
            <w:vAlign w:val="center"/>
          </w:tcPr>
          <w:p w14:paraId="7BE1D03A">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300</w:t>
            </w:r>
          </w:p>
        </w:tc>
      </w:tr>
      <w:tr w14:paraId="7AA3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468804CA">
            <w:pPr>
              <w:adjustRightInd w:val="0"/>
              <w:snapToGrid w:val="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1D305AAF">
            <w:pPr>
              <w:adjustRightInd w:val="0"/>
              <w:snapToGrid w:val="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40B6329E">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36BED817">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NH</w:t>
            </w:r>
            <w:r>
              <w:rPr>
                <w:rFonts w:hint="default" w:ascii="Arial" w:hAnsi="Arial" w:eastAsia="宋体" w:cs="Arial"/>
                <w:b w:val="0"/>
                <w:color w:val="000000"/>
                <w:szCs w:val="21"/>
                <w:vertAlign w:val="subscript"/>
              </w:rPr>
              <w:t>3</w:t>
            </w:r>
            <w:r>
              <w:rPr>
                <w:rFonts w:hint="default" w:ascii="Arial" w:hAnsi="Arial" w:eastAsia="宋体" w:cs="Arial"/>
                <w:b w:val="0"/>
                <w:color w:val="000000"/>
                <w:szCs w:val="21"/>
              </w:rPr>
              <w:t>-N</w:t>
            </w:r>
          </w:p>
        </w:tc>
        <w:tc>
          <w:tcPr>
            <w:tcW w:w="852" w:type="dxa"/>
            <w:shd w:val="clear" w:color="auto" w:fill="FFFFFF"/>
            <w:noWrap w:val="0"/>
            <w:vAlign w:val="center"/>
          </w:tcPr>
          <w:p w14:paraId="6BB7EF74">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类比法</w:t>
            </w:r>
          </w:p>
        </w:tc>
        <w:tc>
          <w:tcPr>
            <w:tcW w:w="850" w:type="dxa"/>
            <w:vMerge w:val="continue"/>
            <w:shd w:val="clear" w:color="auto" w:fill="FFFFFF"/>
            <w:noWrap w:val="0"/>
            <w:vAlign w:val="center"/>
          </w:tcPr>
          <w:p w14:paraId="21178A37">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2F449A79">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10</w:t>
            </w:r>
          </w:p>
        </w:tc>
        <w:tc>
          <w:tcPr>
            <w:tcW w:w="992" w:type="dxa"/>
            <w:shd w:val="clear" w:color="auto" w:fill="FFFFFF"/>
            <w:noWrap w:val="0"/>
            <w:vAlign w:val="center"/>
          </w:tcPr>
          <w:p w14:paraId="03D9188D">
            <w:pPr>
              <w:keepNext w:val="0"/>
              <w:keepLines w:val="0"/>
              <w:widowControl/>
              <w:suppressLineNumbers w:val="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 xml:space="preserve">0.009 </w:t>
            </w:r>
          </w:p>
        </w:tc>
        <w:tc>
          <w:tcPr>
            <w:tcW w:w="1276" w:type="dxa"/>
            <w:vMerge w:val="continue"/>
            <w:shd w:val="clear" w:color="auto" w:fill="FFFFFF"/>
            <w:noWrap w:val="0"/>
            <w:vAlign w:val="center"/>
          </w:tcPr>
          <w:p w14:paraId="64678F84">
            <w:pPr>
              <w:adjustRightInd w:val="0"/>
              <w:snapToGrid w:val="0"/>
              <w:jc w:val="center"/>
              <w:rPr>
                <w:rFonts w:hint="default" w:ascii="Arial" w:hAnsi="Arial" w:eastAsia="宋体" w:cs="Arial"/>
                <w:b w:val="0"/>
                <w:color w:val="000000"/>
                <w:szCs w:val="21"/>
              </w:rPr>
            </w:pPr>
          </w:p>
        </w:tc>
        <w:tc>
          <w:tcPr>
            <w:tcW w:w="709" w:type="dxa"/>
            <w:shd w:val="clear" w:color="auto" w:fill="FFFFFF"/>
            <w:noWrap w:val="0"/>
            <w:vAlign w:val="center"/>
          </w:tcPr>
          <w:p w14:paraId="29973532">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70</w:t>
            </w:r>
          </w:p>
        </w:tc>
        <w:tc>
          <w:tcPr>
            <w:tcW w:w="709" w:type="dxa"/>
            <w:shd w:val="clear" w:color="auto" w:fill="FFFFFF"/>
            <w:noWrap w:val="0"/>
            <w:vAlign w:val="center"/>
          </w:tcPr>
          <w:p w14:paraId="101723C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850" w:type="dxa"/>
            <w:vMerge w:val="continue"/>
            <w:shd w:val="clear" w:color="auto" w:fill="FFFFFF"/>
            <w:noWrap w:val="0"/>
            <w:vAlign w:val="center"/>
          </w:tcPr>
          <w:p w14:paraId="670D8108">
            <w:pPr>
              <w:adjustRightInd w:val="0"/>
              <w:snapToGrid w:val="0"/>
              <w:jc w:val="center"/>
              <w:rPr>
                <w:rFonts w:hint="default" w:ascii="Arial" w:hAnsi="Arial" w:eastAsia="宋体" w:cs="Arial"/>
                <w:b w:val="0"/>
                <w:color w:val="000000"/>
                <w:szCs w:val="21"/>
              </w:rPr>
            </w:pPr>
          </w:p>
        </w:tc>
        <w:tc>
          <w:tcPr>
            <w:tcW w:w="852" w:type="dxa"/>
            <w:shd w:val="clear" w:color="auto" w:fill="FFFFFF"/>
            <w:noWrap w:val="0"/>
            <w:vAlign w:val="center"/>
          </w:tcPr>
          <w:p w14:paraId="78721C97">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3</w:t>
            </w:r>
          </w:p>
        </w:tc>
        <w:tc>
          <w:tcPr>
            <w:tcW w:w="850" w:type="dxa"/>
            <w:shd w:val="clear" w:color="auto" w:fill="FFFFFF"/>
            <w:noWrap w:val="0"/>
            <w:vAlign w:val="center"/>
          </w:tcPr>
          <w:p w14:paraId="49EF4A9D">
            <w:pPr>
              <w:keepNext w:val="0"/>
              <w:keepLines w:val="0"/>
              <w:widowControl/>
              <w:suppressLineNumbers w:val="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 xml:space="preserve">0.002 </w:t>
            </w:r>
          </w:p>
        </w:tc>
        <w:tc>
          <w:tcPr>
            <w:tcW w:w="741" w:type="dxa"/>
            <w:vMerge w:val="continue"/>
            <w:shd w:val="clear" w:color="auto" w:fill="FFFFFF"/>
            <w:noWrap w:val="0"/>
            <w:vAlign w:val="center"/>
          </w:tcPr>
          <w:p w14:paraId="35E560ED">
            <w:pPr>
              <w:adjustRightInd w:val="0"/>
              <w:snapToGrid w:val="0"/>
              <w:jc w:val="center"/>
              <w:rPr>
                <w:rFonts w:hint="default" w:ascii="Arial" w:hAnsi="Arial" w:eastAsia="宋体" w:cs="Arial"/>
                <w:b w:val="0"/>
                <w:color w:val="000000"/>
                <w:szCs w:val="21"/>
              </w:rPr>
            </w:pPr>
          </w:p>
        </w:tc>
      </w:tr>
      <w:tr w14:paraId="0F0A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2780F3D6">
            <w:pPr>
              <w:adjustRightInd w:val="0"/>
              <w:snapToGrid w:val="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3AFFD575">
            <w:pPr>
              <w:adjustRightInd w:val="0"/>
              <w:snapToGrid w:val="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678B6EF3">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0335FBB1">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SS</w:t>
            </w:r>
          </w:p>
        </w:tc>
        <w:tc>
          <w:tcPr>
            <w:tcW w:w="852" w:type="dxa"/>
            <w:shd w:val="clear" w:color="auto" w:fill="FFFFFF"/>
            <w:noWrap w:val="0"/>
            <w:vAlign w:val="center"/>
          </w:tcPr>
          <w:p w14:paraId="3EA2988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类比法</w:t>
            </w:r>
          </w:p>
        </w:tc>
        <w:tc>
          <w:tcPr>
            <w:tcW w:w="850" w:type="dxa"/>
            <w:vMerge w:val="continue"/>
            <w:shd w:val="clear" w:color="auto" w:fill="FFFFFF"/>
            <w:noWrap w:val="0"/>
            <w:vAlign w:val="center"/>
          </w:tcPr>
          <w:p w14:paraId="0DB9A7EA">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6F44D7F5">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500</w:t>
            </w:r>
          </w:p>
        </w:tc>
        <w:tc>
          <w:tcPr>
            <w:tcW w:w="992" w:type="dxa"/>
            <w:shd w:val="clear" w:color="auto" w:fill="FFFFFF"/>
            <w:noWrap w:val="0"/>
            <w:vAlign w:val="center"/>
          </w:tcPr>
          <w:p w14:paraId="73DA00EA">
            <w:pPr>
              <w:keepNext w:val="0"/>
              <w:keepLines w:val="0"/>
              <w:widowControl/>
              <w:suppressLineNumbers w:val="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 xml:space="preserve">0.426 </w:t>
            </w:r>
          </w:p>
        </w:tc>
        <w:tc>
          <w:tcPr>
            <w:tcW w:w="1276" w:type="dxa"/>
            <w:vMerge w:val="continue"/>
            <w:shd w:val="clear" w:color="auto" w:fill="FFFFFF"/>
            <w:noWrap w:val="0"/>
            <w:vAlign w:val="center"/>
          </w:tcPr>
          <w:p w14:paraId="5C1EDD27">
            <w:pPr>
              <w:adjustRightInd w:val="0"/>
              <w:snapToGrid w:val="0"/>
              <w:jc w:val="center"/>
              <w:rPr>
                <w:rFonts w:hint="default" w:ascii="Arial" w:hAnsi="Arial" w:eastAsia="宋体" w:cs="Arial"/>
                <w:b w:val="0"/>
                <w:color w:val="000000"/>
                <w:szCs w:val="21"/>
              </w:rPr>
            </w:pPr>
          </w:p>
        </w:tc>
        <w:tc>
          <w:tcPr>
            <w:tcW w:w="709" w:type="dxa"/>
            <w:shd w:val="clear" w:color="auto" w:fill="FFFFFF"/>
            <w:noWrap w:val="0"/>
            <w:vAlign w:val="center"/>
          </w:tcPr>
          <w:p w14:paraId="4B672824">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90</w:t>
            </w:r>
          </w:p>
        </w:tc>
        <w:tc>
          <w:tcPr>
            <w:tcW w:w="709" w:type="dxa"/>
            <w:shd w:val="clear" w:color="auto" w:fill="FFFFFF"/>
            <w:noWrap w:val="0"/>
            <w:vAlign w:val="center"/>
          </w:tcPr>
          <w:p w14:paraId="38A4C187">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w:t>
            </w:r>
          </w:p>
        </w:tc>
        <w:tc>
          <w:tcPr>
            <w:tcW w:w="850" w:type="dxa"/>
            <w:vMerge w:val="continue"/>
            <w:shd w:val="clear" w:color="auto" w:fill="FFFFFF"/>
            <w:noWrap w:val="0"/>
            <w:vAlign w:val="center"/>
          </w:tcPr>
          <w:p w14:paraId="2446160A">
            <w:pPr>
              <w:adjustRightInd w:val="0"/>
              <w:snapToGrid w:val="0"/>
              <w:jc w:val="center"/>
              <w:rPr>
                <w:rFonts w:hint="default" w:ascii="Arial" w:hAnsi="Arial" w:eastAsia="宋体" w:cs="Arial"/>
                <w:b w:val="0"/>
                <w:color w:val="000000"/>
                <w:szCs w:val="21"/>
              </w:rPr>
            </w:pPr>
          </w:p>
        </w:tc>
        <w:tc>
          <w:tcPr>
            <w:tcW w:w="852" w:type="dxa"/>
            <w:shd w:val="clear" w:color="auto" w:fill="FFFFFF"/>
            <w:noWrap w:val="0"/>
            <w:vAlign w:val="center"/>
          </w:tcPr>
          <w:p w14:paraId="377CFB96">
            <w:pPr>
              <w:adjustRightInd w:val="0"/>
              <w:snapToGrid w:val="0"/>
              <w:jc w:val="center"/>
              <w:rPr>
                <w:rFonts w:hint="default" w:ascii="Arial" w:hAnsi="Arial" w:eastAsia="宋体" w:cs="Arial"/>
                <w:b w:val="0"/>
                <w:color w:val="000000"/>
                <w:szCs w:val="21"/>
              </w:rPr>
            </w:pPr>
            <w:r>
              <w:rPr>
                <w:rFonts w:hint="default" w:ascii="Arial" w:hAnsi="Arial" w:eastAsia="宋体" w:cs="Arial"/>
                <w:b w:val="0"/>
                <w:color w:val="000000"/>
                <w:szCs w:val="21"/>
              </w:rPr>
              <w:t>20</w:t>
            </w:r>
          </w:p>
        </w:tc>
        <w:tc>
          <w:tcPr>
            <w:tcW w:w="850" w:type="dxa"/>
            <w:shd w:val="clear" w:color="auto" w:fill="FFFFFF"/>
            <w:noWrap w:val="0"/>
            <w:vAlign w:val="center"/>
          </w:tcPr>
          <w:p w14:paraId="50683CA7">
            <w:pPr>
              <w:keepNext w:val="0"/>
              <w:keepLines w:val="0"/>
              <w:widowControl/>
              <w:suppressLineNumbers w:val="0"/>
              <w:jc w:val="center"/>
              <w:textAlignment w:val="center"/>
              <w:rPr>
                <w:rFonts w:hint="default" w:ascii="Arial" w:hAnsi="Arial" w:eastAsia="宋体" w:cs="Arial"/>
                <w:b w:val="0"/>
                <w:color w:val="000000"/>
                <w:szCs w:val="21"/>
              </w:rPr>
            </w:pPr>
            <w:r>
              <w:rPr>
                <w:rFonts w:hint="default" w:ascii="Arial" w:hAnsi="Arial" w:eastAsia="宋体" w:cs="Arial"/>
                <w:i w:val="0"/>
                <w:iCs w:val="0"/>
                <w:color w:val="000000"/>
                <w:kern w:val="0"/>
                <w:sz w:val="21"/>
                <w:szCs w:val="21"/>
                <w:u w:val="none"/>
                <w:lang w:val="en-US" w:eastAsia="zh-CN" w:bidi="ar"/>
              </w:rPr>
              <w:t xml:space="preserve">0.014 </w:t>
            </w:r>
          </w:p>
        </w:tc>
        <w:tc>
          <w:tcPr>
            <w:tcW w:w="741" w:type="dxa"/>
            <w:vMerge w:val="continue"/>
            <w:shd w:val="clear" w:color="auto" w:fill="FFFFFF"/>
            <w:noWrap w:val="0"/>
            <w:vAlign w:val="center"/>
          </w:tcPr>
          <w:p w14:paraId="4B3AD1C4">
            <w:pPr>
              <w:adjustRightInd w:val="0"/>
              <w:snapToGrid w:val="0"/>
              <w:jc w:val="center"/>
              <w:rPr>
                <w:rFonts w:hint="default" w:ascii="Arial" w:hAnsi="Arial" w:eastAsia="宋体" w:cs="Arial"/>
                <w:b w:val="0"/>
                <w:color w:val="000000"/>
                <w:szCs w:val="21"/>
              </w:rPr>
            </w:pPr>
          </w:p>
        </w:tc>
      </w:tr>
      <w:tr w14:paraId="4E24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72EBC9A0">
            <w:pPr>
              <w:adjustRightInd w:val="0"/>
              <w:snapToGrid w:val="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6E46F24E">
            <w:pPr>
              <w:adjustRightInd w:val="0"/>
              <w:snapToGrid w:val="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6D3727A4">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5B1B46ED">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石油类</w:t>
            </w:r>
          </w:p>
        </w:tc>
        <w:tc>
          <w:tcPr>
            <w:tcW w:w="852" w:type="dxa"/>
            <w:shd w:val="clear" w:color="auto" w:fill="FFFFFF"/>
            <w:noWrap w:val="0"/>
            <w:vAlign w:val="center"/>
          </w:tcPr>
          <w:p w14:paraId="72D67803">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类比法</w:t>
            </w:r>
          </w:p>
        </w:tc>
        <w:tc>
          <w:tcPr>
            <w:tcW w:w="850" w:type="dxa"/>
            <w:vMerge w:val="continue"/>
            <w:shd w:val="clear" w:color="auto" w:fill="FFFFFF"/>
            <w:noWrap w:val="0"/>
            <w:vAlign w:val="center"/>
          </w:tcPr>
          <w:p w14:paraId="6F2F76D6">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2526AACA">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260</w:t>
            </w:r>
          </w:p>
        </w:tc>
        <w:tc>
          <w:tcPr>
            <w:tcW w:w="992" w:type="dxa"/>
            <w:shd w:val="clear" w:color="auto" w:fill="FFFFFF"/>
            <w:noWrap w:val="0"/>
            <w:vAlign w:val="center"/>
          </w:tcPr>
          <w:p w14:paraId="112DD717">
            <w:pPr>
              <w:keepNext w:val="0"/>
              <w:keepLines w:val="0"/>
              <w:widowControl/>
              <w:suppressLineNumbers w:val="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 xml:space="preserve">0.222 </w:t>
            </w:r>
          </w:p>
        </w:tc>
        <w:tc>
          <w:tcPr>
            <w:tcW w:w="1276" w:type="dxa"/>
            <w:vMerge w:val="continue"/>
            <w:shd w:val="clear" w:color="auto" w:fill="FFFFFF"/>
            <w:noWrap w:val="0"/>
            <w:vAlign w:val="center"/>
          </w:tcPr>
          <w:p w14:paraId="3B0FF8D3">
            <w:pPr>
              <w:adjustRightInd w:val="0"/>
              <w:snapToGrid w:val="0"/>
              <w:jc w:val="center"/>
              <w:rPr>
                <w:rFonts w:hint="default" w:ascii="Arial" w:hAnsi="Arial" w:eastAsia="宋体" w:cs="Arial"/>
                <w:b w:val="0"/>
                <w:color w:val="000000"/>
                <w:szCs w:val="21"/>
              </w:rPr>
            </w:pPr>
          </w:p>
        </w:tc>
        <w:tc>
          <w:tcPr>
            <w:tcW w:w="709" w:type="dxa"/>
            <w:shd w:val="clear" w:color="auto" w:fill="FFFFFF"/>
            <w:noWrap w:val="0"/>
            <w:vAlign w:val="center"/>
          </w:tcPr>
          <w:p w14:paraId="2B34B9F8">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95</w:t>
            </w:r>
          </w:p>
        </w:tc>
        <w:tc>
          <w:tcPr>
            <w:tcW w:w="709" w:type="dxa"/>
            <w:shd w:val="clear" w:color="auto" w:fill="FFFFFF"/>
            <w:noWrap w:val="0"/>
            <w:vAlign w:val="center"/>
          </w:tcPr>
          <w:p w14:paraId="47576A45">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w:t>
            </w:r>
          </w:p>
        </w:tc>
        <w:tc>
          <w:tcPr>
            <w:tcW w:w="850" w:type="dxa"/>
            <w:vMerge w:val="continue"/>
            <w:shd w:val="clear" w:color="auto" w:fill="FFFFFF"/>
            <w:noWrap w:val="0"/>
            <w:vAlign w:val="center"/>
          </w:tcPr>
          <w:p w14:paraId="73EA4771">
            <w:pPr>
              <w:adjustRightInd w:val="0"/>
              <w:snapToGrid w:val="0"/>
              <w:jc w:val="center"/>
              <w:rPr>
                <w:rFonts w:hint="default" w:ascii="Arial" w:hAnsi="Arial" w:eastAsia="宋体" w:cs="Arial"/>
                <w:b w:val="0"/>
                <w:color w:val="000000"/>
                <w:szCs w:val="21"/>
              </w:rPr>
            </w:pPr>
          </w:p>
        </w:tc>
        <w:tc>
          <w:tcPr>
            <w:tcW w:w="852" w:type="dxa"/>
            <w:shd w:val="clear" w:color="auto" w:fill="FFFFFF"/>
            <w:noWrap w:val="0"/>
            <w:vAlign w:val="center"/>
          </w:tcPr>
          <w:p w14:paraId="6C7802F7">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13</w:t>
            </w:r>
          </w:p>
        </w:tc>
        <w:tc>
          <w:tcPr>
            <w:tcW w:w="850" w:type="dxa"/>
            <w:shd w:val="clear" w:color="auto" w:fill="FFFFFF"/>
            <w:noWrap w:val="0"/>
            <w:vAlign w:val="center"/>
          </w:tcPr>
          <w:p w14:paraId="51950CFE">
            <w:pPr>
              <w:keepNext w:val="0"/>
              <w:keepLines w:val="0"/>
              <w:widowControl/>
              <w:suppressLineNumbers w:val="0"/>
              <w:jc w:val="center"/>
              <w:textAlignment w:val="center"/>
              <w:rPr>
                <w:rFonts w:hint="default" w:ascii="Arial" w:hAnsi="Arial" w:eastAsia="宋体" w:cs="Arial"/>
                <w:b w:val="0"/>
                <w:color w:val="000000"/>
                <w:szCs w:val="21"/>
                <w:lang w:val="en-US" w:eastAsia="zh-CN"/>
              </w:rPr>
            </w:pPr>
            <w:r>
              <w:rPr>
                <w:rFonts w:hint="default" w:ascii="Arial" w:hAnsi="Arial" w:eastAsia="宋体" w:cs="Arial"/>
                <w:i w:val="0"/>
                <w:iCs w:val="0"/>
                <w:color w:val="000000"/>
                <w:kern w:val="0"/>
                <w:sz w:val="21"/>
                <w:szCs w:val="21"/>
                <w:u w:val="none"/>
                <w:lang w:val="en-US" w:eastAsia="zh-CN" w:bidi="ar"/>
              </w:rPr>
              <w:t xml:space="preserve">0.009 </w:t>
            </w:r>
          </w:p>
        </w:tc>
        <w:tc>
          <w:tcPr>
            <w:tcW w:w="741" w:type="dxa"/>
            <w:vMerge w:val="continue"/>
            <w:shd w:val="clear" w:color="auto" w:fill="FFFFFF"/>
            <w:noWrap w:val="0"/>
            <w:vAlign w:val="center"/>
          </w:tcPr>
          <w:p w14:paraId="33F4125E">
            <w:pPr>
              <w:adjustRightInd w:val="0"/>
              <w:snapToGrid w:val="0"/>
              <w:jc w:val="center"/>
              <w:rPr>
                <w:rFonts w:hint="default" w:ascii="Arial" w:hAnsi="Arial" w:eastAsia="宋体" w:cs="Arial"/>
                <w:b w:val="0"/>
                <w:color w:val="000000"/>
                <w:szCs w:val="21"/>
              </w:rPr>
            </w:pPr>
          </w:p>
        </w:tc>
      </w:tr>
      <w:tr w14:paraId="7259C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1" w:type="dxa"/>
            <w:vMerge w:val="continue"/>
            <w:shd w:val="clear" w:color="auto" w:fill="FFFFFF"/>
            <w:noWrap w:val="0"/>
            <w:vAlign w:val="center"/>
          </w:tcPr>
          <w:p w14:paraId="64AAF725">
            <w:pPr>
              <w:adjustRightInd w:val="0"/>
              <w:snapToGrid w:val="0"/>
              <w:jc w:val="center"/>
              <w:rPr>
                <w:rFonts w:hint="default" w:ascii="Arial" w:hAnsi="Arial" w:eastAsia="宋体" w:cs="Arial"/>
                <w:b w:val="0"/>
                <w:color w:val="000000"/>
                <w:szCs w:val="21"/>
              </w:rPr>
            </w:pPr>
          </w:p>
        </w:tc>
        <w:tc>
          <w:tcPr>
            <w:tcW w:w="709" w:type="dxa"/>
            <w:vMerge w:val="continue"/>
            <w:shd w:val="clear" w:color="auto" w:fill="FFFFFF"/>
            <w:noWrap w:val="0"/>
            <w:vAlign w:val="center"/>
          </w:tcPr>
          <w:p w14:paraId="62F5AC81">
            <w:pPr>
              <w:adjustRightInd w:val="0"/>
              <w:snapToGrid w:val="0"/>
              <w:jc w:val="center"/>
              <w:rPr>
                <w:rFonts w:hint="default" w:ascii="Arial" w:hAnsi="Arial" w:eastAsia="宋体" w:cs="Arial"/>
                <w:b w:val="0"/>
                <w:color w:val="000000"/>
                <w:szCs w:val="21"/>
              </w:rPr>
            </w:pPr>
          </w:p>
        </w:tc>
        <w:tc>
          <w:tcPr>
            <w:tcW w:w="1133" w:type="dxa"/>
            <w:vMerge w:val="continue"/>
            <w:shd w:val="clear" w:color="auto" w:fill="FFFFFF"/>
            <w:noWrap w:val="0"/>
            <w:vAlign w:val="center"/>
          </w:tcPr>
          <w:p w14:paraId="03F72FA6">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5B4B5A0F">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总氮</w:t>
            </w:r>
          </w:p>
        </w:tc>
        <w:tc>
          <w:tcPr>
            <w:tcW w:w="852" w:type="dxa"/>
            <w:shd w:val="clear" w:color="auto" w:fill="FFFFFF"/>
            <w:noWrap w:val="0"/>
            <w:vAlign w:val="center"/>
          </w:tcPr>
          <w:p w14:paraId="1004C28F">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rPr>
              <w:t>类比法</w:t>
            </w:r>
          </w:p>
        </w:tc>
        <w:tc>
          <w:tcPr>
            <w:tcW w:w="850" w:type="dxa"/>
            <w:vMerge w:val="continue"/>
            <w:shd w:val="clear" w:color="auto" w:fill="FFFFFF"/>
            <w:noWrap w:val="0"/>
            <w:vAlign w:val="center"/>
          </w:tcPr>
          <w:p w14:paraId="401C8A6B">
            <w:pPr>
              <w:adjustRightInd w:val="0"/>
              <w:snapToGrid w:val="0"/>
              <w:jc w:val="center"/>
              <w:rPr>
                <w:rFonts w:hint="default" w:ascii="Arial" w:hAnsi="Arial" w:eastAsia="宋体" w:cs="Arial"/>
                <w:b w:val="0"/>
                <w:color w:val="000000"/>
                <w:szCs w:val="21"/>
              </w:rPr>
            </w:pPr>
          </w:p>
        </w:tc>
        <w:tc>
          <w:tcPr>
            <w:tcW w:w="1133" w:type="dxa"/>
            <w:shd w:val="clear" w:color="auto" w:fill="FFFFFF"/>
            <w:noWrap w:val="0"/>
            <w:vAlign w:val="center"/>
          </w:tcPr>
          <w:p w14:paraId="1714923E">
            <w:pPr>
              <w:adjustRightInd w:val="0"/>
              <w:snapToGrid w:val="0"/>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200</w:t>
            </w:r>
          </w:p>
        </w:tc>
        <w:tc>
          <w:tcPr>
            <w:tcW w:w="992" w:type="dxa"/>
            <w:shd w:val="clear" w:color="auto" w:fill="FFFFFF"/>
            <w:noWrap w:val="0"/>
            <w:vAlign w:val="center"/>
          </w:tcPr>
          <w:p w14:paraId="6E56CD12">
            <w:pPr>
              <w:keepNext w:val="0"/>
              <w:keepLines w:val="0"/>
              <w:widowControl/>
              <w:suppressLineNumbers w:val="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w:t>
            </w:r>
            <w:r>
              <w:rPr>
                <w:rFonts w:hint="eastAsia" w:ascii="Arial" w:hAnsi="Arial" w:eastAsia="宋体" w:cs="Arial"/>
                <w:i w:val="0"/>
                <w:iCs w:val="0"/>
                <w:color w:val="000000"/>
                <w:kern w:val="0"/>
                <w:sz w:val="21"/>
                <w:szCs w:val="21"/>
                <w:u w:val="none"/>
                <w:lang w:val="en-US" w:eastAsia="zh-CN" w:bidi="ar"/>
              </w:rPr>
              <w:t>171</w:t>
            </w:r>
          </w:p>
        </w:tc>
        <w:tc>
          <w:tcPr>
            <w:tcW w:w="1276" w:type="dxa"/>
            <w:vMerge w:val="continue"/>
            <w:shd w:val="clear" w:color="auto" w:fill="FFFFFF"/>
            <w:noWrap w:val="0"/>
            <w:vAlign w:val="center"/>
          </w:tcPr>
          <w:p w14:paraId="6C2A69A7">
            <w:pPr>
              <w:adjustRightInd w:val="0"/>
              <w:snapToGrid w:val="0"/>
              <w:jc w:val="center"/>
              <w:rPr>
                <w:rFonts w:hint="default" w:ascii="Arial" w:hAnsi="Arial" w:eastAsia="宋体" w:cs="Arial"/>
                <w:b w:val="0"/>
                <w:color w:val="000000"/>
                <w:szCs w:val="21"/>
              </w:rPr>
            </w:pPr>
          </w:p>
        </w:tc>
        <w:tc>
          <w:tcPr>
            <w:tcW w:w="709" w:type="dxa"/>
            <w:shd w:val="clear" w:color="auto" w:fill="FFFFFF"/>
            <w:noWrap w:val="0"/>
            <w:vAlign w:val="center"/>
          </w:tcPr>
          <w:p w14:paraId="546A5985">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70</w:t>
            </w:r>
          </w:p>
        </w:tc>
        <w:tc>
          <w:tcPr>
            <w:tcW w:w="709" w:type="dxa"/>
            <w:shd w:val="clear" w:color="auto" w:fill="FFFFFF"/>
            <w:noWrap w:val="0"/>
            <w:vAlign w:val="center"/>
          </w:tcPr>
          <w:p w14:paraId="5BDBAC5D">
            <w:pPr>
              <w:adjustRightInd w:val="0"/>
              <w:snapToGrid w:val="0"/>
              <w:jc w:val="center"/>
              <w:rPr>
                <w:rFonts w:hint="default" w:ascii="Arial" w:hAnsi="Arial" w:eastAsia="宋体" w:cs="Arial"/>
                <w:b w:val="0"/>
                <w:color w:val="000000"/>
                <w:szCs w:val="21"/>
                <w:lang w:val="en-US" w:eastAsia="zh-CN"/>
              </w:rPr>
            </w:pPr>
            <w:r>
              <w:rPr>
                <w:rFonts w:hint="default" w:ascii="Arial" w:hAnsi="Arial" w:eastAsia="宋体" w:cs="Arial"/>
                <w:b w:val="0"/>
                <w:color w:val="000000"/>
                <w:szCs w:val="21"/>
                <w:lang w:val="en-US" w:eastAsia="zh-CN"/>
              </w:rPr>
              <w:t>--</w:t>
            </w:r>
          </w:p>
        </w:tc>
        <w:tc>
          <w:tcPr>
            <w:tcW w:w="850" w:type="dxa"/>
            <w:vMerge w:val="continue"/>
            <w:shd w:val="clear" w:color="auto" w:fill="FFFFFF"/>
            <w:noWrap w:val="0"/>
            <w:vAlign w:val="center"/>
          </w:tcPr>
          <w:p w14:paraId="0609876D">
            <w:pPr>
              <w:adjustRightInd w:val="0"/>
              <w:snapToGrid w:val="0"/>
              <w:jc w:val="center"/>
              <w:rPr>
                <w:rFonts w:hint="default" w:ascii="Arial" w:hAnsi="Arial" w:eastAsia="宋体" w:cs="Arial"/>
                <w:b w:val="0"/>
                <w:color w:val="000000"/>
                <w:szCs w:val="21"/>
              </w:rPr>
            </w:pPr>
          </w:p>
        </w:tc>
        <w:tc>
          <w:tcPr>
            <w:tcW w:w="852" w:type="dxa"/>
            <w:shd w:val="clear" w:color="auto" w:fill="FFFFFF"/>
            <w:noWrap w:val="0"/>
            <w:vAlign w:val="center"/>
          </w:tcPr>
          <w:p w14:paraId="2D7ABE39">
            <w:pPr>
              <w:adjustRightInd w:val="0"/>
              <w:snapToGrid w:val="0"/>
              <w:jc w:val="center"/>
              <w:rPr>
                <w:rFonts w:hint="default" w:ascii="Arial" w:hAnsi="Arial" w:eastAsia="宋体" w:cs="Arial"/>
                <w:b w:val="0"/>
                <w:color w:val="000000"/>
                <w:szCs w:val="21"/>
                <w:lang w:val="en-US" w:eastAsia="zh-CN"/>
              </w:rPr>
            </w:pPr>
            <w:r>
              <w:rPr>
                <w:rFonts w:hint="eastAsia" w:ascii="Arial" w:hAnsi="Arial" w:eastAsia="宋体" w:cs="Arial"/>
                <w:b w:val="0"/>
                <w:color w:val="000000"/>
                <w:szCs w:val="21"/>
                <w:lang w:val="en-US" w:eastAsia="zh-CN"/>
              </w:rPr>
              <w:t>60</w:t>
            </w:r>
          </w:p>
        </w:tc>
        <w:tc>
          <w:tcPr>
            <w:tcW w:w="850" w:type="dxa"/>
            <w:shd w:val="clear" w:color="auto" w:fill="FFFFFF"/>
            <w:noWrap w:val="0"/>
            <w:vAlign w:val="center"/>
          </w:tcPr>
          <w:p w14:paraId="29C47A9F">
            <w:pPr>
              <w:keepNext w:val="0"/>
              <w:keepLines w:val="0"/>
              <w:widowControl/>
              <w:suppressLineNumbers w:val="0"/>
              <w:jc w:val="center"/>
              <w:textAlignment w:val="center"/>
              <w:rPr>
                <w:rFonts w:hint="default" w:ascii="Arial" w:hAnsi="Arial" w:eastAsia="宋体" w:cs="Arial"/>
                <w:b w:val="0"/>
                <w:color w:val="000000"/>
                <w:szCs w:val="21"/>
                <w:lang w:val="en-US" w:eastAsia="zh-CN"/>
              </w:rPr>
            </w:pPr>
            <w:r>
              <w:rPr>
                <w:rFonts w:hint="default" w:ascii="Arial" w:hAnsi="Arial" w:eastAsia="宋体" w:cs="Arial"/>
                <w:i w:val="0"/>
                <w:iCs w:val="0"/>
                <w:color w:val="000000"/>
                <w:kern w:val="0"/>
                <w:sz w:val="21"/>
                <w:szCs w:val="21"/>
                <w:u w:val="none"/>
                <w:lang w:val="en-US" w:eastAsia="zh-CN" w:bidi="ar"/>
              </w:rPr>
              <w:t>0.00</w:t>
            </w:r>
            <w:r>
              <w:rPr>
                <w:rFonts w:hint="eastAsia" w:ascii="Arial" w:hAnsi="Arial" w:eastAsia="宋体" w:cs="Arial"/>
                <w:i w:val="0"/>
                <w:iCs w:val="0"/>
                <w:color w:val="000000"/>
                <w:kern w:val="0"/>
                <w:sz w:val="21"/>
                <w:szCs w:val="21"/>
                <w:u w:val="none"/>
                <w:lang w:val="en-US" w:eastAsia="zh-CN" w:bidi="ar"/>
              </w:rPr>
              <w:t>4</w:t>
            </w:r>
            <w:r>
              <w:rPr>
                <w:rFonts w:hint="default" w:ascii="Arial" w:hAnsi="Arial" w:eastAsia="宋体" w:cs="Arial"/>
                <w:i w:val="0"/>
                <w:iCs w:val="0"/>
                <w:color w:val="000000"/>
                <w:kern w:val="0"/>
                <w:sz w:val="21"/>
                <w:szCs w:val="21"/>
                <w:u w:val="none"/>
                <w:lang w:val="en-US" w:eastAsia="zh-CN" w:bidi="ar"/>
              </w:rPr>
              <w:t xml:space="preserve"> </w:t>
            </w:r>
          </w:p>
        </w:tc>
        <w:tc>
          <w:tcPr>
            <w:tcW w:w="741" w:type="dxa"/>
            <w:vMerge w:val="continue"/>
            <w:shd w:val="clear" w:color="auto" w:fill="FFFFFF"/>
            <w:noWrap w:val="0"/>
            <w:vAlign w:val="center"/>
          </w:tcPr>
          <w:p w14:paraId="6CC61394">
            <w:pPr>
              <w:adjustRightInd w:val="0"/>
              <w:snapToGrid w:val="0"/>
              <w:jc w:val="center"/>
              <w:rPr>
                <w:rFonts w:hint="default" w:ascii="Arial" w:hAnsi="Arial" w:eastAsia="宋体" w:cs="Arial"/>
                <w:b w:val="0"/>
                <w:color w:val="000000"/>
                <w:szCs w:val="21"/>
              </w:rPr>
            </w:pPr>
          </w:p>
        </w:tc>
      </w:tr>
    </w:tbl>
    <w:p w14:paraId="5B05C454">
      <w:pPr>
        <w:spacing w:line="360" w:lineRule="auto"/>
        <w:rPr>
          <w:rFonts w:hint="default" w:ascii="Arial" w:hAnsi="Arial" w:eastAsia="宋体" w:cs="Arial"/>
          <w:sz w:val="24"/>
          <w:szCs w:val="20"/>
          <w:lang w:val="en-GB"/>
        </w:rPr>
        <w:sectPr>
          <w:headerReference r:id="rId24" w:type="default"/>
          <w:pgSz w:w="16838" w:h="11906" w:orient="landscape"/>
          <w:pgMar w:top="1287" w:right="1440" w:bottom="1287" w:left="1440"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p>
    <w:p w14:paraId="47511A7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Arial" w:hAnsi="Arial" w:eastAsia="宋体" w:cs="Arial"/>
          <w:sz w:val="24"/>
          <w:szCs w:val="20"/>
          <w:lang w:val="en-GB"/>
        </w:rPr>
      </w:pPr>
      <w:r>
        <w:rPr>
          <w:rFonts w:hint="default" w:ascii="Arial" w:hAnsi="Arial" w:eastAsia="宋体" w:cs="Arial"/>
          <w:sz w:val="24"/>
          <w:szCs w:val="20"/>
          <w:lang w:val="en-GB"/>
        </w:rPr>
        <w:t>项目废水类别、污染物及污染治理设施信息表详见表4-</w:t>
      </w:r>
      <w:r>
        <w:rPr>
          <w:rFonts w:hint="eastAsia" w:ascii="Arial" w:hAnsi="Arial" w:eastAsia="宋体" w:cs="Arial"/>
          <w:sz w:val="24"/>
          <w:szCs w:val="20"/>
          <w:lang w:val="en-US" w:eastAsia="zh-CN"/>
        </w:rPr>
        <w:t>5</w:t>
      </w:r>
      <w:r>
        <w:rPr>
          <w:rFonts w:hint="default" w:ascii="Arial" w:hAnsi="Arial" w:eastAsia="宋体" w:cs="Arial"/>
          <w:sz w:val="24"/>
          <w:szCs w:val="20"/>
          <w:lang w:val="en-GB"/>
        </w:rPr>
        <w:t>。</w:t>
      </w:r>
    </w:p>
    <w:p w14:paraId="3C6F2A84">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废水类别、污染物及污染治理设施信息表</w:t>
      </w:r>
    </w:p>
    <w:tbl>
      <w:tblPr>
        <w:tblStyle w:val="52"/>
        <w:tblW w:w="4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
        <w:gridCol w:w="396"/>
        <w:gridCol w:w="722"/>
        <w:gridCol w:w="707"/>
        <w:gridCol w:w="1091"/>
        <w:gridCol w:w="645"/>
        <w:gridCol w:w="645"/>
        <w:gridCol w:w="645"/>
        <w:gridCol w:w="781"/>
        <w:gridCol w:w="954"/>
        <w:gridCol w:w="1065"/>
      </w:tblGrid>
      <w:tr w14:paraId="6F27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vMerge w:val="restart"/>
            <w:vAlign w:val="center"/>
          </w:tcPr>
          <w:p w14:paraId="059779C2">
            <w:pPr>
              <w:spacing w:line="240" w:lineRule="exact"/>
              <w:jc w:val="center"/>
              <w:rPr>
                <w:rFonts w:hint="default" w:ascii="Arial" w:hAnsi="Arial" w:eastAsia="宋体" w:cs="Arial"/>
                <w:szCs w:val="21"/>
              </w:rPr>
            </w:pPr>
            <w:r>
              <w:rPr>
                <w:rFonts w:hint="default" w:ascii="Arial" w:hAnsi="Arial" w:eastAsia="宋体" w:cs="Arial"/>
                <w:szCs w:val="21"/>
              </w:rPr>
              <w:t>序号</w:t>
            </w:r>
          </w:p>
        </w:tc>
        <w:tc>
          <w:tcPr>
            <w:tcW w:w="396" w:type="dxa"/>
            <w:vMerge w:val="restart"/>
            <w:vAlign w:val="center"/>
          </w:tcPr>
          <w:p w14:paraId="26F5F55D">
            <w:pPr>
              <w:spacing w:line="240" w:lineRule="exact"/>
              <w:jc w:val="center"/>
              <w:rPr>
                <w:rFonts w:hint="default" w:ascii="Arial" w:hAnsi="Arial" w:eastAsia="宋体" w:cs="Arial"/>
                <w:szCs w:val="21"/>
              </w:rPr>
            </w:pPr>
            <w:r>
              <w:rPr>
                <w:rFonts w:hint="default" w:ascii="Arial" w:hAnsi="Arial" w:eastAsia="宋体" w:cs="Arial"/>
                <w:szCs w:val="21"/>
              </w:rPr>
              <w:t>废水类别</w:t>
            </w:r>
          </w:p>
        </w:tc>
        <w:tc>
          <w:tcPr>
            <w:tcW w:w="721" w:type="dxa"/>
            <w:vMerge w:val="restart"/>
            <w:vAlign w:val="center"/>
          </w:tcPr>
          <w:p w14:paraId="402A8D62">
            <w:pPr>
              <w:spacing w:line="240" w:lineRule="exact"/>
              <w:jc w:val="center"/>
              <w:rPr>
                <w:rFonts w:hint="default" w:ascii="Arial" w:hAnsi="Arial" w:eastAsia="宋体" w:cs="Arial"/>
                <w:szCs w:val="21"/>
              </w:rPr>
            </w:pPr>
            <w:r>
              <w:rPr>
                <w:rFonts w:hint="default" w:ascii="Arial" w:hAnsi="Arial" w:eastAsia="宋体" w:cs="Arial"/>
                <w:szCs w:val="21"/>
              </w:rPr>
              <w:t>污染物种类</w:t>
            </w:r>
          </w:p>
        </w:tc>
        <w:tc>
          <w:tcPr>
            <w:tcW w:w="706" w:type="dxa"/>
            <w:vMerge w:val="restart"/>
            <w:vAlign w:val="center"/>
          </w:tcPr>
          <w:p w14:paraId="18F72099">
            <w:pPr>
              <w:spacing w:line="240" w:lineRule="exact"/>
              <w:jc w:val="center"/>
              <w:rPr>
                <w:rFonts w:hint="default" w:ascii="Arial" w:hAnsi="Arial" w:eastAsia="宋体" w:cs="Arial"/>
                <w:szCs w:val="21"/>
              </w:rPr>
            </w:pPr>
            <w:r>
              <w:rPr>
                <w:rFonts w:hint="default" w:ascii="Arial" w:hAnsi="Arial" w:eastAsia="宋体" w:cs="Arial"/>
                <w:szCs w:val="21"/>
              </w:rPr>
              <w:t>排放去向</w:t>
            </w:r>
          </w:p>
        </w:tc>
        <w:tc>
          <w:tcPr>
            <w:tcW w:w="1090" w:type="dxa"/>
            <w:vMerge w:val="restart"/>
            <w:vAlign w:val="center"/>
          </w:tcPr>
          <w:p w14:paraId="2595C116">
            <w:pPr>
              <w:spacing w:line="240" w:lineRule="exact"/>
              <w:jc w:val="center"/>
              <w:rPr>
                <w:rFonts w:hint="default" w:ascii="Arial" w:hAnsi="Arial" w:eastAsia="宋体" w:cs="Arial"/>
                <w:szCs w:val="21"/>
              </w:rPr>
            </w:pPr>
            <w:r>
              <w:rPr>
                <w:rFonts w:hint="default" w:ascii="Arial" w:hAnsi="Arial" w:eastAsia="宋体" w:cs="Arial"/>
                <w:szCs w:val="21"/>
              </w:rPr>
              <w:t>排放规律</w:t>
            </w:r>
          </w:p>
        </w:tc>
        <w:tc>
          <w:tcPr>
            <w:tcW w:w="1932" w:type="dxa"/>
            <w:gridSpan w:val="3"/>
            <w:vAlign w:val="center"/>
          </w:tcPr>
          <w:p w14:paraId="5898522C">
            <w:pPr>
              <w:spacing w:line="240" w:lineRule="exact"/>
              <w:jc w:val="center"/>
              <w:rPr>
                <w:rFonts w:hint="default" w:ascii="Arial" w:hAnsi="Arial" w:eastAsia="宋体" w:cs="Arial"/>
                <w:szCs w:val="21"/>
              </w:rPr>
            </w:pPr>
            <w:r>
              <w:rPr>
                <w:rFonts w:hint="default" w:ascii="Arial" w:hAnsi="Arial" w:eastAsia="宋体" w:cs="Arial"/>
                <w:szCs w:val="21"/>
              </w:rPr>
              <w:t>污染治理设施</w:t>
            </w:r>
          </w:p>
        </w:tc>
        <w:tc>
          <w:tcPr>
            <w:tcW w:w="780" w:type="dxa"/>
            <w:vMerge w:val="restart"/>
            <w:vAlign w:val="center"/>
          </w:tcPr>
          <w:p w14:paraId="495CFFE3">
            <w:pPr>
              <w:spacing w:line="240" w:lineRule="exact"/>
              <w:jc w:val="center"/>
              <w:rPr>
                <w:rFonts w:hint="default" w:ascii="Arial" w:hAnsi="Arial" w:eastAsia="宋体" w:cs="Arial"/>
                <w:szCs w:val="21"/>
              </w:rPr>
            </w:pPr>
            <w:r>
              <w:rPr>
                <w:rFonts w:hint="default" w:ascii="Arial" w:hAnsi="Arial" w:eastAsia="宋体" w:cs="Arial"/>
                <w:szCs w:val="21"/>
              </w:rPr>
              <w:t>排放口编号</w:t>
            </w:r>
          </w:p>
        </w:tc>
        <w:tc>
          <w:tcPr>
            <w:tcW w:w="953" w:type="dxa"/>
            <w:vMerge w:val="restart"/>
            <w:vAlign w:val="center"/>
          </w:tcPr>
          <w:p w14:paraId="5A18F5F4">
            <w:pPr>
              <w:spacing w:line="240" w:lineRule="exact"/>
              <w:jc w:val="center"/>
              <w:rPr>
                <w:rFonts w:hint="default" w:ascii="Arial" w:hAnsi="Arial" w:eastAsia="宋体" w:cs="Arial"/>
                <w:szCs w:val="21"/>
              </w:rPr>
            </w:pPr>
            <w:r>
              <w:rPr>
                <w:rFonts w:hint="default" w:ascii="Arial" w:hAnsi="Arial" w:eastAsia="宋体" w:cs="Arial"/>
                <w:szCs w:val="21"/>
              </w:rPr>
              <w:t>排放口设置是否符合要求</w:t>
            </w:r>
          </w:p>
        </w:tc>
        <w:tc>
          <w:tcPr>
            <w:tcW w:w="1064" w:type="dxa"/>
            <w:vMerge w:val="restart"/>
            <w:vAlign w:val="center"/>
          </w:tcPr>
          <w:p w14:paraId="5C64D184">
            <w:pPr>
              <w:spacing w:line="240" w:lineRule="exact"/>
              <w:jc w:val="center"/>
              <w:rPr>
                <w:rFonts w:hint="default" w:ascii="Arial" w:hAnsi="Arial" w:eastAsia="宋体" w:cs="Arial"/>
                <w:szCs w:val="21"/>
              </w:rPr>
            </w:pPr>
            <w:r>
              <w:rPr>
                <w:rFonts w:hint="default" w:ascii="Arial" w:hAnsi="Arial" w:eastAsia="宋体" w:cs="Arial"/>
                <w:szCs w:val="21"/>
              </w:rPr>
              <w:t>排放口类型</w:t>
            </w:r>
          </w:p>
        </w:tc>
      </w:tr>
      <w:tr w14:paraId="0559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vMerge w:val="continue"/>
            <w:vAlign w:val="center"/>
          </w:tcPr>
          <w:p w14:paraId="72D019AE">
            <w:pPr>
              <w:spacing w:line="240" w:lineRule="exact"/>
              <w:jc w:val="center"/>
              <w:rPr>
                <w:rFonts w:hint="default" w:ascii="Arial" w:hAnsi="Arial" w:eastAsia="宋体" w:cs="Arial"/>
                <w:szCs w:val="21"/>
              </w:rPr>
            </w:pPr>
          </w:p>
        </w:tc>
        <w:tc>
          <w:tcPr>
            <w:tcW w:w="396" w:type="dxa"/>
            <w:vMerge w:val="continue"/>
            <w:vAlign w:val="center"/>
          </w:tcPr>
          <w:p w14:paraId="329E009C">
            <w:pPr>
              <w:spacing w:line="240" w:lineRule="exact"/>
              <w:jc w:val="center"/>
              <w:rPr>
                <w:rFonts w:hint="default" w:ascii="Arial" w:hAnsi="Arial" w:eastAsia="宋体" w:cs="Arial"/>
                <w:szCs w:val="21"/>
              </w:rPr>
            </w:pPr>
          </w:p>
        </w:tc>
        <w:tc>
          <w:tcPr>
            <w:tcW w:w="721" w:type="dxa"/>
            <w:vMerge w:val="continue"/>
            <w:vAlign w:val="center"/>
          </w:tcPr>
          <w:p w14:paraId="03A11795">
            <w:pPr>
              <w:spacing w:line="240" w:lineRule="exact"/>
              <w:jc w:val="center"/>
              <w:rPr>
                <w:rFonts w:hint="default" w:ascii="Arial" w:hAnsi="Arial" w:eastAsia="宋体" w:cs="Arial"/>
                <w:szCs w:val="21"/>
              </w:rPr>
            </w:pPr>
          </w:p>
        </w:tc>
        <w:tc>
          <w:tcPr>
            <w:tcW w:w="706" w:type="dxa"/>
            <w:vMerge w:val="continue"/>
            <w:vAlign w:val="center"/>
          </w:tcPr>
          <w:p w14:paraId="2C4BDD32">
            <w:pPr>
              <w:spacing w:line="240" w:lineRule="exact"/>
              <w:jc w:val="center"/>
              <w:rPr>
                <w:rFonts w:hint="default" w:ascii="Arial" w:hAnsi="Arial" w:eastAsia="宋体" w:cs="Arial"/>
                <w:szCs w:val="21"/>
              </w:rPr>
            </w:pPr>
          </w:p>
        </w:tc>
        <w:tc>
          <w:tcPr>
            <w:tcW w:w="1090" w:type="dxa"/>
            <w:vMerge w:val="continue"/>
            <w:vAlign w:val="center"/>
          </w:tcPr>
          <w:p w14:paraId="008A921F">
            <w:pPr>
              <w:spacing w:line="240" w:lineRule="exact"/>
              <w:jc w:val="center"/>
              <w:rPr>
                <w:rFonts w:hint="default" w:ascii="Arial" w:hAnsi="Arial" w:eastAsia="宋体" w:cs="Arial"/>
                <w:szCs w:val="21"/>
              </w:rPr>
            </w:pPr>
          </w:p>
        </w:tc>
        <w:tc>
          <w:tcPr>
            <w:tcW w:w="644" w:type="dxa"/>
            <w:vAlign w:val="center"/>
          </w:tcPr>
          <w:p w14:paraId="07B563CE">
            <w:pPr>
              <w:spacing w:line="240" w:lineRule="exact"/>
              <w:jc w:val="center"/>
              <w:rPr>
                <w:rFonts w:hint="default" w:ascii="Arial" w:hAnsi="Arial" w:eastAsia="宋体" w:cs="Arial"/>
                <w:szCs w:val="21"/>
              </w:rPr>
            </w:pPr>
            <w:r>
              <w:rPr>
                <w:rFonts w:hint="default" w:ascii="Arial" w:hAnsi="Arial" w:eastAsia="宋体" w:cs="Arial"/>
                <w:szCs w:val="21"/>
              </w:rPr>
              <w:t>污染治理设施编号</w:t>
            </w:r>
          </w:p>
        </w:tc>
        <w:tc>
          <w:tcPr>
            <w:tcW w:w="644" w:type="dxa"/>
            <w:vAlign w:val="center"/>
          </w:tcPr>
          <w:p w14:paraId="29A50C9F">
            <w:pPr>
              <w:spacing w:line="240" w:lineRule="exact"/>
              <w:jc w:val="center"/>
              <w:rPr>
                <w:rFonts w:hint="default" w:ascii="Arial" w:hAnsi="Arial" w:eastAsia="宋体" w:cs="Arial"/>
                <w:szCs w:val="21"/>
              </w:rPr>
            </w:pPr>
            <w:r>
              <w:rPr>
                <w:rFonts w:hint="default" w:ascii="Arial" w:hAnsi="Arial" w:eastAsia="宋体" w:cs="Arial"/>
                <w:szCs w:val="21"/>
              </w:rPr>
              <w:t>污染治理设施名称</w:t>
            </w:r>
          </w:p>
        </w:tc>
        <w:tc>
          <w:tcPr>
            <w:tcW w:w="644" w:type="dxa"/>
            <w:vAlign w:val="center"/>
          </w:tcPr>
          <w:p w14:paraId="0386B2D0">
            <w:pPr>
              <w:spacing w:line="240" w:lineRule="exact"/>
              <w:jc w:val="center"/>
              <w:rPr>
                <w:rFonts w:hint="default" w:ascii="Arial" w:hAnsi="Arial" w:eastAsia="宋体" w:cs="Arial"/>
                <w:szCs w:val="21"/>
              </w:rPr>
            </w:pPr>
            <w:r>
              <w:rPr>
                <w:rFonts w:hint="default" w:ascii="Arial" w:hAnsi="Arial" w:eastAsia="宋体" w:cs="Arial"/>
                <w:szCs w:val="21"/>
              </w:rPr>
              <w:t>污染治理设施工艺</w:t>
            </w:r>
          </w:p>
        </w:tc>
        <w:tc>
          <w:tcPr>
            <w:tcW w:w="780" w:type="dxa"/>
            <w:vMerge w:val="continue"/>
            <w:vAlign w:val="center"/>
          </w:tcPr>
          <w:p w14:paraId="457407A3">
            <w:pPr>
              <w:spacing w:line="240" w:lineRule="exact"/>
              <w:jc w:val="center"/>
              <w:rPr>
                <w:rFonts w:hint="default" w:ascii="Arial" w:hAnsi="Arial" w:eastAsia="宋体" w:cs="Arial"/>
                <w:szCs w:val="21"/>
              </w:rPr>
            </w:pPr>
          </w:p>
        </w:tc>
        <w:tc>
          <w:tcPr>
            <w:tcW w:w="953" w:type="dxa"/>
            <w:vMerge w:val="continue"/>
            <w:vAlign w:val="center"/>
          </w:tcPr>
          <w:p w14:paraId="49283F0C">
            <w:pPr>
              <w:spacing w:line="240" w:lineRule="exact"/>
              <w:jc w:val="center"/>
              <w:rPr>
                <w:rFonts w:hint="default" w:ascii="Arial" w:hAnsi="Arial" w:eastAsia="宋体" w:cs="Arial"/>
                <w:szCs w:val="21"/>
              </w:rPr>
            </w:pPr>
          </w:p>
        </w:tc>
        <w:tc>
          <w:tcPr>
            <w:tcW w:w="1064" w:type="dxa"/>
            <w:vMerge w:val="continue"/>
            <w:vAlign w:val="center"/>
          </w:tcPr>
          <w:p w14:paraId="0E3C4B5B">
            <w:pPr>
              <w:spacing w:line="240" w:lineRule="exact"/>
              <w:jc w:val="center"/>
              <w:rPr>
                <w:rFonts w:hint="default" w:ascii="Arial" w:hAnsi="Arial" w:eastAsia="宋体" w:cs="Arial"/>
                <w:szCs w:val="21"/>
              </w:rPr>
            </w:pPr>
          </w:p>
        </w:tc>
      </w:tr>
      <w:tr w14:paraId="30F7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vAlign w:val="center"/>
          </w:tcPr>
          <w:p w14:paraId="7C68F1F7">
            <w:pPr>
              <w:spacing w:line="240" w:lineRule="exact"/>
              <w:jc w:val="center"/>
              <w:rPr>
                <w:rFonts w:hint="default" w:ascii="Arial" w:hAnsi="Arial" w:eastAsia="宋体" w:cs="Arial"/>
                <w:szCs w:val="21"/>
              </w:rPr>
            </w:pPr>
            <w:r>
              <w:rPr>
                <w:rFonts w:hint="default" w:ascii="Arial" w:hAnsi="Arial" w:eastAsia="宋体" w:cs="Arial"/>
                <w:szCs w:val="21"/>
              </w:rPr>
              <w:t>1</w:t>
            </w:r>
          </w:p>
        </w:tc>
        <w:tc>
          <w:tcPr>
            <w:tcW w:w="396" w:type="dxa"/>
            <w:vAlign w:val="center"/>
          </w:tcPr>
          <w:p w14:paraId="1773155E">
            <w:pPr>
              <w:spacing w:line="240" w:lineRule="exact"/>
              <w:jc w:val="center"/>
              <w:rPr>
                <w:rFonts w:hint="default" w:ascii="Arial" w:hAnsi="Arial" w:eastAsia="宋体" w:cs="Arial"/>
                <w:szCs w:val="21"/>
              </w:rPr>
            </w:pPr>
            <w:r>
              <w:rPr>
                <w:rFonts w:hint="default" w:ascii="Arial" w:hAnsi="Arial" w:eastAsia="宋体" w:cs="Arial"/>
                <w:szCs w:val="21"/>
              </w:rPr>
              <w:t>生活污水</w:t>
            </w:r>
          </w:p>
        </w:tc>
        <w:tc>
          <w:tcPr>
            <w:tcW w:w="721" w:type="dxa"/>
            <w:vAlign w:val="center"/>
          </w:tcPr>
          <w:p w14:paraId="7904C5CC">
            <w:pPr>
              <w:spacing w:line="240" w:lineRule="exact"/>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p w14:paraId="4587B3B1">
            <w:pPr>
              <w:spacing w:line="240" w:lineRule="exact"/>
              <w:jc w:val="center"/>
              <w:rPr>
                <w:rFonts w:hint="default" w:ascii="Arial" w:hAnsi="Arial" w:eastAsia="宋体" w:cs="Arial"/>
                <w:szCs w:val="21"/>
                <w:lang w:val="en-US" w:eastAsia="zh-CN"/>
              </w:rPr>
            </w:pP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tc>
        <w:tc>
          <w:tcPr>
            <w:tcW w:w="706" w:type="dxa"/>
            <w:vMerge w:val="restart"/>
            <w:vAlign w:val="center"/>
          </w:tcPr>
          <w:p w14:paraId="6966221A">
            <w:pPr>
              <w:spacing w:line="240" w:lineRule="exact"/>
              <w:jc w:val="center"/>
              <w:rPr>
                <w:rFonts w:hint="default" w:ascii="Arial" w:hAnsi="Arial" w:eastAsia="宋体" w:cs="Arial"/>
                <w:szCs w:val="21"/>
              </w:rPr>
            </w:pPr>
            <w:r>
              <w:rPr>
                <w:rFonts w:hint="default" w:ascii="Arial" w:hAnsi="Arial" w:eastAsia="宋体" w:cs="Arial"/>
                <w:szCs w:val="21"/>
              </w:rPr>
              <w:t>进入嘉兴市联合污水处理厂</w:t>
            </w:r>
          </w:p>
        </w:tc>
        <w:tc>
          <w:tcPr>
            <w:tcW w:w="1090" w:type="dxa"/>
            <w:vMerge w:val="restart"/>
            <w:vAlign w:val="center"/>
          </w:tcPr>
          <w:p w14:paraId="1183D07C">
            <w:pPr>
              <w:spacing w:line="240" w:lineRule="exact"/>
              <w:jc w:val="center"/>
              <w:rPr>
                <w:rFonts w:hint="default" w:ascii="Arial" w:hAnsi="Arial" w:eastAsia="宋体" w:cs="Arial"/>
                <w:szCs w:val="21"/>
              </w:rPr>
            </w:pPr>
            <w:r>
              <w:rPr>
                <w:rFonts w:hint="default" w:ascii="Arial" w:hAnsi="Arial" w:eastAsia="宋体" w:cs="Arial"/>
                <w:szCs w:val="21"/>
              </w:rPr>
              <w:t>间断排放，排放期间流量不稳定，但不属于冲击型排放</w:t>
            </w:r>
          </w:p>
        </w:tc>
        <w:tc>
          <w:tcPr>
            <w:tcW w:w="644" w:type="dxa"/>
            <w:vAlign w:val="center"/>
          </w:tcPr>
          <w:p w14:paraId="3AE98596">
            <w:pPr>
              <w:spacing w:line="240" w:lineRule="exact"/>
              <w:jc w:val="center"/>
              <w:rPr>
                <w:rFonts w:hint="default" w:ascii="Arial" w:hAnsi="Arial" w:eastAsia="宋体" w:cs="Arial"/>
                <w:szCs w:val="21"/>
              </w:rPr>
            </w:pPr>
            <w:r>
              <w:rPr>
                <w:rFonts w:hint="default" w:ascii="Arial" w:hAnsi="Arial" w:eastAsia="宋体" w:cs="Arial"/>
                <w:szCs w:val="21"/>
              </w:rPr>
              <w:t>1</w:t>
            </w:r>
          </w:p>
        </w:tc>
        <w:tc>
          <w:tcPr>
            <w:tcW w:w="644" w:type="dxa"/>
            <w:vAlign w:val="center"/>
          </w:tcPr>
          <w:p w14:paraId="05B1B7AD">
            <w:pPr>
              <w:spacing w:line="240" w:lineRule="exact"/>
              <w:jc w:val="center"/>
              <w:rPr>
                <w:rFonts w:hint="default" w:ascii="Arial" w:hAnsi="Arial" w:eastAsia="宋体" w:cs="Arial"/>
                <w:szCs w:val="21"/>
              </w:rPr>
            </w:pPr>
            <w:r>
              <w:rPr>
                <w:rFonts w:hint="default" w:ascii="Arial" w:hAnsi="Arial" w:eastAsia="宋体" w:cs="Arial"/>
                <w:szCs w:val="21"/>
              </w:rPr>
              <w:t>化粪池</w:t>
            </w:r>
          </w:p>
        </w:tc>
        <w:tc>
          <w:tcPr>
            <w:tcW w:w="644" w:type="dxa"/>
            <w:vAlign w:val="center"/>
          </w:tcPr>
          <w:p w14:paraId="1CF26A9E">
            <w:pPr>
              <w:spacing w:line="240" w:lineRule="exact"/>
              <w:jc w:val="center"/>
              <w:rPr>
                <w:rFonts w:hint="default" w:ascii="Arial" w:hAnsi="Arial" w:eastAsia="宋体" w:cs="Arial"/>
                <w:szCs w:val="21"/>
              </w:rPr>
            </w:pPr>
            <w:r>
              <w:rPr>
                <w:rFonts w:hint="default" w:ascii="Arial" w:hAnsi="Arial" w:eastAsia="宋体" w:cs="Arial"/>
                <w:szCs w:val="21"/>
              </w:rPr>
              <w:t>沉淀和厌氧发酵</w:t>
            </w:r>
          </w:p>
        </w:tc>
        <w:tc>
          <w:tcPr>
            <w:tcW w:w="780" w:type="dxa"/>
            <w:vMerge w:val="restart"/>
            <w:vAlign w:val="center"/>
          </w:tcPr>
          <w:p w14:paraId="1ED55FBD">
            <w:pPr>
              <w:spacing w:line="240" w:lineRule="exact"/>
              <w:jc w:val="center"/>
              <w:rPr>
                <w:rFonts w:hint="default" w:ascii="Arial" w:hAnsi="Arial" w:eastAsia="宋体" w:cs="Arial"/>
                <w:szCs w:val="21"/>
              </w:rPr>
            </w:pPr>
            <w:r>
              <w:rPr>
                <w:rFonts w:hint="default" w:ascii="Arial" w:hAnsi="Arial" w:eastAsia="宋体" w:cs="Arial"/>
                <w:szCs w:val="21"/>
              </w:rPr>
              <w:t>DW001</w:t>
            </w:r>
          </w:p>
        </w:tc>
        <w:tc>
          <w:tcPr>
            <w:tcW w:w="953" w:type="dxa"/>
            <w:vMerge w:val="restart"/>
            <w:vAlign w:val="center"/>
          </w:tcPr>
          <w:p w14:paraId="334D83AC">
            <w:pPr>
              <w:spacing w:line="240" w:lineRule="exact"/>
              <w:jc w:val="center"/>
              <w:rPr>
                <w:rFonts w:hint="default" w:ascii="Arial" w:hAnsi="Arial" w:eastAsia="宋体" w:cs="Arial"/>
                <w:szCs w:val="21"/>
              </w:rPr>
            </w:pPr>
            <w:r>
              <w:rPr>
                <w:rFonts w:hint="default" w:ascii="Arial" w:hAnsi="Arial" w:eastAsia="宋体" w:cs="Arial"/>
                <w:szCs w:val="21"/>
              </w:rPr>
              <w:sym w:font="Wingdings" w:char="00FE"/>
            </w:r>
            <w:r>
              <w:rPr>
                <w:rFonts w:hint="default" w:ascii="Arial" w:hAnsi="Arial" w:eastAsia="宋体" w:cs="Arial"/>
                <w:szCs w:val="21"/>
              </w:rPr>
              <w:t>是</w:t>
            </w:r>
          </w:p>
          <w:p w14:paraId="020C3DE8">
            <w:pPr>
              <w:spacing w:line="240" w:lineRule="exact"/>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否</w:t>
            </w:r>
          </w:p>
        </w:tc>
        <w:tc>
          <w:tcPr>
            <w:tcW w:w="1064" w:type="dxa"/>
            <w:vMerge w:val="restart"/>
            <w:vAlign w:val="center"/>
          </w:tcPr>
          <w:p w14:paraId="640278C7">
            <w:pPr>
              <w:spacing w:line="240" w:lineRule="exact"/>
              <w:jc w:val="center"/>
              <w:rPr>
                <w:rFonts w:hint="default" w:ascii="Arial" w:hAnsi="Arial" w:eastAsia="宋体" w:cs="Arial"/>
                <w:szCs w:val="21"/>
              </w:rPr>
            </w:pPr>
            <w:r>
              <w:rPr>
                <w:rFonts w:hint="default" w:ascii="Arial" w:hAnsi="Arial" w:eastAsia="宋体" w:cs="Arial"/>
                <w:szCs w:val="21"/>
              </w:rPr>
              <w:sym w:font="Wingdings" w:char="00FE"/>
            </w:r>
            <w:r>
              <w:rPr>
                <w:rFonts w:hint="default" w:ascii="Arial" w:hAnsi="Arial" w:eastAsia="宋体" w:cs="Arial"/>
                <w:szCs w:val="21"/>
              </w:rPr>
              <w:t>企业总排</w:t>
            </w:r>
          </w:p>
          <w:p w14:paraId="2FFA173C">
            <w:pPr>
              <w:spacing w:line="240" w:lineRule="exact"/>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雨水排放</w:t>
            </w:r>
          </w:p>
          <w:p w14:paraId="32A5327F">
            <w:pPr>
              <w:spacing w:line="240" w:lineRule="exact"/>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轻净下水排放</w:t>
            </w:r>
          </w:p>
          <w:p w14:paraId="0E20038C">
            <w:pPr>
              <w:spacing w:line="240" w:lineRule="exact"/>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温排水排放</w:t>
            </w:r>
          </w:p>
          <w:p w14:paraId="22183FC3">
            <w:pPr>
              <w:spacing w:line="240" w:lineRule="exact"/>
              <w:jc w:val="center"/>
              <w:rPr>
                <w:rFonts w:hint="default" w:ascii="Arial" w:hAnsi="Arial" w:eastAsia="宋体" w:cs="Arial"/>
                <w:szCs w:val="21"/>
              </w:rPr>
            </w:pPr>
            <w:r>
              <w:rPr>
                <w:rFonts w:hint="default" w:ascii="Arial" w:hAnsi="Arial" w:eastAsia="宋体" w:cs="Arial"/>
                <w:szCs w:val="21"/>
              </w:rPr>
              <w:sym w:font="Wingdings" w:char="00A8"/>
            </w:r>
            <w:r>
              <w:rPr>
                <w:rFonts w:hint="default" w:ascii="Arial" w:hAnsi="Arial" w:eastAsia="宋体" w:cs="Arial"/>
                <w:szCs w:val="21"/>
              </w:rPr>
              <w:t>车间或车间处理设施排放口</w:t>
            </w:r>
          </w:p>
        </w:tc>
      </w:tr>
      <w:tr w14:paraId="0D18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66" w:type="dxa"/>
            <w:vAlign w:val="center"/>
          </w:tcPr>
          <w:p w14:paraId="7CA9B025">
            <w:pPr>
              <w:spacing w:line="240" w:lineRule="exact"/>
              <w:jc w:val="center"/>
              <w:rPr>
                <w:rFonts w:hint="default" w:ascii="Arial" w:hAnsi="Arial" w:eastAsia="宋体" w:cs="Arial"/>
                <w:szCs w:val="21"/>
                <w:lang w:val="en-US" w:eastAsia="zh-CN"/>
              </w:rPr>
            </w:pPr>
            <w:r>
              <w:rPr>
                <w:rFonts w:hint="default" w:ascii="Arial" w:hAnsi="Arial" w:eastAsia="宋体" w:cs="Arial"/>
                <w:szCs w:val="21"/>
                <w:lang w:val="en-US" w:eastAsia="zh-CN"/>
              </w:rPr>
              <w:t>2</w:t>
            </w:r>
          </w:p>
        </w:tc>
        <w:tc>
          <w:tcPr>
            <w:tcW w:w="396" w:type="dxa"/>
            <w:vAlign w:val="center"/>
          </w:tcPr>
          <w:p w14:paraId="259A42CC">
            <w:pPr>
              <w:spacing w:line="240" w:lineRule="exact"/>
              <w:jc w:val="center"/>
              <w:rPr>
                <w:rFonts w:hint="default" w:ascii="Arial" w:hAnsi="Arial" w:eastAsia="宋体" w:cs="Arial"/>
                <w:szCs w:val="21"/>
                <w:lang w:val="en-US" w:eastAsia="zh-CN"/>
              </w:rPr>
            </w:pPr>
            <w:r>
              <w:rPr>
                <w:rFonts w:hint="default" w:ascii="Arial" w:hAnsi="Arial" w:eastAsia="宋体" w:cs="Arial"/>
                <w:szCs w:val="21"/>
                <w:lang w:val="en-US" w:eastAsia="zh-CN"/>
              </w:rPr>
              <w:t>生产废水</w:t>
            </w:r>
          </w:p>
        </w:tc>
        <w:tc>
          <w:tcPr>
            <w:tcW w:w="721" w:type="dxa"/>
            <w:vAlign w:val="center"/>
          </w:tcPr>
          <w:p w14:paraId="36FAED54">
            <w:pPr>
              <w:spacing w:line="240" w:lineRule="exact"/>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p w14:paraId="14EC5EDA">
            <w:pPr>
              <w:spacing w:line="240" w:lineRule="exact"/>
              <w:jc w:val="center"/>
              <w:rPr>
                <w:rFonts w:hint="default" w:ascii="Arial" w:hAnsi="Arial" w:eastAsia="宋体" w:cs="Arial"/>
                <w:szCs w:val="21"/>
              </w:rPr>
            </w:pP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p w14:paraId="4D343079">
            <w:pPr>
              <w:spacing w:line="240" w:lineRule="exact"/>
              <w:jc w:val="center"/>
              <w:rPr>
                <w:rFonts w:hint="default" w:ascii="Arial" w:hAnsi="Arial" w:eastAsia="宋体" w:cs="Arial"/>
                <w:szCs w:val="21"/>
                <w:lang w:val="en-US" w:eastAsia="zh-CN"/>
              </w:rPr>
            </w:pPr>
            <w:r>
              <w:rPr>
                <w:rFonts w:hint="default" w:ascii="Arial" w:hAnsi="Arial" w:eastAsia="宋体" w:cs="Arial"/>
                <w:szCs w:val="21"/>
                <w:lang w:val="en-US" w:eastAsia="zh-CN"/>
              </w:rPr>
              <w:t>SS</w:t>
            </w:r>
          </w:p>
          <w:p w14:paraId="0D35C099">
            <w:pPr>
              <w:spacing w:line="240" w:lineRule="exact"/>
              <w:jc w:val="center"/>
              <w:rPr>
                <w:rFonts w:hint="default" w:ascii="Arial" w:hAnsi="Arial" w:eastAsia="宋体" w:cs="Arial"/>
                <w:szCs w:val="21"/>
                <w:lang w:val="en-US" w:eastAsia="zh-CN"/>
              </w:rPr>
            </w:pPr>
            <w:r>
              <w:rPr>
                <w:rFonts w:hint="default" w:ascii="Arial" w:hAnsi="Arial" w:eastAsia="宋体" w:cs="Arial"/>
                <w:szCs w:val="21"/>
                <w:lang w:val="en-US" w:eastAsia="zh-CN"/>
              </w:rPr>
              <w:t>石油类</w:t>
            </w:r>
          </w:p>
          <w:p w14:paraId="3ACC7858">
            <w:pPr>
              <w:spacing w:line="240" w:lineRule="exact"/>
              <w:jc w:val="center"/>
              <w:rPr>
                <w:rFonts w:hint="default" w:ascii="Arial" w:hAnsi="Arial" w:eastAsia="宋体" w:cs="Arial"/>
                <w:szCs w:val="21"/>
                <w:lang w:val="en-US" w:eastAsia="zh-CN"/>
              </w:rPr>
            </w:pPr>
            <w:r>
              <w:rPr>
                <w:rFonts w:hint="default" w:ascii="Arial" w:hAnsi="Arial" w:eastAsia="宋体" w:cs="Arial"/>
                <w:szCs w:val="21"/>
                <w:lang w:val="en-US" w:eastAsia="zh-CN"/>
              </w:rPr>
              <w:t>TN、LAS</w:t>
            </w:r>
          </w:p>
        </w:tc>
        <w:tc>
          <w:tcPr>
            <w:tcW w:w="706" w:type="dxa"/>
            <w:vMerge w:val="continue"/>
            <w:vAlign w:val="center"/>
          </w:tcPr>
          <w:p w14:paraId="1E28EEB8">
            <w:pPr>
              <w:spacing w:line="240" w:lineRule="exact"/>
              <w:jc w:val="center"/>
              <w:rPr>
                <w:rFonts w:hint="default" w:ascii="Arial" w:hAnsi="Arial" w:eastAsia="宋体" w:cs="Arial"/>
                <w:szCs w:val="21"/>
              </w:rPr>
            </w:pPr>
          </w:p>
        </w:tc>
        <w:tc>
          <w:tcPr>
            <w:tcW w:w="1090" w:type="dxa"/>
            <w:vMerge w:val="continue"/>
            <w:vAlign w:val="center"/>
          </w:tcPr>
          <w:p w14:paraId="4F68D9E4">
            <w:pPr>
              <w:spacing w:line="240" w:lineRule="exact"/>
              <w:jc w:val="center"/>
              <w:rPr>
                <w:rFonts w:hint="default" w:ascii="Arial" w:hAnsi="Arial" w:eastAsia="宋体" w:cs="Arial"/>
                <w:szCs w:val="21"/>
              </w:rPr>
            </w:pPr>
          </w:p>
        </w:tc>
        <w:tc>
          <w:tcPr>
            <w:tcW w:w="644" w:type="dxa"/>
            <w:vAlign w:val="center"/>
          </w:tcPr>
          <w:p w14:paraId="53407CEC">
            <w:pPr>
              <w:spacing w:line="240" w:lineRule="exact"/>
              <w:jc w:val="center"/>
              <w:rPr>
                <w:rFonts w:hint="default" w:ascii="Arial" w:hAnsi="Arial" w:eastAsia="宋体" w:cs="Arial"/>
                <w:szCs w:val="21"/>
                <w:lang w:val="en-US" w:eastAsia="zh-CN"/>
              </w:rPr>
            </w:pPr>
            <w:r>
              <w:rPr>
                <w:rFonts w:hint="default" w:ascii="Arial" w:hAnsi="Arial" w:eastAsia="宋体" w:cs="Arial"/>
                <w:szCs w:val="21"/>
                <w:lang w:val="en-US" w:eastAsia="zh-CN"/>
              </w:rPr>
              <w:t>2</w:t>
            </w:r>
          </w:p>
        </w:tc>
        <w:tc>
          <w:tcPr>
            <w:tcW w:w="644" w:type="dxa"/>
            <w:vAlign w:val="center"/>
          </w:tcPr>
          <w:p w14:paraId="228DA561">
            <w:pPr>
              <w:spacing w:line="240" w:lineRule="exact"/>
              <w:jc w:val="center"/>
              <w:rPr>
                <w:rFonts w:hint="default" w:ascii="Arial" w:hAnsi="Arial" w:eastAsia="宋体" w:cs="Arial"/>
                <w:szCs w:val="21"/>
                <w:lang w:val="en-US" w:eastAsia="zh-CN"/>
              </w:rPr>
            </w:pPr>
            <w:r>
              <w:rPr>
                <w:rFonts w:hint="default" w:ascii="Arial" w:hAnsi="Arial" w:eastAsia="宋体" w:cs="Arial"/>
                <w:szCs w:val="21"/>
                <w:lang w:val="en-US" w:eastAsia="zh-CN"/>
              </w:rPr>
              <w:t>污水处理设施</w:t>
            </w:r>
          </w:p>
        </w:tc>
        <w:tc>
          <w:tcPr>
            <w:tcW w:w="644" w:type="dxa"/>
            <w:vAlign w:val="center"/>
          </w:tcPr>
          <w:p w14:paraId="766F18EB">
            <w:pPr>
              <w:spacing w:line="240" w:lineRule="exact"/>
              <w:jc w:val="center"/>
              <w:rPr>
                <w:rFonts w:hint="default" w:ascii="Arial" w:hAnsi="Arial" w:eastAsia="宋体" w:cs="Arial"/>
                <w:szCs w:val="21"/>
                <w:lang w:val="en-US" w:eastAsia="zh-CN"/>
              </w:rPr>
            </w:pPr>
            <w:r>
              <w:rPr>
                <w:rFonts w:hint="default" w:ascii="Arial" w:hAnsi="Arial" w:eastAsia="宋体" w:cs="Arial"/>
                <w:szCs w:val="21"/>
                <w:lang w:val="en-US" w:eastAsia="zh-CN"/>
              </w:rPr>
              <w:t>低温浓缩+膜过滤</w:t>
            </w:r>
          </w:p>
        </w:tc>
        <w:tc>
          <w:tcPr>
            <w:tcW w:w="780" w:type="dxa"/>
            <w:vMerge w:val="continue"/>
            <w:vAlign w:val="center"/>
          </w:tcPr>
          <w:p w14:paraId="7CE9E4E0">
            <w:pPr>
              <w:spacing w:line="240" w:lineRule="exact"/>
              <w:jc w:val="center"/>
              <w:rPr>
                <w:rFonts w:hint="default" w:ascii="Arial" w:hAnsi="Arial" w:eastAsia="宋体" w:cs="Arial"/>
                <w:szCs w:val="21"/>
              </w:rPr>
            </w:pPr>
          </w:p>
        </w:tc>
        <w:tc>
          <w:tcPr>
            <w:tcW w:w="953" w:type="dxa"/>
            <w:vMerge w:val="continue"/>
            <w:vAlign w:val="center"/>
          </w:tcPr>
          <w:p w14:paraId="7D2D2307">
            <w:pPr>
              <w:spacing w:line="240" w:lineRule="exact"/>
              <w:jc w:val="center"/>
              <w:rPr>
                <w:rFonts w:hint="default" w:ascii="Arial" w:hAnsi="Arial" w:eastAsia="宋体" w:cs="Arial"/>
                <w:szCs w:val="21"/>
              </w:rPr>
            </w:pPr>
          </w:p>
        </w:tc>
        <w:tc>
          <w:tcPr>
            <w:tcW w:w="1064" w:type="dxa"/>
            <w:vMerge w:val="continue"/>
            <w:vAlign w:val="center"/>
          </w:tcPr>
          <w:p w14:paraId="2F352B31">
            <w:pPr>
              <w:spacing w:line="240" w:lineRule="exact"/>
              <w:jc w:val="center"/>
              <w:rPr>
                <w:rFonts w:hint="default" w:ascii="Arial" w:hAnsi="Arial" w:eastAsia="宋体" w:cs="Arial"/>
                <w:szCs w:val="21"/>
              </w:rPr>
            </w:pPr>
          </w:p>
        </w:tc>
      </w:tr>
    </w:tbl>
    <w:p w14:paraId="394E44B3">
      <w:pPr>
        <w:spacing w:line="360" w:lineRule="auto"/>
        <w:ind w:firstLine="480" w:firstLineChars="200"/>
        <w:rPr>
          <w:rFonts w:hint="default" w:ascii="Arial" w:hAnsi="Arial" w:eastAsia="宋体" w:cs="Arial"/>
          <w:bCs/>
          <w:sz w:val="24"/>
          <w:szCs w:val="24"/>
          <w:lang w:val="en-GB"/>
        </w:rPr>
      </w:pPr>
      <w:r>
        <w:rPr>
          <w:rFonts w:hint="default" w:ascii="Arial" w:hAnsi="Arial" w:eastAsia="宋体" w:cs="Arial"/>
          <w:bCs/>
          <w:sz w:val="24"/>
          <w:szCs w:val="24"/>
          <w:lang w:val="en-GB"/>
        </w:rPr>
        <w:t>废水排放口基本情况详见表4-</w:t>
      </w:r>
      <w:r>
        <w:rPr>
          <w:rFonts w:hint="eastAsia" w:ascii="Arial" w:hAnsi="Arial" w:eastAsia="宋体" w:cs="Arial"/>
          <w:bCs/>
          <w:sz w:val="24"/>
          <w:szCs w:val="24"/>
          <w:lang w:val="en-US" w:eastAsia="zh-CN"/>
        </w:rPr>
        <w:t>6</w:t>
      </w:r>
      <w:r>
        <w:rPr>
          <w:rFonts w:hint="default" w:ascii="Arial" w:hAnsi="Arial" w:eastAsia="宋体" w:cs="Arial"/>
          <w:bCs/>
          <w:sz w:val="24"/>
          <w:szCs w:val="24"/>
          <w:lang w:val="en-GB"/>
        </w:rPr>
        <w:t>，废水污染物排放执行标准详见表4-</w:t>
      </w:r>
      <w:r>
        <w:rPr>
          <w:rFonts w:hint="eastAsia" w:ascii="Arial" w:hAnsi="Arial" w:eastAsia="宋体" w:cs="Arial"/>
          <w:bCs/>
          <w:sz w:val="24"/>
          <w:szCs w:val="24"/>
          <w:lang w:val="en-US" w:eastAsia="zh-CN"/>
        </w:rPr>
        <w:t>7</w:t>
      </w:r>
      <w:r>
        <w:rPr>
          <w:rFonts w:hint="default" w:ascii="Arial" w:hAnsi="Arial" w:eastAsia="宋体" w:cs="Arial"/>
          <w:bCs/>
          <w:sz w:val="24"/>
          <w:szCs w:val="24"/>
          <w:lang w:val="en-GB"/>
        </w:rPr>
        <w:t>。</w:t>
      </w:r>
    </w:p>
    <w:p w14:paraId="45EF960A">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废水间接排放口基本情况表</w:t>
      </w:r>
    </w:p>
    <w:tbl>
      <w:tblPr>
        <w:tblStyle w:val="52"/>
        <w:tblW w:w="4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
        <w:gridCol w:w="669"/>
        <w:gridCol w:w="747"/>
        <w:gridCol w:w="674"/>
        <w:gridCol w:w="808"/>
        <w:gridCol w:w="984"/>
        <w:gridCol w:w="999"/>
        <w:gridCol w:w="583"/>
        <w:gridCol w:w="711"/>
        <w:gridCol w:w="706"/>
        <w:gridCol w:w="812"/>
      </w:tblGrid>
      <w:tr w14:paraId="7851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restart"/>
            <w:vAlign w:val="center"/>
          </w:tcPr>
          <w:p w14:paraId="34E7FD3F">
            <w:pPr>
              <w:snapToGrid w:val="0"/>
              <w:jc w:val="center"/>
              <w:rPr>
                <w:rFonts w:hint="default" w:ascii="Arial" w:hAnsi="Arial" w:eastAsia="宋体" w:cs="Arial"/>
                <w:szCs w:val="21"/>
              </w:rPr>
            </w:pPr>
            <w:r>
              <w:rPr>
                <w:rFonts w:hint="default" w:ascii="Arial" w:hAnsi="Arial" w:eastAsia="宋体" w:cs="Arial"/>
                <w:szCs w:val="21"/>
              </w:rPr>
              <w:t>序号</w:t>
            </w:r>
          </w:p>
        </w:tc>
        <w:tc>
          <w:tcPr>
            <w:tcW w:w="668" w:type="dxa"/>
            <w:vMerge w:val="restart"/>
            <w:vAlign w:val="center"/>
          </w:tcPr>
          <w:p w14:paraId="77DE8579">
            <w:pPr>
              <w:snapToGrid w:val="0"/>
              <w:jc w:val="center"/>
              <w:rPr>
                <w:rFonts w:hint="default" w:ascii="Arial" w:hAnsi="Arial" w:eastAsia="宋体" w:cs="Arial"/>
                <w:szCs w:val="21"/>
              </w:rPr>
            </w:pPr>
            <w:r>
              <w:rPr>
                <w:rFonts w:hint="default" w:ascii="Arial" w:hAnsi="Arial" w:eastAsia="宋体" w:cs="Arial"/>
                <w:szCs w:val="21"/>
              </w:rPr>
              <w:t>排放口编号</w:t>
            </w:r>
          </w:p>
        </w:tc>
        <w:tc>
          <w:tcPr>
            <w:tcW w:w="1419" w:type="dxa"/>
            <w:gridSpan w:val="2"/>
            <w:vAlign w:val="center"/>
          </w:tcPr>
          <w:p w14:paraId="35B16CBA">
            <w:pPr>
              <w:snapToGrid w:val="0"/>
              <w:jc w:val="center"/>
              <w:rPr>
                <w:rFonts w:hint="default" w:ascii="Arial" w:hAnsi="Arial" w:eastAsia="宋体" w:cs="Arial"/>
                <w:szCs w:val="21"/>
              </w:rPr>
            </w:pPr>
            <w:r>
              <w:rPr>
                <w:rFonts w:hint="default" w:ascii="Arial" w:hAnsi="Arial" w:eastAsia="宋体" w:cs="Arial"/>
                <w:szCs w:val="21"/>
              </w:rPr>
              <w:t>排放口地理坐标</w:t>
            </w:r>
          </w:p>
        </w:tc>
        <w:tc>
          <w:tcPr>
            <w:tcW w:w="807" w:type="dxa"/>
            <w:vMerge w:val="restart"/>
            <w:vAlign w:val="center"/>
          </w:tcPr>
          <w:p w14:paraId="4B33D93F">
            <w:pPr>
              <w:snapToGrid w:val="0"/>
              <w:jc w:val="center"/>
              <w:rPr>
                <w:rFonts w:hint="default" w:ascii="Arial" w:hAnsi="Arial" w:eastAsia="宋体" w:cs="Arial"/>
                <w:szCs w:val="21"/>
              </w:rPr>
            </w:pPr>
            <w:r>
              <w:rPr>
                <w:rFonts w:hint="default" w:ascii="Arial" w:hAnsi="Arial" w:eastAsia="宋体" w:cs="Arial"/>
                <w:szCs w:val="21"/>
              </w:rPr>
              <w:t>废水排放量/（万t/a）</w:t>
            </w:r>
          </w:p>
        </w:tc>
        <w:tc>
          <w:tcPr>
            <w:tcW w:w="983" w:type="dxa"/>
            <w:vMerge w:val="restart"/>
            <w:vAlign w:val="center"/>
          </w:tcPr>
          <w:p w14:paraId="7DB6435B">
            <w:pPr>
              <w:snapToGrid w:val="0"/>
              <w:jc w:val="center"/>
              <w:rPr>
                <w:rFonts w:hint="default" w:ascii="Arial" w:hAnsi="Arial" w:eastAsia="宋体" w:cs="Arial"/>
                <w:szCs w:val="21"/>
              </w:rPr>
            </w:pPr>
            <w:r>
              <w:rPr>
                <w:rFonts w:hint="default" w:ascii="Arial" w:hAnsi="Arial" w:eastAsia="宋体" w:cs="Arial"/>
                <w:szCs w:val="21"/>
              </w:rPr>
              <w:t>排放去向</w:t>
            </w:r>
          </w:p>
        </w:tc>
        <w:tc>
          <w:tcPr>
            <w:tcW w:w="998" w:type="dxa"/>
            <w:vMerge w:val="restart"/>
            <w:vAlign w:val="center"/>
          </w:tcPr>
          <w:p w14:paraId="5ABD91FE">
            <w:pPr>
              <w:snapToGrid w:val="0"/>
              <w:jc w:val="center"/>
              <w:rPr>
                <w:rFonts w:hint="default" w:ascii="Arial" w:hAnsi="Arial" w:eastAsia="宋体" w:cs="Arial"/>
                <w:szCs w:val="21"/>
              </w:rPr>
            </w:pPr>
            <w:r>
              <w:rPr>
                <w:rFonts w:hint="default" w:ascii="Arial" w:hAnsi="Arial" w:eastAsia="宋体" w:cs="Arial"/>
                <w:szCs w:val="21"/>
              </w:rPr>
              <w:t>排放规律</w:t>
            </w:r>
          </w:p>
        </w:tc>
        <w:tc>
          <w:tcPr>
            <w:tcW w:w="582" w:type="dxa"/>
            <w:vMerge w:val="restart"/>
            <w:vAlign w:val="center"/>
          </w:tcPr>
          <w:p w14:paraId="2FFF0AFC">
            <w:pPr>
              <w:snapToGrid w:val="0"/>
              <w:jc w:val="center"/>
              <w:rPr>
                <w:rFonts w:hint="default" w:ascii="Arial" w:hAnsi="Arial" w:eastAsia="宋体" w:cs="Arial"/>
                <w:szCs w:val="21"/>
              </w:rPr>
            </w:pPr>
            <w:r>
              <w:rPr>
                <w:rFonts w:hint="default" w:ascii="Arial" w:hAnsi="Arial" w:eastAsia="宋体" w:cs="Arial"/>
                <w:szCs w:val="21"/>
              </w:rPr>
              <w:t>间歇排放时段</w:t>
            </w:r>
          </w:p>
        </w:tc>
        <w:tc>
          <w:tcPr>
            <w:tcW w:w="2226" w:type="dxa"/>
            <w:gridSpan w:val="3"/>
            <w:vAlign w:val="center"/>
          </w:tcPr>
          <w:p w14:paraId="0C253668">
            <w:pPr>
              <w:snapToGrid w:val="0"/>
              <w:jc w:val="center"/>
              <w:rPr>
                <w:rFonts w:hint="default" w:ascii="Arial" w:hAnsi="Arial" w:eastAsia="宋体" w:cs="Arial"/>
                <w:szCs w:val="21"/>
              </w:rPr>
            </w:pPr>
            <w:r>
              <w:rPr>
                <w:rFonts w:hint="default" w:ascii="Arial" w:hAnsi="Arial" w:eastAsia="宋体" w:cs="Arial"/>
                <w:szCs w:val="21"/>
              </w:rPr>
              <w:t>受纳污水处理厂信息</w:t>
            </w:r>
          </w:p>
        </w:tc>
      </w:tr>
      <w:tr w14:paraId="4B6A2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6DCB12D2">
            <w:pPr>
              <w:widowControl/>
              <w:jc w:val="center"/>
              <w:rPr>
                <w:rFonts w:hint="default" w:ascii="Arial" w:hAnsi="Arial" w:eastAsia="宋体" w:cs="Arial"/>
                <w:szCs w:val="21"/>
              </w:rPr>
            </w:pPr>
          </w:p>
        </w:tc>
        <w:tc>
          <w:tcPr>
            <w:tcW w:w="668" w:type="dxa"/>
            <w:vMerge w:val="continue"/>
            <w:vAlign w:val="center"/>
          </w:tcPr>
          <w:p w14:paraId="2676A1E8">
            <w:pPr>
              <w:widowControl/>
              <w:jc w:val="center"/>
              <w:rPr>
                <w:rFonts w:hint="default" w:ascii="Arial" w:hAnsi="Arial" w:eastAsia="宋体" w:cs="Arial"/>
                <w:szCs w:val="21"/>
              </w:rPr>
            </w:pPr>
          </w:p>
        </w:tc>
        <w:tc>
          <w:tcPr>
            <w:tcW w:w="746" w:type="dxa"/>
            <w:vAlign w:val="center"/>
          </w:tcPr>
          <w:p w14:paraId="4E528323">
            <w:pPr>
              <w:snapToGrid w:val="0"/>
              <w:jc w:val="center"/>
              <w:rPr>
                <w:rFonts w:hint="default" w:ascii="Arial" w:hAnsi="Arial" w:eastAsia="宋体" w:cs="Arial"/>
                <w:szCs w:val="21"/>
              </w:rPr>
            </w:pPr>
            <w:r>
              <w:rPr>
                <w:rFonts w:hint="default" w:ascii="Arial" w:hAnsi="Arial" w:eastAsia="宋体" w:cs="Arial"/>
                <w:szCs w:val="21"/>
              </w:rPr>
              <w:t>经度</w:t>
            </w:r>
          </w:p>
        </w:tc>
        <w:tc>
          <w:tcPr>
            <w:tcW w:w="673" w:type="dxa"/>
            <w:vAlign w:val="center"/>
          </w:tcPr>
          <w:p w14:paraId="1BFD687F">
            <w:pPr>
              <w:snapToGrid w:val="0"/>
              <w:jc w:val="center"/>
              <w:rPr>
                <w:rFonts w:hint="default" w:ascii="Arial" w:hAnsi="Arial" w:eastAsia="宋体" w:cs="Arial"/>
                <w:szCs w:val="21"/>
              </w:rPr>
            </w:pPr>
            <w:r>
              <w:rPr>
                <w:rFonts w:hint="default" w:ascii="Arial" w:hAnsi="Arial" w:eastAsia="宋体" w:cs="Arial"/>
                <w:szCs w:val="21"/>
              </w:rPr>
              <w:t>纬度</w:t>
            </w:r>
          </w:p>
        </w:tc>
        <w:tc>
          <w:tcPr>
            <w:tcW w:w="807" w:type="dxa"/>
            <w:vMerge w:val="continue"/>
            <w:vAlign w:val="center"/>
          </w:tcPr>
          <w:p w14:paraId="6FAD7B9D">
            <w:pPr>
              <w:widowControl/>
              <w:jc w:val="center"/>
              <w:rPr>
                <w:rFonts w:hint="default" w:ascii="Arial" w:hAnsi="Arial" w:eastAsia="宋体" w:cs="Arial"/>
                <w:szCs w:val="21"/>
              </w:rPr>
            </w:pPr>
          </w:p>
        </w:tc>
        <w:tc>
          <w:tcPr>
            <w:tcW w:w="983" w:type="dxa"/>
            <w:vMerge w:val="continue"/>
            <w:vAlign w:val="center"/>
          </w:tcPr>
          <w:p w14:paraId="14C3B600">
            <w:pPr>
              <w:widowControl/>
              <w:jc w:val="center"/>
              <w:rPr>
                <w:rFonts w:hint="default" w:ascii="Arial" w:hAnsi="Arial" w:eastAsia="宋体" w:cs="Arial"/>
                <w:szCs w:val="21"/>
              </w:rPr>
            </w:pPr>
          </w:p>
        </w:tc>
        <w:tc>
          <w:tcPr>
            <w:tcW w:w="998" w:type="dxa"/>
            <w:vMerge w:val="continue"/>
            <w:vAlign w:val="center"/>
          </w:tcPr>
          <w:p w14:paraId="18B82B9B">
            <w:pPr>
              <w:widowControl/>
              <w:jc w:val="center"/>
              <w:rPr>
                <w:rFonts w:hint="default" w:ascii="Arial" w:hAnsi="Arial" w:eastAsia="宋体" w:cs="Arial"/>
                <w:szCs w:val="21"/>
              </w:rPr>
            </w:pPr>
          </w:p>
        </w:tc>
        <w:tc>
          <w:tcPr>
            <w:tcW w:w="582" w:type="dxa"/>
            <w:vMerge w:val="continue"/>
            <w:vAlign w:val="center"/>
          </w:tcPr>
          <w:p w14:paraId="10AA7832">
            <w:pPr>
              <w:widowControl/>
              <w:jc w:val="center"/>
              <w:rPr>
                <w:rFonts w:hint="default" w:ascii="Arial" w:hAnsi="Arial" w:eastAsia="宋体" w:cs="Arial"/>
                <w:szCs w:val="21"/>
              </w:rPr>
            </w:pPr>
          </w:p>
        </w:tc>
        <w:tc>
          <w:tcPr>
            <w:tcW w:w="710" w:type="dxa"/>
            <w:vAlign w:val="center"/>
          </w:tcPr>
          <w:p w14:paraId="15948C76">
            <w:pPr>
              <w:snapToGrid w:val="0"/>
              <w:jc w:val="center"/>
              <w:rPr>
                <w:rFonts w:hint="default" w:ascii="Arial" w:hAnsi="Arial" w:eastAsia="宋体" w:cs="Arial"/>
                <w:szCs w:val="21"/>
              </w:rPr>
            </w:pPr>
            <w:r>
              <w:rPr>
                <w:rFonts w:hint="default" w:ascii="Arial" w:hAnsi="Arial" w:eastAsia="宋体" w:cs="Arial"/>
                <w:szCs w:val="21"/>
              </w:rPr>
              <w:t>名称</w:t>
            </w:r>
          </w:p>
        </w:tc>
        <w:tc>
          <w:tcPr>
            <w:tcW w:w="705" w:type="dxa"/>
            <w:vAlign w:val="center"/>
          </w:tcPr>
          <w:p w14:paraId="3DFB7539">
            <w:pPr>
              <w:snapToGrid w:val="0"/>
              <w:jc w:val="center"/>
              <w:rPr>
                <w:rFonts w:hint="default" w:ascii="Arial" w:hAnsi="Arial" w:eastAsia="宋体" w:cs="Arial"/>
                <w:szCs w:val="21"/>
              </w:rPr>
            </w:pPr>
            <w:r>
              <w:rPr>
                <w:rFonts w:hint="default" w:ascii="Arial" w:hAnsi="Arial" w:eastAsia="宋体" w:cs="Arial"/>
                <w:szCs w:val="21"/>
              </w:rPr>
              <w:t>污染物种类</w:t>
            </w:r>
          </w:p>
        </w:tc>
        <w:tc>
          <w:tcPr>
            <w:tcW w:w="811" w:type="dxa"/>
            <w:vAlign w:val="center"/>
          </w:tcPr>
          <w:p w14:paraId="5C761108">
            <w:pPr>
              <w:snapToGrid w:val="0"/>
              <w:jc w:val="center"/>
              <w:rPr>
                <w:rFonts w:hint="default" w:ascii="Arial" w:hAnsi="Arial" w:eastAsia="宋体" w:cs="Arial"/>
                <w:szCs w:val="21"/>
              </w:rPr>
            </w:pPr>
            <w:r>
              <w:rPr>
                <w:rFonts w:hint="default" w:ascii="Arial" w:hAnsi="Arial" w:eastAsia="宋体" w:cs="Arial"/>
                <w:szCs w:val="21"/>
              </w:rPr>
              <w:t>污染物排放标准浓度限值/（mg/L）</w:t>
            </w:r>
          </w:p>
        </w:tc>
      </w:tr>
      <w:tr w14:paraId="616B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restart"/>
            <w:vAlign w:val="center"/>
          </w:tcPr>
          <w:p w14:paraId="68270421">
            <w:pPr>
              <w:snapToGrid w:val="0"/>
              <w:jc w:val="center"/>
              <w:rPr>
                <w:rFonts w:hint="default" w:ascii="Arial" w:hAnsi="Arial" w:eastAsia="宋体" w:cs="Arial"/>
                <w:szCs w:val="21"/>
              </w:rPr>
            </w:pPr>
            <w:r>
              <w:rPr>
                <w:rFonts w:hint="default" w:ascii="Arial" w:hAnsi="Arial" w:eastAsia="宋体" w:cs="Arial"/>
                <w:szCs w:val="21"/>
              </w:rPr>
              <w:t>1</w:t>
            </w:r>
          </w:p>
        </w:tc>
        <w:tc>
          <w:tcPr>
            <w:tcW w:w="668" w:type="dxa"/>
            <w:vMerge w:val="restart"/>
            <w:vAlign w:val="center"/>
          </w:tcPr>
          <w:p w14:paraId="2C374484">
            <w:pPr>
              <w:jc w:val="center"/>
              <w:rPr>
                <w:rFonts w:hint="default" w:ascii="Arial" w:hAnsi="Arial" w:eastAsia="宋体" w:cs="Arial"/>
                <w:szCs w:val="21"/>
              </w:rPr>
            </w:pPr>
            <w:r>
              <w:rPr>
                <w:rFonts w:hint="default" w:ascii="Arial" w:hAnsi="Arial" w:eastAsia="宋体" w:cs="Arial"/>
                <w:szCs w:val="21"/>
              </w:rPr>
              <w:t>DW001</w:t>
            </w:r>
          </w:p>
        </w:tc>
        <w:tc>
          <w:tcPr>
            <w:tcW w:w="746" w:type="dxa"/>
            <w:vMerge w:val="restart"/>
            <w:vAlign w:val="center"/>
          </w:tcPr>
          <w:p w14:paraId="1EC701A3">
            <w:pPr>
              <w:jc w:val="center"/>
              <w:rPr>
                <w:rFonts w:hint="default" w:ascii="Arial" w:hAnsi="Arial" w:eastAsia="宋体" w:cs="Arial"/>
                <w:szCs w:val="21"/>
              </w:rPr>
            </w:pPr>
            <w:r>
              <w:rPr>
                <w:rFonts w:hint="default" w:ascii="Arial" w:hAnsi="Arial" w:eastAsia="宋体" w:cs="Arial"/>
                <w:szCs w:val="21"/>
              </w:rPr>
              <w:t>120.975549141</w:t>
            </w:r>
          </w:p>
        </w:tc>
        <w:tc>
          <w:tcPr>
            <w:tcW w:w="673" w:type="dxa"/>
            <w:vMerge w:val="restart"/>
            <w:vAlign w:val="center"/>
          </w:tcPr>
          <w:p w14:paraId="716B4ACA">
            <w:pPr>
              <w:jc w:val="center"/>
              <w:rPr>
                <w:rFonts w:hint="default" w:ascii="Arial" w:hAnsi="Arial" w:eastAsia="宋体" w:cs="Arial"/>
                <w:szCs w:val="21"/>
              </w:rPr>
            </w:pPr>
            <w:r>
              <w:rPr>
                <w:rFonts w:hint="default" w:ascii="Arial" w:hAnsi="Arial" w:eastAsia="宋体" w:cs="Arial"/>
                <w:szCs w:val="21"/>
              </w:rPr>
              <w:t>30.747616373</w:t>
            </w:r>
          </w:p>
        </w:tc>
        <w:tc>
          <w:tcPr>
            <w:tcW w:w="807" w:type="dxa"/>
            <w:vMerge w:val="restart"/>
            <w:vAlign w:val="center"/>
          </w:tcPr>
          <w:p w14:paraId="343FB23F">
            <w:pPr>
              <w:jc w:val="center"/>
              <w:rPr>
                <w:rFonts w:hint="default" w:ascii="Arial" w:hAnsi="Arial" w:eastAsia="宋体" w:cs="Arial"/>
                <w:szCs w:val="21"/>
                <w:lang w:val="en-US" w:eastAsia="zh-CN"/>
              </w:rPr>
            </w:pPr>
            <w:r>
              <w:rPr>
                <w:rFonts w:hint="default" w:ascii="Arial" w:hAnsi="Arial" w:eastAsia="宋体" w:cs="Arial"/>
                <w:szCs w:val="21"/>
                <w:lang w:val="en-US" w:eastAsia="zh-CN"/>
              </w:rPr>
              <w:t>0.576</w:t>
            </w:r>
          </w:p>
        </w:tc>
        <w:tc>
          <w:tcPr>
            <w:tcW w:w="983" w:type="dxa"/>
            <w:vMerge w:val="restart"/>
            <w:vAlign w:val="center"/>
          </w:tcPr>
          <w:p w14:paraId="0B791935">
            <w:pPr>
              <w:jc w:val="center"/>
              <w:rPr>
                <w:rFonts w:hint="default" w:ascii="Arial" w:hAnsi="Arial" w:eastAsia="宋体" w:cs="Arial"/>
                <w:szCs w:val="21"/>
              </w:rPr>
            </w:pPr>
            <w:r>
              <w:rPr>
                <w:rFonts w:hint="default" w:ascii="Arial" w:hAnsi="Arial" w:eastAsia="宋体" w:cs="Arial"/>
                <w:szCs w:val="21"/>
              </w:rPr>
              <w:t>进入城市污水处理厂</w:t>
            </w:r>
          </w:p>
        </w:tc>
        <w:tc>
          <w:tcPr>
            <w:tcW w:w="998" w:type="dxa"/>
            <w:vMerge w:val="restart"/>
            <w:vAlign w:val="center"/>
          </w:tcPr>
          <w:p w14:paraId="0AD18105">
            <w:pPr>
              <w:jc w:val="center"/>
              <w:rPr>
                <w:rFonts w:hint="default" w:ascii="Arial" w:hAnsi="Arial" w:eastAsia="宋体" w:cs="Arial"/>
                <w:szCs w:val="21"/>
              </w:rPr>
            </w:pPr>
            <w:r>
              <w:rPr>
                <w:rFonts w:hint="default" w:ascii="Arial" w:hAnsi="Arial" w:eastAsia="宋体" w:cs="Arial"/>
                <w:szCs w:val="21"/>
              </w:rPr>
              <w:t>间断排放，排放期间流量不稳定，但不属于冲击型排放</w:t>
            </w:r>
          </w:p>
        </w:tc>
        <w:tc>
          <w:tcPr>
            <w:tcW w:w="582" w:type="dxa"/>
            <w:vMerge w:val="restart"/>
            <w:vAlign w:val="center"/>
          </w:tcPr>
          <w:p w14:paraId="6EB9256D">
            <w:pPr>
              <w:jc w:val="center"/>
              <w:rPr>
                <w:rFonts w:hint="default" w:ascii="Arial" w:hAnsi="Arial" w:eastAsia="宋体" w:cs="Arial"/>
                <w:szCs w:val="21"/>
              </w:rPr>
            </w:pPr>
            <w:r>
              <w:rPr>
                <w:rFonts w:hint="default" w:ascii="Arial" w:hAnsi="Arial" w:eastAsia="宋体" w:cs="Arial"/>
                <w:szCs w:val="21"/>
              </w:rPr>
              <w:t>全天</w:t>
            </w:r>
          </w:p>
        </w:tc>
        <w:tc>
          <w:tcPr>
            <w:tcW w:w="710" w:type="dxa"/>
            <w:vMerge w:val="restart"/>
            <w:vAlign w:val="center"/>
          </w:tcPr>
          <w:p w14:paraId="7EE8F2C0">
            <w:pPr>
              <w:jc w:val="center"/>
              <w:rPr>
                <w:rFonts w:hint="default" w:ascii="Arial" w:hAnsi="Arial" w:eastAsia="宋体" w:cs="Arial"/>
                <w:szCs w:val="21"/>
              </w:rPr>
            </w:pPr>
            <w:r>
              <w:rPr>
                <w:rFonts w:hint="default" w:ascii="Arial" w:hAnsi="Arial" w:eastAsia="宋体" w:cs="Arial"/>
                <w:szCs w:val="21"/>
              </w:rPr>
              <w:t>嘉兴市联合污水处理厂</w:t>
            </w:r>
          </w:p>
        </w:tc>
        <w:tc>
          <w:tcPr>
            <w:tcW w:w="705" w:type="dxa"/>
            <w:vAlign w:val="center"/>
          </w:tcPr>
          <w:p w14:paraId="071B6721">
            <w:pPr>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tc>
        <w:tc>
          <w:tcPr>
            <w:tcW w:w="811" w:type="dxa"/>
            <w:vAlign w:val="center"/>
          </w:tcPr>
          <w:p w14:paraId="1F108585">
            <w:pPr>
              <w:jc w:val="center"/>
              <w:rPr>
                <w:rFonts w:hint="default" w:ascii="Arial" w:hAnsi="Arial" w:eastAsia="宋体" w:cs="Arial"/>
                <w:szCs w:val="21"/>
              </w:rPr>
            </w:pPr>
            <w:r>
              <w:rPr>
                <w:rFonts w:hint="default" w:ascii="Arial" w:hAnsi="Arial" w:eastAsia="宋体" w:cs="Arial"/>
                <w:szCs w:val="21"/>
              </w:rPr>
              <w:t>40</w:t>
            </w:r>
          </w:p>
        </w:tc>
      </w:tr>
      <w:tr w14:paraId="41FF0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406961FE">
            <w:pPr>
              <w:widowControl/>
              <w:jc w:val="center"/>
              <w:rPr>
                <w:rFonts w:hint="default" w:ascii="Arial" w:hAnsi="Arial" w:eastAsia="宋体" w:cs="Arial"/>
                <w:szCs w:val="21"/>
              </w:rPr>
            </w:pPr>
          </w:p>
        </w:tc>
        <w:tc>
          <w:tcPr>
            <w:tcW w:w="668" w:type="dxa"/>
            <w:vMerge w:val="continue"/>
            <w:vAlign w:val="center"/>
          </w:tcPr>
          <w:p w14:paraId="2CBF519E">
            <w:pPr>
              <w:widowControl/>
              <w:jc w:val="center"/>
              <w:rPr>
                <w:rFonts w:hint="default" w:ascii="Arial" w:hAnsi="Arial" w:eastAsia="宋体" w:cs="Arial"/>
                <w:szCs w:val="21"/>
              </w:rPr>
            </w:pPr>
          </w:p>
        </w:tc>
        <w:tc>
          <w:tcPr>
            <w:tcW w:w="746" w:type="dxa"/>
            <w:vMerge w:val="continue"/>
            <w:vAlign w:val="center"/>
          </w:tcPr>
          <w:p w14:paraId="168A7AF4">
            <w:pPr>
              <w:widowControl/>
              <w:jc w:val="center"/>
              <w:rPr>
                <w:rFonts w:hint="default" w:ascii="Arial" w:hAnsi="Arial" w:eastAsia="宋体" w:cs="Arial"/>
                <w:szCs w:val="21"/>
              </w:rPr>
            </w:pPr>
          </w:p>
        </w:tc>
        <w:tc>
          <w:tcPr>
            <w:tcW w:w="673" w:type="dxa"/>
            <w:vMerge w:val="continue"/>
            <w:vAlign w:val="center"/>
          </w:tcPr>
          <w:p w14:paraId="21C9D79C">
            <w:pPr>
              <w:widowControl/>
              <w:jc w:val="center"/>
              <w:rPr>
                <w:rFonts w:hint="default" w:ascii="Arial" w:hAnsi="Arial" w:eastAsia="宋体" w:cs="Arial"/>
                <w:szCs w:val="21"/>
              </w:rPr>
            </w:pPr>
          </w:p>
        </w:tc>
        <w:tc>
          <w:tcPr>
            <w:tcW w:w="807" w:type="dxa"/>
            <w:vMerge w:val="continue"/>
            <w:vAlign w:val="center"/>
          </w:tcPr>
          <w:p w14:paraId="5C2EB49F">
            <w:pPr>
              <w:widowControl/>
              <w:jc w:val="center"/>
              <w:rPr>
                <w:rFonts w:hint="default" w:ascii="Arial" w:hAnsi="Arial" w:eastAsia="宋体" w:cs="Arial"/>
                <w:szCs w:val="21"/>
              </w:rPr>
            </w:pPr>
          </w:p>
        </w:tc>
        <w:tc>
          <w:tcPr>
            <w:tcW w:w="983" w:type="dxa"/>
            <w:vMerge w:val="continue"/>
            <w:vAlign w:val="center"/>
          </w:tcPr>
          <w:p w14:paraId="38785EB0">
            <w:pPr>
              <w:widowControl/>
              <w:jc w:val="center"/>
              <w:rPr>
                <w:rFonts w:hint="default" w:ascii="Arial" w:hAnsi="Arial" w:eastAsia="宋体" w:cs="Arial"/>
                <w:szCs w:val="21"/>
              </w:rPr>
            </w:pPr>
          </w:p>
        </w:tc>
        <w:tc>
          <w:tcPr>
            <w:tcW w:w="998" w:type="dxa"/>
            <w:vMerge w:val="continue"/>
            <w:vAlign w:val="center"/>
          </w:tcPr>
          <w:p w14:paraId="6CD68405">
            <w:pPr>
              <w:widowControl/>
              <w:jc w:val="center"/>
              <w:rPr>
                <w:rFonts w:hint="default" w:ascii="Arial" w:hAnsi="Arial" w:eastAsia="宋体" w:cs="Arial"/>
                <w:szCs w:val="21"/>
              </w:rPr>
            </w:pPr>
          </w:p>
        </w:tc>
        <w:tc>
          <w:tcPr>
            <w:tcW w:w="582" w:type="dxa"/>
            <w:vMerge w:val="continue"/>
            <w:vAlign w:val="center"/>
          </w:tcPr>
          <w:p w14:paraId="671E6B32">
            <w:pPr>
              <w:widowControl/>
              <w:jc w:val="center"/>
              <w:rPr>
                <w:rFonts w:hint="default" w:ascii="Arial" w:hAnsi="Arial" w:eastAsia="宋体" w:cs="Arial"/>
                <w:szCs w:val="21"/>
              </w:rPr>
            </w:pPr>
          </w:p>
        </w:tc>
        <w:tc>
          <w:tcPr>
            <w:tcW w:w="710" w:type="dxa"/>
            <w:vMerge w:val="continue"/>
            <w:vAlign w:val="center"/>
          </w:tcPr>
          <w:p w14:paraId="3A42FBD5">
            <w:pPr>
              <w:widowControl/>
              <w:jc w:val="center"/>
              <w:rPr>
                <w:rFonts w:hint="default" w:ascii="Arial" w:hAnsi="Arial" w:eastAsia="宋体" w:cs="Arial"/>
                <w:szCs w:val="21"/>
              </w:rPr>
            </w:pPr>
          </w:p>
        </w:tc>
        <w:tc>
          <w:tcPr>
            <w:tcW w:w="705" w:type="dxa"/>
            <w:vAlign w:val="center"/>
          </w:tcPr>
          <w:p w14:paraId="66999A8D">
            <w:pPr>
              <w:jc w:val="center"/>
              <w:rPr>
                <w:rFonts w:hint="default" w:ascii="Arial" w:hAnsi="Arial" w:eastAsia="宋体" w:cs="Arial"/>
                <w:szCs w:val="21"/>
              </w:rPr>
            </w:pP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tc>
        <w:tc>
          <w:tcPr>
            <w:tcW w:w="811" w:type="dxa"/>
            <w:vAlign w:val="center"/>
          </w:tcPr>
          <w:p w14:paraId="0464E115">
            <w:pPr>
              <w:jc w:val="center"/>
              <w:rPr>
                <w:rFonts w:hint="default" w:ascii="Arial" w:hAnsi="Arial" w:eastAsia="宋体" w:cs="Arial"/>
                <w:szCs w:val="21"/>
              </w:rPr>
            </w:pPr>
            <w:r>
              <w:rPr>
                <w:rFonts w:hint="default" w:ascii="Arial" w:hAnsi="Arial" w:eastAsia="宋体" w:cs="Arial"/>
                <w:szCs w:val="21"/>
              </w:rPr>
              <w:t>2（4）</w:t>
            </w:r>
          </w:p>
        </w:tc>
      </w:tr>
      <w:tr w14:paraId="534E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6744DDF9">
            <w:pPr>
              <w:jc w:val="center"/>
              <w:rPr>
                <w:rFonts w:hint="default" w:ascii="Arial" w:hAnsi="Arial" w:eastAsia="宋体" w:cs="Arial"/>
              </w:rPr>
            </w:pPr>
          </w:p>
        </w:tc>
        <w:tc>
          <w:tcPr>
            <w:tcW w:w="668" w:type="dxa"/>
            <w:vMerge w:val="continue"/>
            <w:vAlign w:val="center"/>
          </w:tcPr>
          <w:p w14:paraId="0BB7F15A">
            <w:pPr>
              <w:jc w:val="center"/>
              <w:rPr>
                <w:rFonts w:hint="default" w:ascii="Arial" w:hAnsi="Arial" w:eastAsia="宋体" w:cs="Arial"/>
              </w:rPr>
            </w:pPr>
          </w:p>
        </w:tc>
        <w:tc>
          <w:tcPr>
            <w:tcW w:w="746" w:type="dxa"/>
            <w:vMerge w:val="continue"/>
            <w:vAlign w:val="center"/>
          </w:tcPr>
          <w:p w14:paraId="54F0ED0C">
            <w:pPr>
              <w:jc w:val="center"/>
              <w:rPr>
                <w:rFonts w:hint="default" w:ascii="Arial" w:hAnsi="Arial" w:eastAsia="宋体" w:cs="Arial"/>
              </w:rPr>
            </w:pPr>
          </w:p>
        </w:tc>
        <w:tc>
          <w:tcPr>
            <w:tcW w:w="673" w:type="dxa"/>
            <w:vMerge w:val="continue"/>
            <w:vAlign w:val="center"/>
          </w:tcPr>
          <w:p w14:paraId="40D0678B">
            <w:pPr>
              <w:jc w:val="center"/>
              <w:rPr>
                <w:rFonts w:hint="default" w:ascii="Arial" w:hAnsi="Arial" w:eastAsia="宋体" w:cs="Arial"/>
              </w:rPr>
            </w:pPr>
          </w:p>
        </w:tc>
        <w:tc>
          <w:tcPr>
            <w:tcW w:w="807" w:type="dxa"/>
            <w:vMerge w:val="continue"/>
            <w:vAlign w:val="center"/>
          </w:tcPr>
          <w:p w14:paraId="1DA513BC">
            <w:pPr>
              <w:jc w:val="center"/>
              <w:rPr>
                <w:rFonts w:hint="default" w:ascii="Arial" w:hAnsi="Arial" w:eastAsia="宋体" w:cs="Arial"/>
              </w:rPr>
            </w:pPr>
          </w:p>
        </w:tc>
        <w:tc>
          <w:tcPr>
            <w:tcW w:w="983" w:type="dxa"/>
            <w:vMerge w:val="continue"/>
            <w:vAlign w:val="center"/>
          </w:tcPr>
          <w:p w14:paraId="26AE0771">
            <w:pPr>
              <w:jc w:val="center"/>
              <w:rPr>
                <w:rFonts w:hint="default" w:ascii="Arial" w:hAnsi="Arial" w:eastAsia="宋体" w:cs="Arial"/>
              </w:rPr>
            </w:pPr>
          </w:p>
        </w:tc>
        <w:tc>
          <w:tcPr>
            <w:tcW w:w="998" w:type="dxa"/>
            <w:vMerge w:val="continue"/>
            <w:vAlign w:val="center"/>
          </w:tcPr>
          <w:p w14:paraId="14CCC49A">
            <w:pPr>
              <w:jc w:val="center"/>
              <w:rPr>
                <w:rFonts w:hint="default" w:ascii="Arial" w:hAnsi="Arial" w:eastAsia="宋体" w:cs="Arial"/>
              </w:rPr>
            </w:pPr>
          </w:p>
        </w:tc>
        <w:tc>
          <w:tcPr>
            <w:tcW w:w="582" w:type="dxa"/>
            <w:vMerge w:val="continue"/>
            <w:vAlign w:val="center"/>
          </w:tcPr>
          <w:p w14:paraId="751C392E">
            <w:pPr>
              <w:jc w:val="center"/>
              <w:rPr>
                <w:rFonts w:hint="default" w:ascii="Arial" w:hAnsi="Arial" w:eastAsia="宋体" w:cs="Arial"/>
              </w:rPr>
            </w:pPr>
          </w:p>
        </w:tc>
        <w:tc>
          <w:tcPr>
            <w:tcW w:w="710" w:type="dxa"/>
            <w:vMerge w:val="continue"/>
            <w:vAlign w:val="center"/>
          </w:tcPr>
          <w:p w14:paraId="5A042A3A">
            <w:pPr>
              <w:jc w:val="center"/>
              <w:rPr>
                <w:rFonts w:hint="default" w:ascii="Arial" w:hAnsi="Arial" w:eastAsia="宋体" w:cs="Arial"/>
              </w:rPr>
            </w:pPr>
          </w:p>
        </w:tc>
        <w:tc>
          <w:tcPr>
            <w:tcW w:w="705" w:type="dxa"/>
            <w:shd w:val="clear" w:color="auto" w:fill="auto"/>
            <w:vAlign w:val="center"/>
          </w:tcPr>
          <w:p w14:paraId="11FDDB5B">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总氮</w:t>
            </w:r>
          </w:p>
        </w:tc>
        <w:tc>
          <w:tcPr>
            <w:tcW w:w="811" w:type="dxa"/>
            <w:shd w:val="clear" w:color="auto" w:fill="auto"/>
            <w:vAlign w:val="center"/>
          </w:tcPr>
          <w:p w14:paraId="1E3E8E0C">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12（15）</w:t>
            </w:r>
          </w:p>
        </w:tc>
      </w:tr>
      <w:tr w14:paraId="5243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70C9C5B0">
            <w:pPr>
              <w:jc w:val="center"/>
              <w:rPr>
                <w:rFonts w:hint="default" w:ascii="Arial" w:hAnsi="Arial" w:eastAsia="宋体" w:cs="Arial"/>
                <w:szCs w:val="21"/>
              </w:rPr>
            </w:pPr>
          </w:p>
        </w:tc>
        <w:tc>
          <w:tcPr>
            <w:tcW w:w="668" w:type="dxa"/>
            <w:vMerge w:val="continue"/>
            <w:vAlign w:val="center"/>
          </w:tcPr>
          <w:p w14:paraId="099ED4EA">
            <w:pPr>
              <w:jc w:val="center"/>
              <w:rPr>
                <w:rFonts w:hint="default" w:ascii="Arial" w:hAnsi="Arial" w:eastAsia="宋体" w:cs="Arial"/>
                <w:szCs w:val="21"/>
              </w:rPr>
            </w:pPr>
          </w:p>
        </w:tc>
        <w:tc>
          <w:tcPr>
            <w:tcW w:w="746" w:type="dxa"/>
            <w:vMerge w:val="continue"/>
            <w:vAlign w:val="center"/>
          </w:tcPr>
          <w:p w14:paraId="7CE0F436">
            <w:pPr>
              <w:jc w:val="center"/>
              <w:rPr>
                <w:rFonts w:hint="default" w:ascii="Arial" w:hAnsi="Arial" w:eastAsia="宋体" w:cs="Arial"/>
                <w:szCs w:val="21"/>
              </w:rPr>
            </w:pPr>
          </w:p>
        </w:tc>
        <w:tc>
          <w:tcPr>
            <w:tcW w:w="673" w:type="dxa"/>
            <w:vMerge w:val="continue"/>
            <w:vAlign w:val="center"/>
          </w:tcPr>
          <w:p w14:paraId="4167A6A5">
            <w:pPr>
              <w:jc w:val="center"/>
              <w:rPr>
                <w:rFonts w:hint="default" w:ascii="Arial" w:hAnsi="Arial" w:eastAsia="宋体" w:cs="Arial"/>
                <w:szCs w:val="21"/>
              </w:rPr>
            </w:pPr>
          </w:p>
        </w:tc>
        <w:tc>
          <w:tcPr>
            <w:tcW w:w="807" w:type="dxa"/>
            <w:vMerge w:val="continue"/>
            <w:vAlign w:val="center"/>
          </w:tcPr>
          <w:p w14:paraId="1235D3E8">
            <w:pPr>
              <w:jc w:val="center"/>
              <w:rPr>
                <w:rFonts w:hint="default" w:ascii="Arial" w:hAnsi="Arial" w:eastAsia="宋体" w:cs="Arial"/>
                <w:szCs w:val="21"/>
              </w:rPr>
            </w:pPr>
          </w:p>
        </w:tc>
        <w:tc>
          <w:tcPr>
            <w:tcW w:w="983" w:type="dxa"/>
            <w:vMerge w:val="continue"/>
            <w:vAlign w:val="center"/>
          </w:tcPr>
          <w:p w14:paraId="70C8E61A">
            <w:pPr>
              <w:jc w:val="center"/>
              <w:rPr>
                <w:rFonts w:hint="default" w:ascii="Arial" w:hAnsi="Arial" w:eastAsia="宋体" w:cs="Arial"/>
                <w:szCs w:val="21"/>
              </w:rPr>
            </w:pPr>
          </w:p>
        </w:tc>
        <w:tc>
          <w:tcPr>
            <w:tcW w:w="998" w:type="dxa"/>
            <w:vMerge w:val="continue"/>
            <w:vAlign w:val="center"/>
          </w:tcPr>
          <w:p w14:paraId="442EAA7A">
            <w:pPr>
              <w:jc w:val="center"/>
              <w:rPr>
                <w:rFonts w:hint="default" w:ascii="Arial" w:hAnsi="Arial" w:eastAsia="宋体" w:cs="Arial"/>
                <w:szCs w:val="21"/>
              </w:rPr>
            </w:pPr>
          </w:p>
        </w:tc>
        <w:tc>
          <w:tcPr>
            <w:tcW w:w="582" w:type="dxa"/>
            <w:vMerge w:val="continue"/>
            <w:vAlign w:val="center"/>
          </w:tcPr>
          <w:p w14:paraId="1E98FE3E">
            <w:pPr>
              <w:jc w:val="center"/>
              <w:rPr>
                <w:rFonts w:hint="default" w:ascii="Arial" w:hAnsi="Arial" w:eastAsia="宋体" w:cs="Arial"/>
                <w:szCs w:val="21"/>
              </w:rPr>
            </w:pPr>
          </w:p>
        </w:tc>
        <w:tc>
          <w:tcPr>
            <w:tcW w:w="710" w:type="dxa"/>
            <w:vMerge w:val="continue"/>
            <w:vAlign w:val="center"/>
          </w:tcPr>
          <w:p w14:paraId="10B4D5CE">
            <w:pPr>
              <w:jc w:val="center"/>
              <w:rPr>
                <w:rFonts w:hint="default" w:ascii="Arial" w:hAnsi="Arial" w:eastAsia="宋体" w:cs="Arial"/>
                <w:szCs w:val="21"/>
              </w:rPr>
            </w:pPr>
          </w:p>
        </w:tc>
        <w:tc>
          <w:tcPr>
            <w:tcW w:w="705" w:type="dxa"/>
            <w:shd w:val="clear" w:color="auto" w:fill="auto"/>
            <w:vAlign w:val="center"/>
          </w:tcPr>
          <w:p w14:paraId="34CEA067">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石油类</w:t>
            </w:r>
          </w:p>
        </w:tc>
        <w:tc>
          <w:tcPr>
            <w:tcW w:w="811" w:type="dxa"/>
            <w:shd w:val="clear" w:color="auto" w:fill="auto"/>
            <w:vAlign w:val="center"/>
          </w:tcPr>
          <w:p w14:paraId="533FEA51">
            <w:pPr>
              <w:adjustRightInd w:val="0"/>
              <w:snapToGrid w:val="0"/>
              <w:jc w:val="center"/>
              <w:rPr>
                <w:rFonts w:hint="default" w:ascii="Arial" w:hAnsi="Arial" w:eastAsia="宋体" w:cs="Arial"/>
                <w:kern w:val="2"/>
                <w:sz w:val="21"/>
                <w:szCs w:val="20"/>
                <w:lang w:val="en-US" w:eastAsia="zh-CN" w:bidi="ar-SA"/>
              </w:rPr>
            </w:pPr>
            <w:r>
              <w:rPr>
                <w:rFonts w:hint="default" w:ascii="Arial" w:hAnsi="Arial" w:eastAsia="宋体" w:cs="Arial"/>
                <w:szCs w:val="20"/>
              </w:rPr>
              <w:t>1</w:t>
            </w:r>
          </w:p>
        </w:tc>
      </w:tr>
      <w:tr w14:paraId="3373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5AE07C71">
            <w:pPr>
              <w:adjustRightInd w:val="0"/>
              <w:snapToGrid w:val="0"/>
              <w:jc w:val="center"/>
              <w:rPr>
                <w:rFonts w:hint="default" w:ascii="Arial" w:hAnsi="Arial" w:eastAsia="宋体" w:cs="Arial"/>
              </w:rPr>
            </w:pPr>
          </w:p>
        </w:tc>
        <w:tc>
          <w:tcPr>
            <w:tcW w:w="668" w:type="dxa"/>
            <w:vMerge w:val="continue"/>
            <w:vAlign w:val="center"/>
          </w:tcPr>
          <w:p w14:paraId="1992C276">
            <w:pPr>
              <w:adjustRightInd w:val="0"/>
              <w:snapToGrid w:val="0"/>
              <w:jc w:val="center"/>
              <w:rPr>
                <w:rFonts w:hint="default" w:ascii="Arial" w:hAnsi="Arial" w:eastAsia="宋体" w:cs="Arial"/>
              </w:rPr>
            </w:pPr>
          </w:p>
        </w:tc>
        <w:tc>
          <w:tcPr>
            <w:tcW w:w="746" w:type="dxa"/>
            <w:vMerge w:val="continue"/>
            <w:vAlign w:val="center"/>
          </w:tcPr>
          <w:p w14:paraId="01F4614E">
            <w:pPr>
              <w:adjustRightInd w:val="0"/>
              <w:snapToGrid w:val="0"/>
              <w:jc w:val="center"/>
              <w:rPr>
                <w:rFonts w:hint="default" w:ascii="Arial" w:hAnsi="Arial" w:eastAsia="宋体" w:cs="Arial"/>
              </w:rPr>
            </w:pPr>
          </w:p>
        </w:tc>
        <w:tc>
          <w:tcPr>
            <w:tcW w:w="673" w:type="dxa"/>
            <w:vMerge w:val="continue"/>
            <w:vAlign w:val="center"/>
          </w:tcPr>
          <w:p w14:paraId="5BFD82F2">
            <w:pPr>
              <w:adjustRightInd w:val="0"/>
              <w:snapToGrid w:val="0"/>
              <w:jc w:val="center"/>
              <w:rPr>
                <w:rFonts w:hint="default" w:ascii="Arial" w:hAnsi="Arial" w:eastAsia="宋体" w:cs="Arial"/>
              </w:rPr>
            </w:pPr>
          </w:p>
        </w:tc>
        <w:tc>
          <w:tcPr>
            <w:tcW w:w="807" w:type="dxa"/>
            <w:vMerge w:val="continue"/>
            <w:vAlign w:val="center"/>
          </w:tcPr>
          <w:p w14:paraId="730DE9C4">
            <w:pPr>
              <w:adjustRightInd w:val="0"/>
              <w:snapToGrid w:val="0"/>
              <w:jc w:val="center"/>
              <w:rPr>
                <w:rFonts w:hint="default" w:ascii="Arial" w:hAnsi="Arial" w:eastAsia="宋体" w:cs="Arial"/>
              </w:rPr>
            </w:pPr>
          </w:p>
        </w:tc>
        <w:tc>
          <w:tcPr>
            <w:tcW w:w="983" w:type="dxa"/>
            <w:vMerge w:val="continue"/>
            <w:vAlign w:val="center"/>
          </w:tcPr>
          <w:p w14:paraId="772EF461">
            <w:pPr>
              <w:adjustRightInd w:val="0"/>
              <w:snapToGrid w:val="0"/>
              <w:jc w:val="center"/>
              <w:rPr>
                <w:rFonts w:hint="default" w:ascii="Arial" w:hAnsi="Arial" w:eastAsia="宋体" w:cs="Arial"/>
              </w:rPr>
            </w:pPr>
          </w:p>
        </w:tc>
        <w:tc>
          <w:tcPr>
            <w:tcW w:w="998" w:type="dxa"/>
            <w:vMerge w:val="continue"/>
            <w:vAlign w:val="center"/>
          </w:tcPr>
          <w:p w14:paraId="5CA41E23">
            <w:pPr>
              <w:adjustRightInd w:val="0"/>
              <w:snapToGrid w:val="0"/>
              <w:jc w:val="center"/>
              <w:rPr>
                <w:rFonts w:hint="default" w:ascii="Arial" w:hAnsi="Arial" w:eastAsia="宋体" w:cs="Arial"/>
              </w:rPr>
            </w:pPr>
          </w:p>
        </w:tc>
        <w:tc>
          <w:tcPr>
            <w:tcW w:w="582" w:type="dxa"/>
            <w:vMerge w:val="continue"/>
            <w:vAlign w:val="center"/>
          </w:tcPr>
          <w:p w14:paraId="49A619C8">
            <w:pPr>
              <w:adjustRightInd w:val="0"/>
              <w:snapToGrid w:val="0"/>
              <w:jc w:val="center"/>
              <w:rPr>
                <w:rFonts w:hint="default" w:ascii="Arial" w:hAnsi="Arial" w:eastAsia="宋体" w:cs="Arial"/>
              </w:rPr>
            </w:pPr>
          </w:p>
        </w:tc>
        <w:tc>
          <w:tcPr>
            <w:tcW w:w="710" w:type="dxa"/>
            <w:vMerge w:val="continue"/>
            <w:vAlign w:val="center"/>
          </w:tcPr>
          <w:p w14:paraId="370D925D">
            <w:pPr>
              <w:adjustRightInd w:val="0"/>
              <w:snapToGrid w:val="0"/>
              <w:jc w:val="center"/>
              <w:rPr>
                <w:rFonts w:hint="default" w:ascii="Arial" w:hAnsi="Arial" w:eastAsia="宋体" w:cs="Arial"/>
              </w:rPr>
            </w:pPr>
          </w:p>
        </w:tc>
        <w:tc>
          <w:tcPr>
            <w:tcW w:w="705" w:type="dxa"/>
            <w:shd w:val="clear" w:color="auto" w:fill="auto"/>
            <w:vAlign w:val="center"/>
          </w:tcPr>
          <w:p w14:paraId="0427C69F">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SS</w:t>
            </w:r>
          </w:p>
        </w:tc>
        <w:tc>
          <w:tcPr>
            <w:tcW w:w="811" w:type="dxa"/>
            <w:shd w:val="clear" w:color="auto" w:fill="auto"/>
            <w:vAlign w:val="center"/>
          </w:tcPr>
          <w:p w14:paraId="4B36BAD8">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10</w:t>
            </w:r>
          </w:p>
        </w:tc>
      </w:tr>
      <w:tr w14:paraId="635E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225" w:type="dxa"/>
            <w:vMerge w:val="continue"/>
            <w:vAlign w:val="center"/>
          </w:tcPr>
          <w:p w14:paraId="609AB3FE">
            <w:pPr>
              <w:adjustRightInd w:val="0"/>
              <w:snapToGrid w:val="0"/>
              <w:jc w:val="center"/>
              <w:rPr>
                <w:rFonts w:hint="default" w:ascii="Arial" w:hAnsi="Arial" w:eastAsia="宋体" w:cs="Arial"/>
              </w:rPr>
            </w:pPr>
          </w:p>
        </w:tc>
        <w:tc>
          <w:tcPr>
            <w:tcW w:w="668" w:type="dxa"/>
            <w:vMerge w:val="continue"/>
            <w:vAlign w:val="center"/>
          </w:tcPr>
          <w:p w14:paraId="652EF345">
            <w:pPr>
              <w:adjustRightInd w:val="0"/>
              <w:snapToGrid w:val="0"/>
              <w:jc w:val="center"/>
              <w:rPr>
                <w:rFonts w:hint="default" w:ascii="Arial" w:hAnsi="Arial" w:eastAsia="宋体" w:cs="Arial"/>
              </w:rPr>
            </w:pPr>
          </w:p>
        </w:tc>
        <w:tc>
          <w:tcPr>
            <w:tcW w:w="746" w:type="dxa"/>
            <w:vMerge w:val="continue"/>
            <w:vAlign w:val="center"/>
          </w:tcPr>
          <w:p w14:paraId="0AC51EBA">
            <w:pPr>
              <w:adjustRightInd w:val="0"/>
              <w:snapToGrid w:val="0"/>
              <w:jc w:val="center"/>
              <w:rPr>
                <w:rFonts w:hint="default" w:ascii="Arial" w:hAnsi="Arial" w:eastAsia="宋体" w:cs="Arial"/>
              </w:rPr>
            </w:pPr>
          </w:p>
        </w:tc>
        <w:tc>
          <w:tcPr>
            <w:tcW w:w="673" w:type="dxa"/>
            <w:vMerge w:val="continue"/>
            <w:vAlign w:val="center"/>
          </w:tcPr>
          <w:p w14:paraId="6DC33643">
            <w:pPr>
              <w:adjustRightInd w:val="0"/>
              <w:snapToGrid w:val="0"/>
              <w:jc w:val="center"/>
              <w:rPr>
                <w:rFonts w:hint="default" w:ascii="Arial" w:hAnsi="Arial" w:eastAsia="宋体" w:cs="Arial"/>
              </w:rPr>
            </w:pPr>
          </w:p>
        </w:tc>
        <w:tc>
          <w:tcPr>
            <w:tcW w:w="807" w:type="dxa"/>
            <w:vMerge w:val="continue"/>
            <w:vAlign w:val="center"/>
          </w:tcPr>
          <w:p w14:paraId="60A9CD32">
            <w:pPr>
              <w:adjustRightInd w:val="0"/>
              <w:snapToGrid w:val="0"/>
              <w:jc w:val="center"/>
              <w:rPr>
                <w:rFonts w:hint="default" w:ascii="Arial" w:hAnsi="Arial" w:eastAsia="宋体" w:cs="Arial"/>
              </w:rPr>
            </w:pPr>
          </w:p>
        </w:tc>
        <w:tc>
          <w:tcPr>
            <w:tcW w:w="983" w:type="dxa"/>
            <w:vMerge w:val="continue"/>
            <w:vAlign w:val="center"/>
          </w:tcPr>
          <w:p w14:paraId="32946E87">
            <w:pPr>
              <w:adjustRightInd w:val="0"/>
              <w:snapToGrid w:val="0"/>
              <w:jc w:val="center"/>
              <w:rPr>
                <w:rFonts w:hint="default" w:ascii="Arial" w:hAnsi="Arial" w:eastAsia="宋体" w:cs="Arial"/>
              </w:rPr>
            </w:pPr>
          </w:p>
        </w:tc>
        <w:tc>
          <w:tcPr>
            <w:tcW w:w="998" w:type="dxa"/>
            <w:vMerge w:val="continue"/>
            <w:vAlign w:val="center"/>
          </w:tcPr>
          <w:p w14:paraId="2AA812D5">
            <w:pPr>
              <w:adjustRightInd w:val="0"/>
              <w:snapToGrid w:val="0"/>
              <w:jc w:val="center"/>
              <w:rPr>
                <w:rFonts w:hint="default" w:ascii="Arial" w:hAnsi="Arial" w:eastAsia="宋体" w:cs="Arial"/>
              </w:rPr>
            </w:pPr>
          </w:p>
        </w:tc>
        <w:tc>
          <w:tcPr>
            <w:tcW w:w="582" w:type="dxa"/>
            <w:vMerge w:val="continue"/>
            <w:vAlign w:val="center"/>
          </w:tcPr>
          <w:p w14:paraId="2B10C1CD">
            <w:pPr>
              <w:adjustRightInd w:val="0"/>
              <w:snapToGrid w:val="0"/>
              <w:jc w:val="center"/>
              <w:rPr>
                <w:rFonts w:hint="default" w:ascii="Arial" w:hAnsi="Arial" w:eastAsia="宋体" w:cs="Arial"/>
              </w:rPr>
            </w:pPr>
          </w:p>
        </w:tc>
        <w:tc>
          <w:tcPr>
            <w:tcW w:w="710" w:type="dxa"/>
            <w:vMerge w:val="continue"/>
            <w:vAlign w:val="center"/>
          </w:tcPr>
          <w:p w14:paraId="55ABBF9A">
            <w:pPr>
              <w:adjustRightInd w:val="0"/>
              <w:snapToGrid w:val="0"/>
              <w:jc w:val="center"/>
              <w:rPr>
                <w:rFonts w:hint="default" w:ascii="Arial" w:hAnsi="Arial" w:eastAsia="宋体" w:cs="Arial"/>
              </w:rPr>
            </w:pPr>
          </w:p>
        </w:tc>
        <w:tc>
          <w:tcPr>
            <w:tcW w:w="705" w:type="dxa"/>
            <w:shd w:val="clear" w:color="auto" w:fill="auto"/>
            <w:vAlign w:val="center"/>
          </w:tcPr>
          <w:p w14:paraId="20A5E12A">
            <w:pPr>
              <w:adjustRightInd w:val="0"/>
              <w:snapToGrid w:val="0"/>
              <w:jc w:val="center"/>
              <w:rPr>
                <w:rFonts w:hint="default" w:ascii="Arial" w:hAnsi="Arial" w:eastAsia="宋体" w:cs="Arial"/>
                <w:szCs w:val="21"/>
                <w:lang w:val="en-US" w:eastAsia="zh-CN"/>
              </w:rPr>
            </w:pPr>
            <w:r>
              <w:rPr>
                <w:rFonts w:hint="default" w:ascii="Arial" w:hAnsi="Arial" w:eastAsia="宋体" w:cs="Arial"/>
                <w:szCs w:val="21"/>
                <w:lang w:val="en-US" w:eastAsia="zh-CN"/>
              </w:rPr>
              <w:t>LAS</w:t>
            </w:r>
          </w:p>
        </w:tc>
        <w:tc>
          <w:tcPr>
            <w:tcW w:w="811" w:type="dxa"/>
            <w:shd w:val="clear" w:color="auto" w:fill="auto"/>
            <w:vAlign w:val="center"/>
          </w:tcPr>
          <w:p w14:paraId="14EE6616">
            <w:pPr>
              <w:adjustRightInd w:val="0"/>
              <w:snapToGrid w:val="0"/>
              <w:jc w:val="center"/>
              <w:rPr>
                <w:rFonts w:hint="eastAsia" w:ascii="Arial" w:hAnsi="Arial" w:eastAsia="宋体" w:cs="Arial"/>
                <w:szCs w:val="21"/>
                <w:lang w:val="en-US" w:eastAsia="zh-CN"/>
              </w:rPr>
            </w:pPr>
            <w:r>
              <w:rPr>
                <w:rFonts w:hint="eastAsia" w:ascii="Arial" w:hAnsi="Arial" w:eastAsia="宋体" w:cs="Arial"/>
                <w:szCs w:val="21"/>
                <w:lang w:val="en-US" w:eastAsia="zh-CN"/>
              </w:rPr>
              <w:t>/</w:t>
            </w:r>
          </w:p>
        </w:tc>
      </w:tr>
    </w:tbl>
    <w:p w14:paraId="7AABE77D">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废水污染物排放执行标准表</w:t>
      </w:r>
    </w:p>
    <w:tbl>
      <w:tblPr>
        <w:tblStyle w:val="52"/>
        <w:tblW w:w="4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6"/>
        <w:gridCol w:w="1168"/>
        <w:gridCol w:w="1070"/>
        <w:gridCol w:w="3692"/>
        <w:gridCol w:w="1491"/>
      </w:tblGrid>
      <w:tr w14:paraId="445E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restart"/>
            <w:noWrap/>
            <w:vAlign w:val="center"/>
          </w:tcPr>
          <w:p w14:paraId="208E86C4">
            <w:pPr>
              <w:jc w:val="center"/>
              <w:rPr>
                <w:rFonts w:hint="default" w:ascii="Arial" w:hAnsi="Arial" w:eastAsia="宋体" w:cs="Arial"/>
                <w:szCs w:val="21"/>
              </w:rPr>
            </w:pPr>
            <w:r>
              <w:rPr>
                <w:rFonts w:hint="default" w:ascii="Arial" w:hAnsi="Arial" w:eastAsia="宋体" w:cs="Arial"/>
                <w:szCs w:val="21"/>
              </w:rPr>
              <w:t>序号</w:t>
            </w:r>
          </w:p>
        </w:tc>
        <w:tc>
          <w:tcPr>
            <w:tcW w:w="1167" w:type="dxa"/>
            <w:vMerge w:val="restart"/>
            <w:noWrap/>
            <w:vAlign w:val="center"/>
          </w:tcPr>
          <w:p w14:paraId="5D046615">
            <w:pPr>
              <w:jc w:val="center"/>
              <w:rPr>
                <w:rFonts w:hint="default" w:ascii="Arial" w:hAnsi="Arial" w:eastAsia="宋体" w:cs="Arial"/>
                <w:szCs w:val="21"/>
              </w:rPr>
            </w:pPr>
            <w:r>
              <w:rPr>
                <w:rFonts w:hint="default" w:ascii="Arial" w:hAnsi="Arial" w:eastAsia="宋体" w:cs="Arial"/>
                <w:szCs w:val="21"/>
              </w:rPr>
              <w:t>排放口编号</w:t>
            </w:r>
          </w:p>
        </w:tc>
        <w:tc>
          <w:tcPr>
            <w:tcW w:w="1069" w:type="dxa"/>
            <w:vMerge w:val="restart"/>
            <w:noWrap/>
            <w:vAlign w:val="center"/>
          </w:tcPr>
          <w:p w14:paraId="5F062B6F">
            <w:pPr>
              <w:jc w:val="center"/>
              <w:rPr>
                <w:rFonts w:hint="default" w:ascii="Arial" w:hAnsi="Arial" w:eastAsia="宋体" w:cs="Arial"/>
                <w:szCs w:val="21"/>
              </w:rPr>
            </w:pPr>
            <w:r>
              <w:rPr>
                <w:rFonts w:hint="default" w:ascii="Arial" w:hAnsi="Arial" w:eastAsia="宋体" w:cs="Arial"/>
                <w:szCs w:val="21"/>
              </w:rPr>
              <w:t>污染物种类</w:t>
            </w:r>
          </w:p>
        </w:tc>
        <w:tc>
          <w:tcPr>
            <w:tcW w:w="5177" w:type="dxa"/>
            <w:gridSpan w:val="2"/>
            <w:noWrap/>
            <w:vAlign w:val="center"/>
          </w:tcPr>
          <w:p w14:paraId="004F1DAB">
            <w:pPr>
              <w:jc w:val="center"/>
              <w:rPr>
                <w:rFonts w:hint="default" w:ascii="Arial" w:hAnsi="Arial" w:eastAsia="宋体" w:cs="Arial"/>
                <w:szCs w:val="21"/>
              </w:rPr>
            </w:pPr>
            <w:r>
              <w:rPr>
                <w:rFonts w:hint="default" w:ascii="Arial" w:hAnsi="Arial" w:eastAsia="宋体" w:cs="Arial"/>
                <w:szCs w:val="21"/>
              </w:rPr>
              <w:t>国家或地方污染物排放标准及其他按规定商定的排放协议</w:t>
            </w:r>
          </w:p>
        </w:tc>
      </w:tr>
      <w:tr w14:paraId="6B20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noWrap/>
            <w:vAlign w:val="center"/>
          </w:tcPr>
          <w:p w14:paraId="101A6481">
            <w:pPr>
              <w:widowControl/>
              <w:jc w:val="center"/>
              <w:rPr>
                <w:rFonts w:hint="default" w:ascii="Arial" w:hAnsi="Arial" w:eastAsia="宋体" w:cs="Arial"/>
                <w:szCs w:val="21"/>
              </w:rPr>
            </w:pPr>
          </w:p>
        </w:tc>
        <w:tc>
          <w:tcPr>
            <w:tcW w:w="1167" w:type="dxa"/>
            <w:vMerge w:val="continue"/>
            <w:noWrap/>
            <w:vAlign w:val="center"/>
          </w:tcPr>
          <w:p w14:paraId="2D3FA00A">
            <w:pPr>
              <w:widowControl/>
              <w:jc w:val="center"/>
              <w:rPr>
                <w:rFonts w:hint="default" w:ascii="Arial" w:hAnsi="Arial" w:eastAsia="宋体" w:cs="Arial"/>
                <w:szCs w:val="21"/>
              </w:rPr>
            </w:pPr>
          </w:p>
        </w:tc>
        <w:tc>
          <w:tcPr>
            <w:tcW w:w="1069" w:type="dxa"/>
            <w:vMerge w:val="continue"/>
            <w:noWrap/>
            <w:vAlign w:val="center"/>
          </w:tcPr>
          <w:p w14:paraId="33EF764C">
            <w:pPr>
              <w:widowControl/>
              <w:jc w:val="center"/>
              <w:rPr>
                <w:rFonts w:hint="default" w:ascii="Arial" w:hAnsi="Arial" w:eastAsia="宋体" w:cs="Arial"/>
                <w:szCs w:val="21"/>
              </w:rPr>
            </w:pPr>
          </w:p>
        </w:tc>
        <w:tc>
          <w:tcPr>
            <w:tcW w:w="3688" w:type="dxa"/>
            <w:noWrap/>
            <w:vAlign w:val="center"/>
          </w:tcPr>
          <w:p w14:paraId="7103C32B">
            <w:pPr>
              <w:jc w:val="center"/>
              <w:rPr>
                <w:rFonts w:hint="default" w:ascii="Arial" w:hAnsi="Arial" w:eastAsia="宋体" w:cs="Arial"/>
                <w:szCs w:val="21"/>
              </w:rPr>
            </w:pPr>
            <w:r>
              <w:rPr>
                <w:rFonts w:hint="default" w:ascii="Arial" w:hAnsi="Arial" w:eastAsia="宋体" w:cs="Arial"/>
                <w:szCs w:val="21"/>
              </w:rPr>
              <w:t>名称</w:t>
            </w:r>
          </w:p>
        </w:tc>
        <w:tc>
          <w:tcPr>
            <w:tcW w:w="1489" w:type="dxa"/>
            <w:noWrap/>
            <w:vAlign w:val="center"/>
          </w:tcPr>
          <w:p w14:paraId="135256F5">
            <w:pPr>
              <w:jc w:val="center"/>
              <w:rPr>
                <w:rFonts w:hint="default" w:ascii="Arial" w:hAnsi="Arial" w:eastAsia="宋体" w:cs="Arial"/>
                <w:szCs w:val="21"/>
              </w:rPr>
            </w:pPr>
            <w:r>
              <w:rPr>
                <w:rFonts w:hint="default" w:ascii="Arial" w:hAnsi="Arial" w:eastAsia="宋体" w:cs="Arial"/>
                <w:szCs w:val="21"/>
              </w:rPr>
              <w:t>浓度限值/（mg/L）</w:t>
            </w:r>
          </w:p>
        </w:tc>
      </w:tr>
      <w:tr w14:paraId="0EAEF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restart"/>
            <w:noWrap/>
            <w:vAlign w:val="center"/>
          </w:tcPr>
          <w:p w14:paraId="79B05B85">
            <w:pPr>
              <w:widowControl/>
              <w:jc w:val="center"/>
              <w:rPr>
                <w:rFonts w:hint="default" w:ascii="Arial" w:hAnsi="Arial" w:eastAsia="宋体" w:cs="Arial"/>
                <w:szCs w:val="21"/>
              </w:rPr>
            </w:pPr>
            <w:r>
              <w:rPr>
                <w:rFonts w:hint="default" w:ascii="Arial" w:hAnsi="Arial" w:eastAsia="宋体" w:cs="Arial"/>
                <w:szCs w:val="21"/>
              </w:rPr>
              <w:t>1</w:t>
            </w:r>
          </w:p>
        </w:tc>
        <w:tc>
          <w:tcPr>
            <w:tcW w:w="1167" w:type="dxa"/>
            <w:vMerge w:val="restart"/>
            <w:noWrap/>
            <w:vAlign w:val="center"/>
          </w:tcPr>
          <w:p w14:paraId="5D476F5C">
            <w:pPr>
              <w:widowControl/>
              <w:jc w:val="center"/>
              <w:rPr>
                <w:rFonts w:hint="default" w:ascii="Arial" w:hAnsi="Arial" w:eastAsia="宋体" w:cs="Arial"/>
                <w:szCs w:val="21"/>
              </w:rPr>
            </w:pPr>
            <w:r>
              <w:rPr>
                <w:rFonts w:hint="default" w:ascii="Arial" w:hAnsi="Arial" w:eastAsia="宋体" w:cs="Arial"/>
                <w:szCs w:val="21"/>
              </w:rPr>
              <w:t>DW001</w:t>
            </w:r>
          </w:p>
        </w:tc>
        <w:tc>
          <w:tcPr>
            <w:tcW w:w="1069" w:type="dxa"/>
            <w:noWrap/>
            <w:vAlign w:val="center"/>
          </w:tcPr>
          <w:p w14:paraId="48C549A7">
            <w:pPr>
              <w:jc w:val="center"/>
              <w:rPr>
                <w:rFonts w:hint="default" w:ascii="Arial" w:hAnsi="Arial" w:eastAsia="宋体" w:cs="Arial"/>
                <w:szCs w:val="21"/>
              </w:rPr>
            </w:pPr>
            <w:r>
              <w:rPr>
                <w:rFonts w:hint="default" w:ascii="Arial" w:hAnsi="Arial" w:eastAsia="宋体" w:cs="Arial"/>
                <w:szCs w:val="21"/>
              </w:rPr>
              <w:t>COD</w:t>
            </w:r>
            <w:r>
              <w:rPr>
                <w:rFonts w:hint="default" w:ascii="Arial" w:hAnsi="Arial" w:eastAsia="宋体" w:cs="Arial"/>
                <w:szCs w:val="21"/>
                <w:vertAlign w:val="subscript"/>
              </w:rPr>
              <w:t>Cr</w:t>
            </w:r>
          </w:p>
        </w:tc>
        <w:tc>
          <w:tcPr>
            <w:tcW w:w="3688" w:type="dxa"/>
            <w:vMerge w:val="restart"/>
            <w:noWrap/>
            <w:vAlign w:val="center"/>
          </w:tcPr>
          <w:p w14:paraId="22F7D63E">
            <w:pPr>
              <w:jc w:val="center"/>
              <w:rPr>
                <w:rFonts w:hint="default" w:ascii="Arial" w:hAnsi="Arial" w:eastAsia="宋体" w:cs="Arial"/>
                <w:szCs w:val="21"/>
              </w:rPr>
            </w:pPr>
            <w:r>
              <w:rPr>
                <w:rFonts w:hint="default" w:ascii="Arial" w:hAnsi="Arial" w:eastAsia="宋体" w:cs="Arial"/>
                <w:szCs w:val="21"/>
              </w:rPr>
              <w:t>《污水综合排放标准》（GB 8978—1996）三级标准[其中纳管废水中氨氮、总磷达浙江省地方标准《工业企业废水氮、磷污染物间接排放限值》（DB33/887-2013）间接排放浓度限值]</w:t>
            </w:r>
          </w:p>
        </w:tc>
        <w:tc>
          <w:tcPr>
            <w:tcW w:w="1489" w:type="dxa"/>
            <w:noWrap/>
            <w:vAlign w:val="center"/>
          </w:tcPr>
          <w:p w14:paraId="4E9A77D1">
            <w:pPr>
              <w:jc w:val="center"/>
              <w:rPr>
                <w:rFonts w:hint="default" w:ascii="Arial" w:hAnsi="Arial" w:eastAsia="宋体" w:cs="Arial"/>
                <w:szCs w:val="21"/>
              </w:rPr>
            </w:pPr>
            <w:r>
              <w:rPr>
                <w:rFonts w:hint="default" w:ascii="Arial" w:hAnsi="Arial" w:eastAsia="宋体" w:cs="Arial"/>
                <w:szCs w:val="21"/>
              </w:rPr>
              <w:t>500</w:t>
            </w:r>
          </w:p>
        </w:tc>
      </w:tr>
      <w:tr w14:paraId="75082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noWrap/>
            <w:vAlign w:val="center"/>
          </w:tcPr>
          <w:p w14:paraId="0F092927">
            <w:pPr>
              <w:widowControl/>
              <w:jc w:val="center"/>
              <w:rPr>
                <w:rFonts w:hint="default" w:ascii="Arial" w:hAnsi="Arial" w:eastAsia="宋体" w:cs="Arial"/>
                <w:szCs w:val="21"/>
              </w:rPr>
            </w:pPr>
          </w:p>
        </w:tc>
        <w:tc>
          <w:tcPr>
            <w:tcW w:w="1167" w:type="dxa"/>
            <w:vMerge w:val="continue"/>
            <w:noWrap/>
            <w:vAlign w:val="center"/>
          </w:tcPr>
          <w:p w14:paraId="4AF22CD2">
            <w:pPr>
              <w:widowControl/>
              <w:jc w:val="center"/>
              <w:rPr>
                <w:rFonts w:hint="default" w:ascii="Arial" w:hAnsi="Arial" w:eastAsia="宋体" w:cs="Arial"/>
                <w:szCs w:val="21"/>
              </w:rPr>
            </w:pPr>
          </w:p>
        </w:tc>
        <w:tc>
          <w:tcPr>
            <w:tcW w:w="1069" w:type="dxa"/>
            <w:noWrap/>
            <w:vAlign w:val="center"/>
          </w:tcPr>
          <w:p w14:paraId="19E6B806">
            <w:pPr>
              <w:jc w:val="center"/>
              <w:rPr>
                <w:rFonts w:hint="default" w:ascii="Arial" w:hAnsi="Arial" w:eastAsia="宋体" w:cs="Arial"/>
                <w:szCs w:val="21"/>
              </w:rPr>
            </w:pPr>
            <w:r>
              <w:rPr>
                <w:rFonts w:hint="default" w:ascii="Arial" w:hAnsi="Arial" w:eastAsia="宋体" w:cs="Arial"/>
                <w:szCs w:val="21"/>
              </w:rPr>
              <w:t>NH</w:t>
            </w:r>
            <w:r>
              <w:rPr>
                <w:rFonts w:hint="default" w:ascii="Arial" w:hAnsi="Arial" w:eastAsia="宋体" w:cs="Arial"/>
                <w:szCs w:val="21"/>
                <w:vertAlign w:val="subscript"/>
              </w:rPr>
              <w:t>3</w:t>
            </w:r>
            <w:r>
              <w:rPr>
                <w:rFonts w:hint="default" w:ascii="Arial" w:hAnsi="Arial" w:eastAsia="宋体" w:cs="Arial"/>
                <w:szCs w:val="21"/>
              </w:rPr>
              <w:t>-N</w:t>
            </w:r>
          </w:p>
        </w:tc>
        <w:tc>
          <w:tcPr>
            <w:tcW w:w="3688" w:type="dxa"/>
            <w:vMerge w:val="continue"/>
            <w:noWrap/>
            <w:vAlign w:val="center"/>
          </w:tcPr>
          <w:p w14:paraId="0EBEBEA9">
            <w:pPr>
              <w:jc w:val="center"/>
              <w:rPr>
                <w:rFonts w:hint="default" w:ascii="Arial" w:hAnsi="Arial" w:eastAsia="宋体" w:cs="Arial"/>
                <w:szCs w:val="21"/>
              </w:rPr>
            </w:pPr>
          </w:p>
        </w:tc>
        <w:tc>
          <w:tcPr>
            <w:tcW w:w="1489" w:type="dxa"/>
            <w:noWrap/>
            <w:vAlign w:val="center"/>
          </w:tcPr>
          <w:p w14:paraId="74C0B732">
            <w:pPr>
              <w:jc w:val="center"/>
              <w:rPr>
                <w:rFonts w:hint="default" w:ascii="Arial" w:hAnsi="Arial" w:eastAsia="宋体" w:cs="Arial"/>
                <w:szCs w:val="21"/>
              </w:rPr>
            </w:pPr>
            <w:r>
              <w:rPr>
                <w:rFonts w:hint="default" w:ascii="Arial" w:hAnsi="Arial" w:eastAsia="宋体" w:cs="Arial"/>
                <w:szCs w:val="21"/>
              </w:rPr>
              <w:t>35</w:t>
            </w:r>
          </w:p>
        </w:tc>
      </w:tr>
      <w:tr w14:paraId="1BEB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noWrap/>
            <w:vAlign w:val="center"/>
          </w:tcPr>
          <w:p w14:paraId="12F00663">
            <w:pPr>
              <w:widowControl/>
              <w:jc w:val="center"/>
              <w:rPr>
                <w:rFonts w:hint="default" w:ascii="Arial" w:hAnsi="Arial" w:eastAsia="宋体" w:cs="Arial"/>
                <w:szCs w:val="21"/>
              </w:rPr>
            </w:pPr>
          </w:p>
        </w:tc>
        <w:tc>
          <w:tcPr>
            <w:tcW w:w="1167" w:type="dxa"/>
            <w:vMerge w:val="continue"/>
            <w:noWrap/>
            <w:vAlign w:val="center"/>
          </w:tcPr>
          <w:p w14:paraId="325AAD9A">
            <w:pPr>
              <w:widowControl/>
              <w:jc w:val="center"/>
              <w:rPr>
                <w:rFonts w:hint="default" w:ascii="Arial" w:hAnsi="Arial" w:eastAsia="宋体" w:cs="Arial"/>
                <w:szCs w:val="21"/>
              </w:rPr>
            </w:pPr>
          </w:p>
        </w:tc>
        <w:tc>
          <w:tcPr>
            <w:tcW w:w="1069" w:type="dxa"/>
            <w:shd w:val="clear" w:color="auto" w:fill="auto"/>
            <w:noWrap/>
            <w:vAlign w:val="center"/>
          </w:tcPr>
          <w:p w14:paraId="44666050">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总氮</w:t>
            </w:r>
          </w:p>
        </w:tc>
        <w:tc>
          <w:tcPr>
            <w:tcW w:w="3688" w:type="dxa"/>
            <w:vMerge w:val="continue"/>
            <w:noWrap/>
            <w:vAlign w:val="center"/>
          </w:tcPr>
          <w:p w14:paraId="7D244004">
            <w:pPr>
              <w:jc w:val="center"/>
              <w:rPr>
                <w:rFonts w:hint="default" w:ascii="Arial" w:hAnsi="Arial" w:eastAsia="宋体" w:cs="Arial"/>
                <w:szCs w:val="21"/>
              </w:rPr>
            </w:pPr>
          </w:p>
        </w:tc>
        <w:tc>
          <w:tcPr>
            <w:tcW w:w="1489" w:type="dxa"/>
            <w:noWrap/>
            <w:vAlign w:val="center"/>
          </w:tcPr>
          <w:p w14:paraId="5434F6B9">
            <w:pPr>
              <w:jc w:val="center"/>
              <w:rPr>
                <w:rFonts w:hint="default" w:ascii="Arial" w:hAnsi="Arial" w:eastAsia="宋体" w:cs="Arial"/>
                <w:szCs w:val="21"/>
                <w:lang w:val="en-US" w:eastAsia="zh-CN"/>
              </w:rPr>
            </w:pPr>
            <w:r>
              <w:rPr>
                <w:rFonts w:hint="eastAsia" w:ascii="Arial" w:hAnsi="Arial" w:eastAsia="宋体" w:cs="Arial"/>
                <w:szCs w:val="21"/>
                <w:lang w:val="en-US" w:eastAsia="zh-CN"/>
              </w:rPr>
              <w:t>70</w:t>
            </w:r>
          </w:p>
        </w:tc>
      </w:tr>
      <w:tr w14:paraId="2C66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noWrap/>
            <w:vAlign w:val="center"/>
          </w:tcPr>
          <w:p w14:paraId="1B88297F">
            <w:pPr>
              <w:widowControl/>
              <w:jc w:val="center"/>
              <w:rPr>
                <w:rFonts w:hint="default" w:ascii="Arial" w:hAnsi="Arial" w:eastAsia="宋体" w:cs="Arial"/>
                <w:szCs w:val="21"/>
              </w:rPr>
            </w:pPr>
          </w:p>
        </w:tc>
        <w:tc>
          <w:tcPr>
            <w:tcW w:w="1167" w:type="dxa"/>
            <w:vMerge w:val="continue"/>
            <w:noWrap/>
            <w:vAlign w:val="center"/>
          </w:tcPr>
          <w:p w14:paraId="655727F9">
            <w:pPr>
              <w:widowControl/>
              <w:jc w:val="center"/>
              <w:rPr>
                <w:rFonts w:hint="default" w:ascii="Arial" w:hAnsi="Arial" w:eastAsia="宋体" w:cs="Arial"/>
                <w:szCs w:val="21"/>
              </w:rPr>
            </w:pPr>
          </w:p>
        </w:tc>
        <w:tc>
          <w:tcPr>
            <w:tcW w:w="1069" w:type="dxa"/>
            <w:shd w:val="clear" w:color="auto" w:fill="auto"/>
            <w:noWrap/>
            <w:vAlign w:val="center"/>
          </w:tcPr>
          <w:p w14:paraId="22C1B76D">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石油类</w:t>
            </w:r>
          </w:p>
        </w:tc>
        <w:tc>
          <w:tcPr>
            <w:tcW w:w="3688" w:type="dxa"/>
            <w:vMerge w:val="continue"/>
            <w:noWrap/>
            <w:vAlign w:val="center"/>
          </w:tcPr>
          <w:p w14:paraId="77889173">
            <w:pPr>
              <w:jc w:val="center"/>
              <w:rPr>
                <w:rFonts w:hint="default" w:ascii="Arial" w:hAnsi="Arial" w:eastAsia="宋体" w:cs="Arial"/>
                <w:szCs w:val="21"/>
              </w:rPr>
            </w:pPr>
          </w:p>
        </w:tc>
        <w:tc>
          <w:tcPr>
            <w:tcW w:w="1489" w:type="dxa"/>
            <w:noWrap/>
            <w:vAlign w:val="center"/>
          </w:tcPr>
          <w:p w14:paraId="36C1528A">
            <w:pPr>
              <w:jc w:val="center"/>
              <w:rPr>
                <w:rFonts w:hint="default" w:ascii="Arial" w:hAnsi="Arial" w:eastAsia="宋体" w:cs="Arial"/>
                <w:szCs w:val="21"/>
                <w:lang w:val="en-US" w:eastAsia="zh-CN"/>
              </w:rPr>
            </w:pPr>
            <w:r>
              <w:rPr>
                <w:rFonts w:hint="default" w:ascii="Arial" w:hAnsi="Arial" w:eastAsia="宋体" w:cs="Arial"/>
                <w:szCs w:val="21"/>
                <w:lang w:val="en-US" w:eastAsia="zh-CN"/>
              </w:rPr>
              <w:t>20</w:t>
            </w:r>
          </w:p>
        </w:tc>
      </w:tr>
      <w:tr w14:paraId="003D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495" w:type="dxa"/>
            <w:vMerge w:val="continue"/>
          </w:tcPr>
          <w:p w14:paraId="5DF9D600">
            <w:pPr>
              <w:widowControl/>
              <w:jc w:val="center"/>
              <w:rPr>
                <w:rFonts w:hint="default" w:ascii="Arial" w:hAnsi="Arial" w:eastAsia="宋体" w:cs="Arial"/>
                <w:szCs w:val="21"/>
              </w:rPr>
            </w:pPr>
          </w:p>
        </w:tc>
        <w:tc>
          <w:tcPr>
            <w:tcW w:w="1167" w:type="dxa"/>
            <w:vMerge w:val="continue"/>
          </w:tcPr>
          <w:p w14:paraId="184D40A5">
            <w:pPr>
              <w:widowControl/>
              <w:jc w:val="center"/>
              <w:rPr>
                <w:rFonts w:hint="default" w:ascii="Arial" w:hAnsi="Arial" w:eastAsia="宋体" w:cs="Arial"/>
                <w:szCs w:val="21"/>
              </w:rPr>
            </w:pPr>
          </w:p>
        </w:tc>
        <w:tc>
          <w:tcPr>
            <w:tcW w:w="0" w:type="auto"/>
            <w:shd w:val="clear" w:color="auto" w:fill="auto"/>
            <w:vAlign w:val="center"/>
          </w:tcPr>
          <w:p w14:paraId="7BCF60BB">
            <w:pPr>
              <w:adjustRightInd w:val="0"/>
              <w:snapToGrid w:val="0"/>
              <w:jc w:val="center"/>
              <w:rPr>
                <w:rFonts w:hint="default" w:ascii="Arial" w:hAnsi="Arial" w:eastAsia="宋体" w:cs="Arial"/>
                <w:kern w:val="2"/>
                <w:sz w:val="21"/>
                <w:szCs w:val="21"/>
                <w:lang w:val="en-US" w:eastAsia="zh-CN" w:bidi="ar-SA"/>
              </w:rPr>
            </w:pPr>
            <w:r>
              <w:rPr>
                <w:rFonts w:hint="default" w:ascii="Arial" w:hAnsi="Arial" w:eastAsia="宋体" w:cs="Arial"/>
                <w:szCs w:val="21"/>
              </w:rPr>
              <w:t>SS</w:t>
            </w:r>
          </w:p>
        </w:tc>
        <w:tc>
          <w:tcPr>
            <w:tcW w:w="3688" w:type="dxa"/>
            <w:vMerge w:val="continue"/>
          </w:tcPr>
          <w:p w14:paraId="30AF0F35">
            <w:pPr>
              <w:jc w:val="center"/>
              <w:rPr>
                <w:rFonts w:hint="default" w:ascii="Arial" w:hAnsi="Arial" w:eastAsia="宋体" w:cs="Arial"/>
                <w:szCs w:val="21"/>
              </w:rPr>
            </w:pPr>
          </w:p>
        </w:tc>
        <w:tc>
          <w:tcPr>
            <w:tcW w:w="0" w:type="auto"/>
          </w:tcPr>
          <w:p w14:paraId="6C115962">
            <w:pPr>
              <w:jc w:val="center"/>
              <w:rPr>
                <w:rFonts w:hint="default" w:ascii="Arial" w:hAnsi="Arial" w:eastAsia="宋体" w:cs="Arial"/>
                <w:szCs w:val="21"/>
                <w:lang w:val="en-US" w:eastAsia="zh-CN"/>
              </w:rPr>
            </w:pPr>
            <w:r>
              <w:rPr>
                <w:rFonts w:hint="default" w:ascii="Arial" w:hAnsi="Arial" w:eastAsia="宋体" w:cs="Arial"/>
                <w:szCs w:val="21"/>
                <w:lang w:val="en-US" w:eastAsia="zh-CN"/>
              </w:rPr>
              <w:t>400</w:t>
            </w:r>
          </w:p>
        </w:tc>
      </w:tr>
    </w:tbl>
    <w:p w14:paraId="7350BBB8">
      <w:pPr>
        <w:spacing w:line="360" w:lineRule="auto"/>
        <w:outlineLvl w:val="3"/>
        <w:rPr>
          <w:rFonts w:hint="default" w:ascii="Arial" w:hAnsi="Arial" w:eastAsia="宋体" w:cs="Arial"/>
          <w:b/>
          <w:bCs/>
          <w:sz w:val="24"/>
          <w:szCs w:val="24"/>
        </w:rPr>
      </w:pPr>
    </w:p>
    <w:p w14:paraId="17BC7914">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4.2.2.2水环境影响分析</w:t>
      </w:r>
    </w:p>
    <w:p w14:paraId="1F3BD080">
      <w:pPr>
        <w:pStyle w:val="76"/>
        <w:spacing w:line="360" w:lineRule="auto"/>
        <w:ind w:firstLine="482"/>
        <w:rPr>
          <w:rFonts w:hint="default" w:ascii="Arial" w:hAnsi="Arial" w:eastAsia="宋体" w:cs="Arial"/>
          <w:bCs/>
          <w:sz w:val="24"/>
          <w:szCs w:val="24"/>
        </w:rPr>
      </w:pPr>
      <w:r>
        <w:rPr>
          <w:rFonts w:hint="default" w:ascii="Arial" w:hAnsi="Arial" w:eastAsia="宋体" w:cs="Arial"/>
          <w:bCs/>
          <w:sz w:val="24"/>
          <w:szCs w:val="24"/>
        </w:rPr>
        <w:t>（1）废水处理工艺</w:t>
      </w:r>
    </w:p>
    <w:p w14:paraId="0853B1BB">
      <w:pPr>
        <w:spacing w:line="360" w:lineRule="auto"/>
        <w:jc w:val="center"/>
        <w:outlineLvl w:val="3"/>
        <w:rPr>
          <w:rFonts w:hint="default" w:ascii="Arial" w:hAnsi="Arial" w:cs="Arial"/>
        </w:rPr>
      </w:pPr>
      <w:r>
        <w:rPr>
          <w:rFonts w:hint="default" w:ascii="Arial" w:hAnsi="Arial" w:cs="Arial"/>
        </w:rPr>
        <w:drawing>
          <wp:inline distT="0" distB="0" distL="114300" distR="114300">
            <wp:extent cx="4691380" cy="1301750"/>
            <wp:effectExtent l="0" t="0" r="13970" b="12700"/>
            <wp:docPr id="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pic:cNvPicPr>
                      <a:picLocks noChangeAspect="1"/>
                    </pic:cNvPicPr>
                  </pic:nvPicPr>
                  <pic:blipFill>
                    <a:blip r:embed="rId48"/>
                    <a:stretch>
                      <a:fillRect/>
                    </a:stretch>
                  </pic:blipFill>
                  <pic:spPr>
                    <a:xfrm>
                      <a:off x="0" y="0"/>
                      <a:ext cx="4691380" cy="1301750"/>
                    </a:xfrm>
                    <a:prstGeom prst="rect">
                      <a:avLst/>
                    </a:prstGeom>
                    <a:noFill/>
                    <a:ln>
                      <a:noFill/>
                    </a:ln>
                  </pic:spPr>
                </pic:pic>
              </a:graphicData>
            </a:graphic>
          </wp:inline>
        </w:drawing>
      </w:r>
    </w:p>
    <w:p w14:paraId="3C05F9ED">
      <w:pPr>
        <w:spacing w:line="360" w:lineRule="auto"/>
        <w:jc w:val="center"/>
        <w:outlineLvl w:val="3"/>
        <w:rPr>
          <w:rFonts w:hint="default" w:ascii="Arial" w:hAnsi="Arial" w:eastAsia="宋体" w:cs="Arial"/>
          <w:b/>
          <w:bCs/>
          <w:sz w:val="24"/>
          <w:szCs w:val="24"/>
          <w:lang w:val="en-US" w:eastAsia="zh-CN"/>
        </w:rPr>
      </w:pPr>
      <w:r>
        <w:rPr>
          <w:rFonts w:hint="default" w:ascii="Arial" w:hAnsi="Arial" w:eastAsia="宋体" w:cs="Arial"/>
          <w:b/>
          <w:bCs/>
          <w:sz w:val="24"/>
          <w:szCs w:val="24"/>
          <w:lang w:val="en-US" w:eastAsia="zh-CN"/>
        </w:rPr>
        <w:t>图4-1  废水处理工艺流程图</w:t>
      </w:r>
    </w:p>
    <w:p w14:paraId="445405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pPr>
      <w:r>
        <w:rPr>
          <w:rFonts w:hint="default" w:ascii="Arial" w:hAnsi="Arial" w:eastAsia="宋体" w:cs="Arial"/>
          <w:i w:val="0"/>
          <w:iCs w:val="0"/>
          <w:caps w:val="0"/>
          <w:color w:val="404040"/>
          <w:spacing w:val="0"/>
          <w:sz w:val="24"/>
          <w:szCs w:val="24"/>
          <w:shd w:val="clear" w:fill="FFFFFF"/>
        </w:rPr>
        <w:t>车间清洗线的清洗废水收集至废水收集桶，再由隔膜泵打入低温浓缩设备，低温浓缩设备为负压下的低温蒸发装置，对废</w:t>
      </w:r>
      <w:r>
        <w:rPr>
          <w:rFonts w:hint="default" w:ascii="Arial" w:hAnsi="Arial" w:eastAsia="宋体" w:cs="Arial"/>
          <w:i w:val="0"/>
          <w:iCs w:val="0"/>
          <w:caps w:val="0"/>
          <w:color w:val="000000" w:themeColor="text1"/>
          <w:spacing w:val="0"/>
          <w:sz w:val="24"/>
          <w:szCs w:val="24"/>
          <w:shd w:val="clear" w:fill="FFFFFF"/>
          <w14:textFill>
            <w14:solidFill>
              <w14:schemeClr w14:val="tx1"/>
            </w14:solidFill>
          </w14:textFill>
        </w:rPr>
        <w:t>水中的SS、COD、氨氮及TDS等都有很好的截留效果，被截留的浓缩液排出后委外处理。当中间收集桶水位到达高液位时陶瓷膜设备开启，陶瓷膜是一种错流过滤形式的流体分离，过滤精度为50nm能更精细的截留废水中的SS和TDS，为后段RO反渗透设备做预处理，陶瓷膜设备的产水进入RO反渗透设备，浓缩液返回至前端的废水收集桶。RO反渗透设备的过滤精度小于0.4nm，产水经检测达标后排放，浓水进入前段的陶瓷膜设备。</w:t>
      </w:r>
    </w:p>
    <w:p w14:paraId="23EA25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color w:val="000000" w:themeColor="text1"/>
          <w:sz w:val="24"/>
          <w:szCs w:val="24"/>
          <w14:textFill>
            <w14:solidFill>
              <w14:schemeClr w14:val="tx1"/>
            </w14:solidFill>
          </w14:textFill>
        </w:rPr>
        <w:t>根据水平衡，本项目</w:t>
      </w:r>
      <w:r>
        <w:rPr>
          <w:rFonts w:hint="default" w:ascii="Arial" w:hAnsi="Arial" w:eastAsia="宋体" w:cs="Arial"/>
          <w:bCs/>
          <w:color w:val="000000" w:themeColor="text1"/>
          <w:sz w:val="24"/>
          <w:szCs w:val="24"/>
          <w:lang w:val="en-US" w:eastAsia="zh-CN"/>
          <w14:textFill>
            <w14:solidFill>
              <w14:schemeClr w14:val="tx1"/>
            </w14:solidFill>
          </w14:textFill>
        </w:rPr>
        <w:t>清洗</w:t>
      </w:r>
      <w:r>
        <w:rPr>
          <w:rFonts w:hint="default" w:ascii="Arial" w:hAnsi="Arial" w:eastAsia="宋体" w:cs="Arial"/>
          <w:bCs/>
          <w:color w:val="000000" w:themeColor="text1"/>
          <w:sz w:val="24"/>
          <w:szCs w:val="24"/>
          <w14:textFill>
            <w14:solidFill>
              <w14:schemeClr w14:val="tx1"/>
            </w14:solidFill>
          </w14:textFill>
        </w:rPr>
        <w:t>废水产生量为</w:t>
      </w:r>
      <w:r>
        <w:rPr>
          <w:rFonts w:hint="default" w:ascii="Arial" w:hAnsi="Arial" w:eastAsia="宋体" w:cs="Arial"/>
          <w:bCs/>
          <w:color w:val="000000" w:themeColor="text1"/>
          <w:sz w:val="24"/>
          <w:szCs w:val="24"/>
          <w:lang w:val="en-US" w:eastAsia="zh-CN"/>
          <w14:textFill>
            <w14:solidFill>
              <w14:schemeClr w14:val="tx1"/>
            </w14:solidFill>
          </w14:textFill>
        </w:rPr>
        <w:t>852.6</w:t>
      </w:r>
      <w:r>
        <w:rPr>
          <w:rFonts w:hint="default" w:ascii="Arial" w:hAnsi="Arial" w:eastAsia="宋体" w:cs="Arial"/>
          <w:bCs/>
          <w:color w:val="000000" w:themeColor="text1"/>
          <w:sz w:val="24"/>
          <w:szCs w:val="24"/>
          <w14:textFill>
            <w14:solidFill>
              <w14:schemeClr w14:val="tx1"/>
            </w14:solidFill>
          </w14:textFill>
        </w:rPr>
        <w:t>t/a。</w:t>
      </w:r>
      <w:r>
        <w:rPr>
          <w:rFonts w:hint="default" w:ascii="Arial" w:hAnsi="Arial" w:eastAsia="宋体" w:cs="Arial"/>
          <w:bCs/>
          <w:color w:val="000000" w:themeColor="text1"/>
          <w:sz w:val="24"/>
          <w:szCs w:val="24"/>
          <w:lang w:val="en-US" w:eastAsia="zh-CN"/>
          <w14:textFill>
            <w14:solidFill>
              <w14:schemeClr w14:val="tx1"/>
            </w14:solidFill>
          </w14:textFill>
        </w:rPr>
        <w:t>废水处理设施设计</w:t>
      </w:r>
      <w:r>
        <w:rPr>
          <w:rFonts w:hint="default" w:ascii="Arial" w:hAnsi="Arial" w:eastAsia="宋体" w:cs="Arial"/>
          <w:bCs/>
          <w:color w:val="000000" w:themeColor="text1"/>
          <w:sz w:val="24"/>
          <w:szCs w:val="24"/>
          <w14:textFill>
            <w14:solidFill>
              <w14:schemeClr w14:val="tx1"/>
            </w14:solidFill>
          </w14:textFill>
        </w:rPr>
        <w:t>处理能力为</w:t>
      </w:r>
      <w:r>
        <w:rPr>
          <w:rFonts w:hint="default" w:ascii="Arial" w:hAnsi="Arial" w:eastAsia="宋体" w:cs="Arial"/>
          <w:bCs/>
          <w:color w:val="000000" w:themeColor="text1"/>
          <w:sz w:val="24"/>
          <w:szCs w:val="24"/>
          <w:lang w:val="en-US" w:eastAsia="zh-CN"/>
          <w14:textFill>
            <w14:solidFill>
              <w14:schemeClr w14:val="tx1"/>
            </w14:solidFill>
          </w14:textFill>
        </w:rPr>
        <w:t>3</w:t>
      </w:r>
      <w:r>
        <w:rPr>
          <w:rFonts w:hint="default" w:ascii="Arial" w:hAnsi="Arial" w:eastAsia="宋体" w:cs="Arial"/>
          <w:bCs/>
          <w:color w:val="000000" w:themeColor="text1"/>
          <w:sz w:val="24"/>
          <w:szCs w:val="24"/>
          <w14:textFill>
            <w14:solidFill>
              <w14:schemeClr w14:val="tx1"/>
            </w14:solidFill>
          </w14:textFill>
        </w:rPr>
        <w:t>t/d，年工作时间300天，废水处理能力为</w:t>
      </w:r>
      <w:r>
        <w:rPr>
          <w:rFonts w:hint="default" w:ascii="Arial" w:hAnsi="Arial" w:eastAsia="宋体" w:cs="Arial"/>
          <w:bCs/>
          <w:color w:val="000000" w:themeColor="text1"/>
          <w:sz w:val="24"/>
          <w:szCs w:val="24"/>
          <w:lang w:val="en-US" w:eastAsia="zh-CN"/>
          <w14:textFill>
            <w14:solidFill>
              <w14:schemeClr w14:val="tx1"/>
            </w14:solidFill>
          </w14:textFill>
        </w:rPr>
        <w:t>900</w:t>
      </w:r>
      <w:r>
        <w:rPr>
          <w:rFonts w:hint="default" w:ascii="Arial" w:hAnsi="Arial" w:eastAsia="宋体" w:cs="Arial"/>
          <w:bCs/>
          <w:color w:val="000000" w:themeColor="text1"/>
          <w:sz w:val="24"/>
          <w:szCs w:val="24"/>
          <w14:textFill>
            <w14:solidFill>
              <w14:schemeClr w14:val="tx1"/>
            </w14:solidFill>
          </w14:textFill>
        </w:rPr>
        <w:t>t/a。因此，</w:t>
      </w:r>
      <w:r>
        <w:rPr>
          <w:rFonts w:hint="default" w:ascii="Arial" w:hAnsi="Arial" w:eastAsia="宋体" w:cs="Arial"/>
          <w:bCs/>
          <w:color w:val="000000" w:themeColor="text1"/>
          <w:sz w:val="24"/>
          <w:szCs w:val="24"/>
          <w:lang w:val="en-US" w:eastAsia="zh-CN"/>
          <w14:textFill>
            <w14:solidFill>
              <w14:schemeClr w14:val="tx1"/>
            </w14:solidFill>
          </w14:textFill>
        </w:rPr>
        <w:t>废水处理设施</w:t>
      </w:r>
      <w:r>
        <w:rPr>
          <w:rFonts w:hint="default" w:ascii="Arial" w:hAnsi="Arial" w:eastAsia="宋体" w:cs="Arial"/>
          <w:bCs/>
          <w:color w:val="000000" w:themeColor="text1"/>
          <w:sz w:val="24"/>
          <w:szCs w:val="24"/>
          <w14:textFill>
            <w14:solidFill>
              <w14:schemeClr w14:val="tx1"/>
            </w14:solidFill>
          </w14:textFill>
        </w:rPr>
        <w:t>处理能力可满足生产需求。</w:t>
      </w:r>
    </w:p>
    <w:p w14:paraId="327CD3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3"/>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color w:val="000000" w:themeColor="text1"/>
          <w:sz w:val="24"/>
          <w:szCs w:val="24"/>
          <w14:textFill>
            <w14:solidFill>
              <w14:schemeClr w14:val="tx1"/>
            </w14:solidFill>
          </w14:textFill>
        </w:rPr>
        <w:t>根据建设单位提供的技术资料，项目</w:t>
      </w:r>
      <w:r>
        <w:rPr>
          <w:rFonts w:hint="eastAsia" w:ascii="Arial" w:hAnsi="Arial" w:eastAsia="宋体" w:cs="Arial"/>
          <w:bCs/>
          <w:color w:val="000000" w:themeColor="text1"/>
          <w:sz w:val="24"/>
          <w:szCs w:val="24"/>
          <w:lang w:val="en-US" w:eastAsia="zh-CN"/>
          <w14:textFill>
            <w14:solidFill>
              <w14:schemeClr w14:val="tx1"/>
            </w14:solidFill>
          </w14:textFill>
        </w:rPr>
        <w:t>废水处理</w:t>
      </w:r>
      <w:r>
        <w:rPr>
          <w:rFonts w:hint="default" w:ascii="Arial" w:hAnsi="Arial" w:eastAsia="宋体" w:cs="Arial"/>
          <w:bCs/>
          <w:color w:val="000000" w:themeColor="text1"/>
          <w:sz w:val="24"/>
          <w:szCs w:val="24"/>
          <w14:textFill>
            <w14:solidFill>
              <w14:schemeClr w14:val="tx1"/>
            </w14:solidFill>
          </w14:textFill>
        </w:rPr>
        <w:t>系统预期处理效果见表：</w:t>
      </w:r>
    </w:p>
    <w:p w14:paraId="7F4AE2D4">
      <w:pPr>
        <w:pStyle w:val="76"/>
        <w:numPr>
          <w:ilvl w:val="3"/>
          <w:numId w:val="4"/>
        </w:numPr>
        <w:ind w:left="777" w:leftChars="0" w:firstLineChars="0"/>
        <w:jc w:val="center"/>
        <w:outlineLvl w:val="3"/>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 xml:space="preserve">  项目废水处理设施预处理效果表</w:t>
      </w:r>
      <w:r>
        <w:rPr>
          <w:rFonts w:hint="eastAsia" w:ascii="Arial" w:hAnsi="Arial" w:cs="Arial"/>
          <w:color w:val="000000" w:themeColor="text1"/>
          <w:lang w:val="en-US" w:eastAsia="zh-CN"/>
          <w14:textFill>
            <w14:solidFill>
              <w14:schemeClr w14:val="tx1"/>
            </w14:solidFill>
          </w14:textFill>
        </w:rPr>
        <w:t xml:space="preserve"> </w:t>
      </w:r>
      <w:r>
        <w:rPr>
          <w:rFonts w:hint="eastAsia" w:ascii="Arial" w:hAnsi="Arial" w:cs="Arial"/>
          <w:b/>
          <w:bCs/>
          <w:color w:val="000000" w:themeColor="text1"/>
          <w:lang w:val="en-US" w:eastAsia="zh-CN"/>
          <w14:textFill>
            <w14:solidFill>
              <w14:schemeClr w14:val="tx1"/>
            </w14:solidFill>
          </w14:textFill>
        </w:rPr>
        <w:t>单位mg/L（pH除外）</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943"/>
        <w:gridCol w:w="974"/>
        <w:gridCol w:w="974"/>
        <w:gridCol w:w="969"/>
        <w:gridCol w:w="974"/>
        <w:gridCol w:w="961"/>
        <w:gridCol w:w="956"/>
      </w:tblGrid>
      <w:tr w14:paraId="6996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341" w:type="pct"/>
            <w:gridSpan w:val="2"/>
            <w:shd w:val="clear" w:color="auto" w:fill="auto"/>
            <w:vAlign w:val="center"/>
          </w:tcPr>
          <w:p w14:paraId="3FA34557">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项    目</w:t>
            </w:r>
          </w:p>
        </w:tc>
        <w:tc>
          <w:tcPr>
            <w:tcW w:w="613" w:type="pct"/>
            <w:shd w:val="clear" w:color="auto" w:fill="auto"/>
            <w:vAlign w:val="center"/>
          </w:tcPr>
          <w:p w14:paraId="75A7F0FF">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pH</w:t>
            </w:r>
          </w:p>
        </w:tc>
        <w:tc>
          <w:tcPr>
            <w:tcW w:w="613" w:type="pct"/>
            <w:shd w:val="clear" w:color="auto" w:fill="auto"/>
            <w:vAlign w:val="center"/>
          </w:tcPr>
          <w:p w14:paraId="46D55C80">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COD</w:t>
            </w:r>
            <w:r>
              <w:rPr>
                <w:rFonts w:hint="default" w:ascii="Arial" w:hAnsi="Arial" w:eastAsia="宋体" w:cs="Arial"/>
                <w:color w:val="000000" w:themeColor="text1"/>
                <w:szCs w:val="21"/>
                <w:vertAlign w:val="subscript"/>
                <w14:textFill>
                  <w14:solidFill>
                    <w14:schemeClr w14:val="tx1"/>
                  </w14:solidFill>
                </w14:textFill>
              </w:rPr>
              <w:t>Cr</w:t>
            </w:r>
          </w:p>
        </w:tc>
        <w:tc>
          <w:tcPr>
            <w:tcW w:w="610" w:type="pct"/>
            <w:shd w:val="clear" w:color="auto" w:fill="auto"/>
            <w:vAlign w:val="center"/>
          </w:tcPr>
          <w:p w14:paraId="024A69B4">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氨氮</w:t>
            </w:r>
          </w:p>
        </w:tc>
        <w:tc>
          <w:tcPr>
            <w:tcW w:w="613" w:type="pct"/>
            <w:shd w:val="clear" w:color="auto" w:fill="auto"/>
            <w:vAlign w:val="center"/>
          </w:tcPr>
          <w:p w14:paraId="7BC5D1A3">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石油类</w:t>
            </w:r>
          </w:p>
        </w:tc>
        <w:tc>
          <w:tcPr>
            <w:tcW w:w="605" w:type="pct"/>
            <w:shd w:val="clear" w:color="auto" w:fill="auto"/>
            <w:vAlign w:val="center"/>
          </w:tcPr>
          <w:p w14:paraId="6F0863B5">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TN</w:t>
            </w:r>
          </w:p>
        </w:tc>
        <w:tc>
          <w:tcPr>
            <w:tcW w:w="602" w:type="pct"/>
            <w:vAlign w:val="center"/>
          </w:tcPr>
          <w:p w14:paraId="2FE61383">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SS</w:t>
            </w:r>
          </w:p>
        </w:tc>
      </w:tr>
      <w:tr w14:paraId="3557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7" w:type="pct"/>
            <w:vMerge w:val="restart"/>
            <w:shd w:val="clear" w:color="auto" w:fill="auto"/>
            <w:vAlign w:val="center"/>
          </w:tcPr>
          <w:p w14:paraId="46FF3F86">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清洗废水</w:t>
            </w:r>
          </w:p>
        </w:tc>
        <w:tc>
          <w:tcPr>
            <w:tcW w:w="594" w:type="pct"/>
            <w:shd w:val="clear" w:color="auto" w:fill="auto"/>
            <w:vAlign w:val="center"/>
          </w:tcPr>
          <w:p w14:paraId="4934DD82">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进水</w:t>
            </w:r>
          </w:p>
        </w:tc>
        <w:tc>
          <w:tcPr>
            <w:tcW w:w="613" w:type="pct"/>
            <w:shd w:val="clear" w:color="auto" w:fill="auto"/>
            <w:vAlign w:val="center"/>
          </w:tcPr>
          <w:p w14:paraId="0C22984D">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8-10</w:t>
            </w:r>
          </w:p>
        </w:tc>
        <w:tc>
          <w:tcPr>
            <w:tcW w:w="613" w:type="pct"/>
            <w:shd w:val="clear" w:color="auto" w:fill="auto"/>
            <w:vAlign w:val="center"/>
          </w:tcPr>
          <w:p w14:paraId="26396DCF">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4000</w:t>
            </w:r>
          </w:p>
        </w:tc>
        <w:tc>
          <w:tcPr>
            <w:tcW w:w="610" w:type="pct"/>
            <w:shd w:val="clear" w:color="auto" w:fill="auto"/>
            <w:vAlign w:val="center"/>
          </w:tcPr>
          <w:p w14:paraId="04365BA5">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10</w:t>
            </w:r>
          </w:p>
        </w:tc>
        <w:tc>
          <w:tcPr>
            <w:tcW w:w="613" w:type="pct"/>
            <w:shd w:val="clear" w:color="auto" w:fill="auto"/>
            <w:vAlign w:val="center"/>
          </w:tcPr>
          <w:p w14:paraId="34667A52">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260</w:t>
            </w:r>
          </w:p>
        </w:tc>
        <w:tc>
          <w:tcPr>
            <w:tcW w:w="605" w:type="pct"/>
            <w:shd w:val="clear" w:color="auto" w:fill="auto"/>
            <w:vAlign w:val="center"/>
          </w:tcPr>
          <w:p w14:paraId="5A6F6A2A">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eastAsia" w:ascii="Arial" w:hAnsi="Arial" w:eastAsia="宋体" w:cs="Arial"/>
                <w:color w:val="000000" w:themeColor="text1"/>
                <w:szCs w:val="21"/>
                <w:lang w:val="en-US" w:eastAsia="zh-CN"/>
                <w14:textFill>
                  <w14:solidFill>
                    <w14:schemeClr w14:val="tx1"/>
                  </w14:solidFill>
                </w14:textFill>
              </w:rPr>
              <w:t>200</w:t>
            </w:r>
          </w:p>
        </w:tc>
        <w:tc>
          <w:tcPr>
            <w:tcW w:w="602" w:type="pct"/>
            <w:shd w:val="clear" w:color="auto" w:fill="auto"/>
            <w:vAlign w:val="center"/>
          </w:tcPr>
          <w:p w14:paraId="7F48A6F2">
            <w:pPr>
              <w:adjustRightInd w:val="0"/>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500</w:t>
            </w:r>
          </w:p>
        </w:tc>
      </w:tr>
      <w:tr w14:paraId="1ACE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7" w:type="pct"/>
            <w:vMerge w:val="continue"/>
            <w:shd w:val="clear" w:color="auto" w:fill="auto"/>
            <w:vAlign w:val="center"/>
          </w:tcPr>
          <w:p w14:paraId="742666AE">
            <w:pPr>
              <w:adjustRightInd w:val="0"/>
              <w:snapToGrid w:val="0"/>
              <w:jc w:val="center"/>
              <w:rPr>
                <w:rFonts w:hint="default" w:ascii="Arial" w:hAnsi="Arial" w:eastAsia="宋体" w:cs="Arial"/>
                <w:color w:val="000000" w:themeColor="text1"/>
                <w:szCs w:val="21"/>
                <w14:textFill>
                  <w14:solidFill>
                    <w14:schemeClr w14:val="tx1"/>
                  </w14:solidFill>
                </w14:textFill>
              </w:rPr>
            </w:pPr>
          </w:p>
        </w:tc>
        <w:tc>
          <w:tcPr>
            <w:tcW w:w="594" w:type="pct"/>
            <w:shd w:val="clear" w:color="auto" w:fill="auto"/>
            <w:vAlign w:val="center"/>
          </w:tcPr>
          <w:p w14:paraId="003E1A60">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出水</w:t>
            </w:r>
          </w:p>
        </w:tc>
        <w:tc>
          <w:tcPr>
            <w:tcW w:w="613" w:type="pct"/>
            <w:shd w:val="clear" w:color="auto" w:fill="auto"/>
            <w:vAlign w:val="center"/>
          </w:tcPr>
          <w:p w14:paraId="69867D69">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7~8</w:t>
            </w:r>
          </w:p>
        </w:tc>
        <w:tc>
          <w:tcPr>
            <w:tcW w:w="613" w:type="pct"/>
            <w:shd w:val="clear" w:color="auto" w:fill="auto"/>
            <w:vAlign w:val="center"/>
          </w:tcPr>
          <w:p w14:paraId="67860940">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400</w:t>
            </w:r>
          </w:p>
        </w:tc>
        <w:tc>
          <w:tcPr>
            <w:tcW w:w="610" w:type="pct"/>
            <w:shd w:val="clear" w:color="auto" w:fill="auto"/>
            <w:vAlign w:val="center"/>
          </w:tcPr>
          <w:p w14:paraId="1C1DB7E4">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w:t>
            </w:r>
          </w:p>
        </w:tc>
        <w:tc>
          <w:tcPr>
            <w:tcW w:w="613" w:type="pct"/>
            <w:shd w:val="clear" w:color="auto" w:fill="auto"/>
            <w:vAlign w:val="center"/>
          </w:tcPr>
          <w:p w14:paraId="3B245EED">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13</w:t>
            </w:r>
          </w:p>
        </w:tc>
        <w:tc>
          <w:tcPr>
            <w:tcW w:w="605" w:type="pct"/>
            <w:shd w:val="clear" w:color="auto" w:fill="auto"/>
            <w:vAlign w:val="center"/>
          </w:tcPr>
          <w:p w14:paraId="7D5A6D4E">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eastAsia" w:ascii="Arial" w:hAnsi="Arial" w:eastAsia="宋体" w:cs="Arial"/>
                <w:color w:val="000000" w:themeColor="text1"/>
                <w:szCs w:val="21"/>
                <w:lang w:val="en-US" w:eastAsia="zh-CN"/>
                <w14:textFill>
                  <w14:solidFill>
                    <w14:schemeClr w14:val="tx1"/>
                  </w14:solidFill>
                </w14:textFill>
              </w:rPr>
              <w:t>60</w:t>
            </w:r>
          </w:p>
        </w:tc>
        <w:tc>
          <w:tcPr>
            <w:tcW w:w="602" w:type="pct"/>
            <w:shd w:val="clear" w:color="auto" w:fill="auto"/>
            <w:vAlign w:val="center"/>
          </w:tcPr>
          <w:p w14:paraId="112046EB">
            <w:pPr>
              <w:adjustRightInd w:val="0"/>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w:t>
            </w:r>
          </w:p>
        </w:tc>
      </w:tr>
      <w:tr w14:paraId="5A9E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47" w:type="pct"/>
            <w:vMerge w:val="continue"/>
            <w:shd w:val="clear" w:color="auto" w:fill="auto"/>
            <w:vAlign w:val="center"/>
          </w:tcPr>
          <w:p w14:paraId="06918434">
            <w:pPr>
              <w:adjustRightInd w:val="0"/>
              <w:snapToGrid w:val="0"/>
              <w:jc w:val="center"/>
              <w:rPr>
                <w:rFonts w:hint="default" w:ascii="Arial" w:hAnsi="Arial" w:eastAsia="宋体" w:cs="Arial"/>
                <w:color w:val="000000" w:themeColor="text1"/>
                <w:szCs w:val="21"/>
                <w14:textFill>
                  <w14:solidFill>
                    <w14:schemeClr w14:val="tx1"/>
                  </w14:solidFill>
                </w14:textFill>
              </w:rPr>
            </w:pPr>
          </w:p>
        </w:tc>
        <w:tc>
          <w:tcPr>
            <w:tcW w:w="594" w:type="pct"/>
            <w:shd w:val="clear" w:color="auto" w:fill="auto"/>
            <w:vAlign w:val="center"/>
          </w:tcPr>
          <w:p w14:paraId="17896C73">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去除率</w:t>
            </w:r>
          </w:p>
        </w:tc>
        <w:tc>
          <w:tcPr>
            <w:tcW w:w="613" w:type="pct"/>
            <w:shd w:val="clear" w:color="auto" w:fill="auto"/>
            <w:vAlign w:val="center"/>
          </w:tcPr>
          <w:p w14:paraId="0E123C0A">
            <w:pPr>
              <w:adjustRightInd w:val="0"/>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w:t>
            </w:r>
          </w:p>
        </w:tc>
        <w:tc>
          <w:tcPr>
            <w:tcW w:w="613" w:type="pct"/>
            <w:shd w:val="clear" w:color="auto" w:fill="auto"/>
            <w:vAlign w:val="center"/>
          </w:tcPr>
          <w:p w14:paraId="6C961150">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90%</w:t>
            </w:r>
          </w:p>
        </w:tc>
        <w:tc>
          <w:tcPr>
            <w:tcW w:w="610" w:type="pct"/>
            <w:shd w:val="clear" w:color="auto" w:fill="auto"/>
            <w:vAlign w:val="center"/>
          </w:tcPr>
          <w:p w14:paraId="5423276B">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70%</w:t>
            </w:r>
          </w:p>
        </w:tc>
        <w:tc>
          <w:tcPr>
            <w:tcW w:w="613" w:type="pct"/>
            <w:shd w:val="clear" w:color="auto" w:fill="auto"/>
            <w:vAlign w:val="center"/>
          </w:tcPr>
          <w:p w14:paraId="63AC095D">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95%</w:t>
            </w:r>
          </w:p>
        </w:tc>
        <w:tc>
          <w:tcPr>
            <w:tcW w:w="605" w:type="pct"/>
            <w:shd w:val="clear" w:color="auto" w:fill="auto"/>
            <w:vAlign w:val="center"/>
          </w:tcPr>
          <w:p w14:paraId="59F0184A">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70%</w:t>
            </w:r>
          </w:p>
        </w:tc>
        <w:tc>
          <w:tcPr>
            <w:tcW w:w="602" w:type="pct"/>
            <w:shd w:val="clear" w:color="auto" w:fill="auto"/>
            <w:vAlign w:val="center"/>
          </w:tcPr>
          <w:p w14:paraId="6AE0B11D">
            <w:pPr>
              <w:adjustRightInd w:val="0"/>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90%</w:t>
            </w:r>
          </w:p>
        </w:tc>
      </w:tr>
      <w:tr w14:paraId="012F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1" w:type="pct"/>
            <w:gridSpan w:val="2"/>
            <w:vAlign w:val="center"/>
          </w:tcPr>
          <w:p w14:paraId="46C59BD1">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排放标准</w:t>
            </w:r>
          </w:p>
        </w:tc>
        <w:tc>
          <w:tcPr>
            <w:tcW w:w="613" w:type="pct"/>
            <w:shd w:val="clear" w:color="auto" w:fill="auto"/>
            <w:vAlign w:val="center"/>
          </w:tcPr>
          <w:p w14:paraId="25F785DB">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6-9</w:t>
            </w:r>
          </w:p>
        </w:tc>
        <w:tc>
          <w:tcPr>
            <w:tcW w:w="613" w:type="pct"/>
            <w:shd w:val="clear" w:color="auto" w:fill="auto"/>
            <w:vAlign w:val="center"/>
          </w:tcPr>
          <w:p w14:paraId="23D6EFBD">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500</w:t>
            </w:r>
          </w:p>
        </w:tc>
        <w:tc>
          <w:tcPr>
            <w:tcW w:w="610" w:type="pct"/>
            <w:shd w:val="clear" w:color="auto" w:fill="auto"/>
            <w:vAlign w:val="center"/>
          </w:tcPr>
          <w:p w14:paraId="07B7DC96">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35</w:t>
            </w:r>
          </w:p>
        </w:tc>
        <w:tc>
          <w:tcPr>
            <w:tcW w:w="613" w:type="pct"/>
            <w:shd w:val="clear" w:color="auto" w:fill="auto"/>
            <w:vAlign w:val="center"/>
          </w:tcPr>
          <w:p w14:paraId="33961F70">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20</w:t>
            </w:r>
          </w:p>
        </w:tc>
        <w:tc>
          <w:tcPr>
            <w:tcW w:w="605" w:type="pct"/>
            <w:shd w:val="clear" w:color="auto" w:fill="auto"/>
            <w:vAlign w:val="center"/>
          </w:tcPr>
          <w:p w14:paraId="2140E754">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70</w:t>
            </w:r>
          </w:p>
        </w:tc>
        <w:tc>
          <w:tcPr>
            <w:tcW w:w="602" w:type="pct"/>
            <w:vAlign w:val="center"/>
          </w:tcPr>
          <w:p w14:paraId="51F73A9C">
            <w:pPr>
              <w:adjustRightInd w:val="0"/>
              <w:snapToGrid w:val="0"/>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400</w:t>
            </w:r>
          </w:p>
        </w:tc>
      </w:tr>
    </w:tbl>
    <w:p w14:paraId="6C5D6455">
      <w:pPr>
        <w:pStyle w:val="76"/>
        <w:spacing w:line="360" w:lineRule="auto"/>
        <w:ind w:firstLine="482"/>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color w:val="000000" w:themeColor="text1"/>
          <w:sz w:val="24"/>
          <w:szCs w:val="24"/>
          <w14:textFill>
            <w14:solidFill>
              <w14:schemeClr w14:val="tx1"/>
            </w14:solidFill>
          </w14:textFill>
        </w:rPr>
        <w:t>（</w:t>
      </w:r>
      <w:r>
        <w:rPr>
          <w:rFonts w:hint="default" w:ascii="Arial" w:hAnsi="Arial" w:eastAsia="宋体" w:cs="Arial"/>
          <w:bCs/>
          <w:color w:val="000000" w:themeColor="text1"/>
          <w:sz w:val="24"/>
          <w:szCs w:val="24"/>
          <w:lang w:val="en-US" w:eastAsia="zh-CN"/>
          <w14:textFill>
            <w14:solidFill>
              <w14:schemeClr w14:val="tx1"/>
            </w14:solidFill>
          </w14:textFill>
        </w:rPr>
        <w:t>2</w:t>
      </w:r>
      <w:r>
        <w:rPr>
          <w:rFonts w:hint="default" w:ascii="Arial" w:hAnsi="Arial" w:eastAsia="宋体" w:cs="Arial"/>
          <w:bCs/>
          <w:color w:val="000000" w:themeColor="text1"/>
          <w:sz w:val="24"/>
          <w:szCs w:val="24"/>
          <w14:textFill>
            <w14:solidFill>
              <w14:schemeClr w14:val="tx1"/>
            </w14:solidFill>
          </w14:textFill>
        </w:rPr>
        <w:t>）废水纳管达标可行性分析</w:t>
      </w:r>
    </w:p>
    <w:p w14:paraId="44128ED6">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color w:val="000000" w:themeColor="text1"/>
          <w:sz w:val="24"/>
          <w:szCs w:val="24"/>
          <w14:textFill>
            <w14:solidFill>
              <w14:schemeClr w14:val="tx1"/>
            </w14:solidFill>
          </w14:textFill>
        </w:rPr>
        <w:t>企业排放的</w:t>
      </w:r>
      <w:r>
        <w:rPr>
          <w:rFonts w:hint="default" w:ascii="Arial" w:hAnsi="Arial" w:eastAsia="宋体" w:cs="Arial"/>
          <w:bCs/>
          <w:color w:val="000000" w:themeColor="text1"/>
          <w:sz w:val="24"/>
          <w:szCs w:val="24"/>
          <w:lang w:val="en-US" w:eastAsia="zh-CN"/>
          <w14:textFill>
            <w14:solidFill>
              <w14:schemeClr w14:val="tx1"/>
            </w14:solidFill>
          </w14:textFill>
        </w:rPr>
        <w:t>生产</w:t>
      </w:r>
      <w:r>
        <w:rPr>
          <w:rFonts w:hint="default" w:ascii="Arial" w:hAnsi="Arial" w:eastAsia="宋体" w:cs="Arial"/>
          <w:bCs/>
          <w:color w:val="000000" w:themeColor="text1"/>
          <w:sz w:val="24"/>
          <w:szCs w:val="24"/>
          <w14:textFill>
            <w14:solidFill>
              <w14:schemeClr w14:val="tx1"/>
            </w14:solidFill>
          </w14:textFill>
        </w:rPr>
        <w:t>废水</w:t>
      </w:r>
      <w:r>
        <w:rPr>
          <w:rFonts w:hint="default" w:ascii="Arial" w:hAnsi="Arial" w:eastAsia="宋体" w:cs="Arial"/>
          <w:bCs/>
          <w:color w:val="000000" w:themeColor="text1"/>
          <w:sz w:val="24"/>
          <w:szCs w:val="24"/>
          <w:lang w:val="en-US" w:eastAsia="zh-CN"/>
          <w14:textFill>
            <w14:solidFill>
              <w14:schemeClr w14:val="tx1"/>
            </w14:solidFill>
          </w14:textFill>
        </w:rPr>
        <w:t>和</w:t>
      </w:r>
      <w:r>
        <w:rPr>
          <w:rFonts w:hint="default" w:ascii="Arial" w:hAnsi="Arial" w:eastAsia="宋体" w:cs="Arial"/>
          <w:bCs/>
          <w:color w:val="000000" w:themeColor="text1"/>
          <w:sz w:val="24"/>
          <w:szCs w:val="24"/>
          <w14:textFill>
            <w14:solidFill>
              <w14:schemeClr w14:val="tx1"/>
            </w14:solidFill>
          </w14:textFill>
        </w:rPr>
        <w:t>生活污水经处理后能达到《污水综合排放标准》（GB8978-1996）三级标准，纳入市政污水管网最终由嘉兴市联合污水处理</w:t>
      </w:r>
      <w:r>
        <w:rPr>
          <w:rFonts w:hint="default" w:ascii="Arial" w:hAnsi="Arial" w:eastAsia="宋体" w:cs="Arial"/>
          <w:bCs/>
          <w:sz w:val="24"/>
          <w:szCs w:val="24"/>
        </w:rPr>
        <w:t>厂集中处理达《城镇污水处理厂污染物排放标准》（GB18918-2002）中的一级A标准（主要污染物执行《城镇污水处理厂主要水污染物排放标准》（DB 33/2169-2018）表1标准）后排入杭州湾。</w:t>
      </w:r>
    </w:p>
    <w:p w14:paraId="15713AC8">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w:t>
      </w:r>
      <w:r>
        <w:rPr>
          <w:rFonts w:hint="default" w:ascii="Arial" w:hAnsi="Arial" w:eastAsia="宋体" w:cs="Arial"/>
          <w:bCs/>
          <w:sz w:val="24"/>
          <w:szCs w:val="24"/>
          <w:lang w:val="en-US" w:eastAsia="zh-CN"/>
        </w:rPr>
        <w:t>3</w:t>
      </w:r>
      <w:r>
        <w:rPr>
          <w:rFonts w:hint="default" w:ascii="Arial" w:hAnsi="Arial" w:eastAsia="宋体" w:cs="Arial"/>
          <w:bCs/>
          <w:sz w:val="24"/>
          <w:szCs w:val="24"/>
        </w:rPr>
        <w:t>）项目废水纳管至污水处理厂可行性分析</w:t>
      </w:r>
    </w:p>
    <w:p w14:paraId="62336B0C">
      <w:pPr>
        <w:pStyle w:val="76"/>
        <w:spacing w:line="360" w:lineRule="auto"/>
        <w:ind w:firstLine="482"/>
        <w:rPr>
          <w:rFonts w:hint="default" w:ascii="Arial" w:hAnsi="Arial" w:eastAsia="宋体" w:cs="Arial"/>
          <w:bCs/>
          <w:sz w:val="24"/>
          <w:szCs w:val="24"/>
        </w:rPr>
      </w:pPr>
      <w:r>
        <w:rPr>
          <w:rFonts w:hint="default" w:ascii="Arial" w:hAnsi="Arial" w:eastAsia="宋体" w:cs="Arial"/>
          <w:bCs/>
          <w:sz w:val="24"/>
          <w:szCs w:val="24"/>
        </w:rPr>
        <w:t>1）废水接管可行性分析</w:t>
      </w:r>
    </w:p>
    <w:p w14:paraId="2F44BDB3">
      <w:pPr>
        <w:spacing w:line="360" w:lineRule="auto"/>
        <w:ind w:firstLine="482"/>
        <w:rPr>
          <w:rFonts w:hint="default" w:ascii="Arial" w:hAnsi="Arial" w:eastAsia="宋体" w:cs="Arial"/>
          <w:bCs/>
          <w:color w:val="auto"/>
          <w:sz w:val="24"/>
          <w:szCs w:val="24"/>
        </w:rPr>
      </w:pPr>
      <w:r>
        <w:rPr>
          <w:rFonts w:hint="default" w:ascii="Arial" w:hAnsi="Arial" w:eastAsia="宋体" w:cs="Arial"/>
          <w:bCs/>
          <w:sz w:val="24"/>
          <w:szCs w:val="24"/>
        </w:rPr>
        <w:t>项目拟</w:t>
      </w:r>
      <w:r>
        <w:rPr>
          <w:rFonts w:hint="default" w:ascii="Arial" w:hAnsi="Arial" w:eastAsia="宋体" w:cs="Arial"/>
          <w:bCs/>
          <w:color w:val="auto"/>
          <w:sz w:val="24"/>
          <w:szCs w:val="24"/>
        </w:rPr>
        <w:t>建地属于嘉兴市联合污水处理厂的服务范围。据调查，项目周边污水管网配套完善，项目废水可纳管。项目废水经处理达标后，接入周边道路污水收集系统，最终送嘉兴市联合污水处理厂统一处理。嘉兴市联合污水处理厂现总处理能力60万t/d，目前尚有一定的处理余量。因此项目能满足废水接管要求。</w:t>
      </w:r>
    </w:p>
    <w:p w14:paraId="56FB9FB7">
      <w:pPr>
        <w:spacing w:line="360" w:lineRule="auto"/>
        <w:ind w:firstLine="482"/>
        <w:rPr>
          <w:rFonts w:hint="default" w:ascii="Arial" w:hAnsi="Arial" w:eastAsia="宋体" w:cs="Arial"/>
          <w:bCs/>
          <w:color w:val="auto"/>
          <w:sz w:val="24"/>
          <w:szCs w:val="24"/>
        </w:rPr>
      </w:pPr>
      <w:r>
        <w:rPr>
          <w:rFonts w:hint="default" w:ascii="Arial" w:hAnsi="Arial" w:eastAsia="宋体" w:cs="Arial"/>
          <w:bCs/>
          <w:color w:val="auto"/>
          <w:sz w:val="24"/>
          <w:szCs w:val="24"/>
        </w:rPr>
        <w:t>2）废水排放对污水处理厂的冲击影响以及污水处理厂污水处理工艺可行性分析</w:t>
      </w:r>
    </w:p>
    <w:p w14:paraId="381D57B0">
      <w:pPr>
        <w:spacing w:line="360" w:lineRule="auto"/>
        <w:ind w:firstLine="482"/>
        <w:rPr>
          <w:rFonts w:hint="default" w:ascii="Arial" w:hAnsi="Arial" w:eastAsia="宋体" w:cs="Arial"/>
          <w:color w:val="auto"/>
          <w:sz w:val="24"/>
        </w:rPr>
      </w:pPr>
      <w:r>
        <w:rPr>
          <w:rFonts w:hint="default" w:ascii="Arial" w:hAnsi="Arial" w:eastAsia="宋体" w:cs="Arial"/>
          <w:color w:val="auto"/>
          <w:sz w:val="24"/>
        </w:rPr>
        <w:t>嘉兴市污水处理工程包括嘉兴市所属市、区、县、镇（乡）截污输送干管、沿途提升加压泵站、污水处理厂、排海管道及附属设施。设计规模近期为30万m</w:t>
      </w:r>
      <w:r>
        <w:rPr>
          <w:rFonts w:hint="default" w:ascii="Arial" w:hAnsi="Arial" w:eastAsia="宋体" w:cs="Arial"/>
          <w:color w:val="auto"/>
          <w:sz w:val="24"/>
          <w:vertAlign w:val="superscript"/>
        </w:rPr>
        <w:t>3</w:t>
      </w:r>
      <w:r>
        <w:rPr>
          <w:rFonts w:hint="default" w:ascii="Arial" w:hAnsi="Arial" w:eastAsia="宋体" w:cs="Arial"/>
          <w:color w:val="auto"/>
          <w:sz w:val="24"/>
        </w:rPr>
        <w:t>/d，二期（2010年）为30万m</w:t>
      </w:r>
      <w:r>
        <w:rPr>
          <w:rFonts w:hint="default" w:ascii="Arial" w:hAnsi="Arial" w:eastAsia="宋体" w:cs="Arial"/>
          <w:color w:val="auto"/>
          <w:sz w:val="24"/>
          <w:vertAlign w:val="superscript"/>
        </w:rPr>
        <w:t>3</w:t>
      </w:r>
      <w:r>
        <w:rPr>
          <w:rFonts w:hint="default" w:ascii="Arial" w:hAnsi="Arial" w:eastAsia="宋体" w:cs="Arial"/>
          <w:color w:val="auto"/>
          <w:sz w:val="24"/>
        </w:rPr>
        <w:t>/d，总设计规模60万m</w:t>
      </w:r>
      <w:r>
        <w:rPr>
          <w:rFonts w:hint="default" w:ascii="Arial" w:hAnsi="Arial" w:eastAsia="宋体" w:cs="Arial"/>
          <w:color w:val="auto"/>
          <w:sz w:val="24"/>
          <w:vertAlign w:val="superscript"/>
        </w:rPr>
        <w:t>3</w:t>
      </w:r>
      <w:r>
        <w:rPr>
          <w:rFonts w:hint="default" w:ascii="Arial" w:hAnsi="Arial" w:eastAsia="宋体" w:cs="Arial"/>
          <w:color w:val="auto"/>
          <w:sz w:val="24"/>
        </w:rPr>
        <w:t>/d。工程主要接纳的是嘉兴市区和所辖县市各城镇的废水以及部分乡镇的生活污水，另外还有服务范围内的重点工业污水。</w:t>
      </w:r>
    </w:p>
    <w:p w14:paraId="06C46C8B">
      <w:pPr>
        <w:spacing w:line="360" w:lineRule="auto"/>
        <w:ind w:firstLine="482"/>
        <w:rPr>
          <w:rFonts w:hint="default" w:ascii="Arial" w:hAnsi="Arial" w:eastAsia="宋体" w:cs="Arial"/>
          <w:bCs/>
          <w:sz w:val="24"/>
          <w:szCs w:val="24"/>
          <w:lang w:val="en-GB"/>
        </w:rPr>
      </w:pPr>
      <w:r>
        <w:rPr>
          <w:rFonts w:hint="default" w:ascii="Arial" w:hAnsi="Arial" w:eastAsia="宋体" w:cs="Arial"/>
          <w:bCs/>
          <w:color w:val="auto"/>
          <w:sz w:val="24"/>
          <w:szCs w:val="24"/>
        </w:rPr>
        <w:t>建设项目实施后，全厂接管废水量约</w:t>
      </w:r>
      <w:r>
        <w:rPr>
          <w:rFonts w:hint="default" w:ascii="Arial" w:hAnsi="Arial" w:eastAsia="宋体" w:cs="Arial"/>
          <w:bCs/>
          <w:color w:val="auto"/>
          <w:sz w:val="24"/>
          <w:szCs w:val="24"/>
          <w:lang w:val="en-US" w:eastAsia="zh-CN"/>
        </w:rPr>
        <w:t>2.4</w:t>
      </w:r>
      <w:r>
        <w:rPr>
          <w:rFonts w:hint="default" w:ascii="Arial" w:hAnsi="Arial" w:eastAsia="宋体" w:cs="Arial"/>
          <w:bCs/>
          <w:color w:val="auto"/>
          <w:sz w:val="24"/>
          <w:szCs w:val="24"/>
        </w:rPr>
        <w:t>t/d，所占负荷相对于嘉兴市联合污水处理厂（总处理能力为60万t/d）来说极小，约占</w:t>
      </w:r>
      <w:r>
        <w:rPr>
          <w:rFonts w:hint="default" w:ascii="Arial" w:hAnsi="Arial" w:eastAsia="宋体" w:cs="Arial"/>
          <w:bCs/>
          <w:color w:val="auto"/>
          <w:sz w:val="24"/>
          <w:szCs w:val="24"/>
          <w:lang w:val="en-US" w:eastAsia="zh-CN"/>
        </w:rPr>
        <w:t>0.004</w:t>
      </w:r>
      <w:r>
        <w:rPr>
          <w:rFonts w:hint="default" w:ascii="Arial" w:hAnsi="Arial" w:eastAsia="宋体" w:cs="Arial"/>
          <w:bCs/>
          <w:color w:val="auto"/>
          <w:sz w:val="24"/>
          <w:szCs w:val="24"/>
        </w:rPr>
        <w:t>%，且项目废水水质较为简单，主要纳管污染物为COD、氨氮、SS，嘉兴市联合污水处理厂二期工程处理工艺采用</w:t>
      </w:r>
      <w:r>
        <w:rPr>
          <w:rFonts w:hint="default" w:ascii="Arial" w:hAnsi="Arial" w:eastAsia="宋体" w:cs="Arial"/>
          <w:color w:val="auto"/>
          <w:sz w:val="24"/>
        </w:rPr>
        <w:t>A</w:t>
      </w:r>
      <w:r>
        <w:rPr>
          <w:rFonts w:hint="default" w:ascii="Arial" w:hAnsi="Arial" w:eastAsia="宋体" w:cs="Arial"/>
          <w:color w:val="auto"/>
          <w:sz w:val="24"/>
          <w:vertAlign w:val="superscript"/>
        </w:rPr>
        <w:t>2</w:t>
      </w:r>
      <w:r>
        <w:rPr>
          <w:rFonts w:hint="default" w:ascii="Arial" w:hAnsi="Arial" w:eastAsia="宋体" w:cs="Arial"/>
          <w:color w:val="auto"/>
          <w:sz w:val="24"/>
        </w:rPr>
        <w:t>/O生反池+二沉池</w:t>
      </w:r>
      <w:r>
        <w:rPr>
          <w:rFonts w:hint="default" w:ascii="Arial" w:hAnsi="Arial" w:eastAsia="宋体" w:cs="Arial"/>
          <w:bCs/>
          <w:color w:val="auto"/>
          <w:sz w:val="24"/>
          <w:szCs w:val="24"/>
        </w:rPr>
        <w:t>工艺处理后经二氧化氯和臭氧组</w:t>
      </w:r>
      <w:r>
        <w:rPr>
          <w:rFonts w:hint="default" w:ascii="Arial" w:hAnsi="Arial" w:eastAsia="宋体" w:cs="Arial"/>
          <w:bCs/>
          <w:sz w:val="24"/>
          <w:szCs w:val="24"/>
        </w:rPr>
        <w:t>合消毒，针对本项目纳管的污水在处理工艺上是完全可行的，目前该污水处理厂处理水量还存在一定余量；同时项目废水水质经处理后能达到《污水综合排放标准》（GB 8978—1996）中三级纳</w:t>
      </w:r>
      <w:r>
        <w:rPr>
          <w:rFonts w:hint="default" w:ascii="Arial" w:hAnsi="Arial" w:eastAsia="宋体" w:cs="Arial"/>
          <w:bCs/>
          <w:sz w:val="24"/>
          <w:szCs w:val="24"/>
          <w:lang w:val="en-GB"/>
        </w:rPr>
        <w:t>管标准要求，且污水处理厂污水能稳定达标排放，废水纳管不会对该污水处理厂的正常运行带来影响和冲击。因此，本项目废水接管后不会对嘉兴市联合污水处理厂产生不良影响。</w:t>
      </w:r>
    </w:p>
    <w:p w14:paraId="3C716B65">
      <w:pPr>
        <w:spacing w:line="360" w:lineRule="auto"/>
        <w:ind w:firstLine="482"/>
        <w:rPr>
          <w:rFonts w:hint="default" w:ascii="Arial" w:hAnsi="Arial" w:eastAsia="宋体" w:cs="Arial"/>
          <w:bCs/>
          <w:sz w:val="24"/>
          <w:szCs w:val="24"/>
          <w:lang w:val="en-GB"/>
        </w:rPr>
      </w:pPr>
    </w:p>
    <w:p w14:paraId="4E3D8062">
      <w:pPr>
        <w:spacing w:line="360" w:lineRule="auto"/>
        <w:ind w:firstLine="480" w:firstLineChars="200"/>
        <w:rPr>
          <w:rFonts w:hint="default" w:ascii="Arial" w:hAnsi="Arial" w:eastAsia="宋体" w:cs="Arial"/>
          <w:b/>
          <w:sz w:val="24"/>
          <w:szCs w:val="24"/>
        </w:rPr>
      </w:pPr>
      <w:r>
        <w:rPr>
          <w:rFonts w:hint="default" w:ascii="Arial" w:hAnsi="Arial" w:eastAsia="宋体" w:cs="Arial"/>
          <w:bCs/>
          <w:sz w:val="24"/>
          <w:szCs w:val="24"/>
        </w:rPr>
        <w:t>3）</w:t>
      </w:r>
      <w:r>
        <w:rPr>
          <w:rFonts w:hint="default" w:ascii="Arial" w:hAnsi="Arial" w:eastAsia="宋体" w:cs="Arial"/>
          <w:b/>
          <w:sz w:val="24"/>
          <w:szCs w:val="24"/>
        </w:rPr>
        <w:t>污水处理厂达标性分析：</w:t>
      </w:r>
    </w:p>
    <w:p w14:paraId="5E13F312">
      <w:pPr>
        <w:spacing w:line="360" w:lineRule="auto"/>
        <w:ind w:firstLine="480" w:firstLineChars="200"/>
        <w:rPr>
          <w:rFonts w:hint="default" w:ascii="Arial" w:hAnsi="Arial" w:eastAsia="宋体" w:cs="Arial"/>
          <w:sz w:val="24"/>
          <w:szCs w:val="24"/>
          <w:highlight w:val="none"/>
        </w:rPr>
      </w:pPr>
      <w:r>
        <w:rPr>
          <w:rFonts w:hint="default" w:ascii="Arial" w:hAnsi="Arial" w:eastAsia="宋体" w:cs="Arial"/>
          <w:sz w:val="24"/>
          <w:szCs w:val="24"/>
          <w:highlight w:val="none"/>
        </w:rPr>
        <w:t>根据浙江省污染源自动监控信息管理平台，嘉兴市联合污水处理厂202</w:t>
      </w:r>
      <w:r>
        <w:rPr>
          <w:rFonts w:hint="default" w:ascii="Arial" w:hAnsi="Arial" w:eastAsia="宋体" w:cs="Arial"/>
          <w:sz w:val="24"/>
          <w:szCs w:val="24"/>
          <w:highlight w:val="none"/>
          <w:lang w:val="en-US" w:eastAsia="zh-CN"/>
        </w:rPr>
        <w:t>4</w:t>
      </w:r>
      <w:r>
        <w:rPr>
          <w:rFonts w:hint="default" w:ascii="Arial" w:hAnsi="Arial" w:eastAsia="宋体" w:cs="Arial"/>
          <w:sz w:val="24"/>
          <w:szCs w:val="24"/>
          <w:highlight w:val="none"/>
        </w:rPr>
        <w:t>年</w:t>
      </w:r>
      <w:r>
        <w:rPr>
          <w:rFonts w:hint="default" w:ascii="Arial" w:hAnsi="Arial" w:eastAsia="宋体" w:cs="Arial"/>
          <w:sz w:val="24"/>
          <w:szCs w:val="24"/>
          <w:highlight w:val="none"/>
          <w:lang w:val="en-US" w:eastAsia="zh-CN"/>
        </w:rPr>
        <w:t>4</w:t>
      </w:r>
      <w:r>
        <w:rPr>
          <w:rFonts w:hint="default" w:ascii="Arial" w:hAnsi="Arial" w:eastAsia="宋体" w:cs="Arial"/>
          <w:sz w:val="24"/>
          <w:szCs w:val="24"/>
          <w:highlight w:val="none"/>
        </w:rPr>
        <w:t>月</w:t>
      </w:r>
      <w:r>
        <w:rPr>
          <w:rFonts w:hint="default" w:ascii="Arial" w:hAnsi="Arial" w:eastAsia="宋体" w:cs="Arial"/>
          <w:sz w:val="24"/>
          <w:szCs w:val="24"/>
          <w:highlight w:val="none"/>
          <w:lang w:val="en-US" w:eastAsia="zh-CN"/>
        </w:rPr>
        <w:t>1</w:t>
      </w:r>
      <w:r>
        <w:rPr>
          <w:rFonts w:hint="default" w:ascii="Arial" w:hAnsi="Arial" w:eastAsia="宋体" w:cs="Arial"/>
          <w:sz w:val="24"/>
          <w:szCs w:val="24"/>
          <w:highlight w:val="none"/>
        </w:rPr>
        <w:t>日~</w:t>
      </w:r>
      <w:r>
        <w:rPr>
          <w:rFonts w:hint="default" w:ascii="Arial" w:hAnsi="Arial" w:eastAsia="宋体" w:cs="Arial"/>
          <w:sz w:val="24"/>
          <w:szCs w:val="24"/>
          <w:highlight w:val="none"/>
          <w:lang w:val="en-US" w:eastAsia="zh-CN"/>
        </w:rPr>
        <w:t>5</w:t>
      </w:r>
      <w:r>
        <w:rPr>
          <w:rFonts w:hint="default" w:ascii="Arial" w:hAnsi="Arial" w:eastAsia="宋体" w:cs="Arial"/>
          <w:sz w:val="24"/>
          <w:szCs w:val="24"/>
          <w:highlight w:val="none"/>
        </w:rPr>
        <w:t>月</w:t>
      </w:r>
      <w:r>
        <w:rPr>
          <w:rFonts w:hint="default" w:ascii="Arial" w:hAnsi="Arial" w:eastAsia="宋体" w:cs="Arial"/>
          <w:sz w:val="24"/>
          <w:szCs w:val="24"/>
          <w:highlight w:val="none"/>
          <w:lang w:val="en-US" w:eastAsia="zh-CN"/>
        </w:rPr>
        <w:t>20</w:t>
      </w:r>
      <w:r>
        <w:rPr>
          <w:rFonts w:hint="default" w:ascii="Arial" w:hAnsi="Arial" w:eastAsia="宋体" w:cs="Arial"/>
          <w:sz w:val="24"/>
          <w:szCs w:val="24"/>
          <w:highlight w:val="none"/>
        </w:rPr>
        <w:t>日废水监测数据见下表4-</w:t>
      </w:r>
      <w:r>
        <w:rPr>
          <w:rFonts w:hint="eastAsia" w:ascii="Arial" w:hAnsi="Arial" w:eastAsia="宋体" w:cs="Arial"/>
          <w:sz w:val="24"/>
          <w:szCs w:val="24"/>
          <w:highlight w:val="none"/>
          <w:lang w:val="en-US" w:eastAsia="zh-CN"/>
        </w:rPr>
        <w:t>9</w:t>
      </w:r>
      <w:r>
        <w:rPr>
          <w:rFonts w:hint="default" w:ascii="Arial" w:hAnsi="Arial" w:eastAsia="宋体" w:cs="Arial"/>
          <w:sz w:val="24"/>
          <w:szCs w:val="24"/>
          <w:highlight w:val="none"/>
        </w:rPr>
        <w:t>。</w:t>
      </w:r>
    </w:p>
    <w:p w14:paraId="11CB80AC">
      <w:pPr>
        <w:pStyle w:val="76"/>
        <w:numPr>
          <w:ilvl w:val="3"/>
          <w:numId w:val="4"/>
        </w:numPr>
        <w:ind w:left="777" w:leftChars="0" w:firstLineChars="0"/>
        <w:jc w:val="center"/>
        <w:outlineLvl w:val="3"/>
        <w:rPr>
          <w:rFonts w:hint="default" w:ascii="Arial" w:hAnsi="Arial" w:eastAsia="宋体" w:cs="Arial"/>
          <w:b/>
          <w:bCs/>
          <w:sz w:val="24"/>
          <w:szCs w:val="24"/>
          <w:highlight w:val="none"/>
        </w:rPr>
      </w:pPr>
      <w:r>
        <w:rPr>
          <w:rFonts w:hint="default" w:ascii="Arial" w:hAnsi="Arial" w:eastAsia="宋体" w:cs="Arial"/>
          <w:b/>
          <w:bCs/>
          <w:sz w:val="24"/>
          <w:szCs w:val="24"/>
          <w:highlight w:val="none"/>
        </w:rPr>
        <w:t xml:space="preserve">  废水总排口监测结果       单位：mg/L</w:t>
      </w:r>
      <w:r>
        <w:rPr>
          <w:rFonts w:hint="eastAsia" w:ascii="Arial" w:hAnsi="Arial" w:eastAsia="宋体" w:cs="Arial"/>
          <w:b/>
          <w:bCs/>
          <w:sz w:val="24"/>
          <w:szCs w:val="24"/>
          <w:highlight w:val="none"/>
          <w:lang w:eastAsia="zh-CN"/>
        </w:rPr>
        <w:t>（</w:t>
      </w:r>
      <w:r>
        <w:rPr>
          <w:rFonts w:hint="eastAsia" w:ascii="Arial" w:hAnsi="Arial" w:cs="Arial"/>
          <w:b/>
          <w:bCs/>
          <w:color w:val="000000" w:themeColor="text1"/>
          <w:lang w:val="en-US" w:eastAsia="zh-CN"/>
          <w14:textFill>
            <w14:solidFill>
              <w14:schemeClr w14:val="tx1"/>
            </w14:solidFill>
          </w14:textFill>
        </w:rPr>
        <w:t>pH除外</w:t>
      </w:r>
      <w:r>
        <w:rPr>
          <w:rFonts w:hint="eastAsia" w:ascii="Arial" w:hAnsi="Arial" w:eastAsia="宋体" w:cs="Arial"/>
          <w:b/>
          <w:bCs/>
          <w:sz w:val="24"/>
          <w:szCs w:val="24"/>
          <w:highlight w:val="none"/>
          <w:lang w:eastAsia="zh-CN"/>
        </w:rPr>
        <w:t>）</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2091"/>
        <w:gridCol w:w="1157"/>
        <w:gridCol w:w="1390"/>
        <w:gridCol w:w="865"/>
        <w:gridCol w:w="981"/>
        <w:gridCol w:w="859"/>
      </w:tblGrid>
      <w:tr w14:paraId="4FDC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pct"/>
            <w:vMerge w:val="restart"/>
            <w:tcBorders>
              <w:tl2br w:val="nil"/>
            </w:tcBorders>
            <w:shd w:val="clear" w:color="auto" w:fill="FFFFFF"/>
            <w:vAlign w:val="center"/>
          </w:tcPr>
          <w:p w14:paraId="185B0C84">
            <w:pPr>
              <w:jc w:val="center"/>
              <w:rPr>
                <w:rFonts w:hint="default" w:ascii="Arial" w:hAnsi="Arial" w:eastAsia="宋体" w:cs="Arial"/>
                <w:b w:val="0"/>
                <w:color w:val="auto"/>
                <w:szCs w:val="21"/>
              </w:rPr>
            </w:pPr>
            <w:r>
              <w:rPr>
                <w:rFonts w:hint="default" w:ascii="Arial" w:hAnsi="Arial" w:eastAsia="宋体" w:cs="Arial"/>
                <w:b w:val="0"/>
                <w:color w:val="auto"/>
                <w:szCs w:val="21"/>
              </w:rPr>
              <w:t>监测点位</w:t>
            </w:r>
          </w:p>
        </w:tc>
        <w:tc>
          <w:tcPr>
            <w:tcW w:w="1109" w:type="pct"/>
            <w:vMerge w:val="restart"/>
            <w:shd w:val="clear" w:color="auto" w:fill="FFFFFF"/>
            <w:vAlign w:val="center"/>
          </w:tcPr>
          <w:p w14:paraId="5B2F09B4">
            <w:pPr>
              <w:jc w:val="center"/>
              <w:rPr>
                <w:rFonts w:hint="default" w:ascii="Arial" w:hAnsi="Arial" w:eastAsia="宋体" w:cs="Arial"/>
                <w:b w:val="0"/>
                <w:color w:val="auto"/>
                <w:szCs w:val="21"/>
              </w:rPr>
            </w:pPr>
            <w:r>
              <w:rPr>
                <w:rFonts w:hint="default" w:ascii="Arial" w:hAnsi="Arial" w:eastAsia="宋体" w:cs="Arial"/>
                <w:b w:val="0"/>
                <w:color w:val="auto"/>
                <w:szCs w:val="21"/>
              </w:rPr>
              <w:t>监测时间</w:t>
            </w:r>
          </w:p>
        </w:tc>
        <w:tc>
          <w:tcPr>
            <w:tcW w:w="3320" w:type="pct"/>
            <w:gridSpan w:val="5"/>
            <w:shd w:val="clear" w:color="auto" w:fill="FFFFFF"/>
            <w:vAlign w:val="center"/>
          </w:tcPr>
          <w:p w14:paraId="5EC6729A">
            <w:pPr>
              <w:jc w:val="center"/>
              <w:rPr>
                <w:rFonts w:hint="default" w:ascii="Arial" w:hAnsi="Arial" w:eastAsia="宋体" w:cs="Arial"/>
                <w:b w:val="0"/>
                <w:color w:val="auto"/>
                <w:szCs w:val="20"/>
              </w:rPr>
            </w:pPr>
            <w:r>
              <w:rPr>
                <w:rFonts w:hint="default" w:ascii="Arial" w:hAnsi="Arial" w:eastAsia="宋体" w:cs="Arial"/>
                <w:b w:val="0"/>
                <w:color w:val="auto"/>
                <w:szCs w:val="20"/>
              </w:rPr>
              <w:t>监测数据（日均值）</w:t>
            </w:r>
          </w:p>
        </w:tc>
      </w:tr>
      <w:tr w14:paraId="6E74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pct"/>
            <w:vMerge w:val="continue"/>
            <w:shd w:val="clear" w:color="auto" w:fill="FFFFFF"/>
            <w:vAlign w:val="center"/>
          </w:tcPr>
          <w:p w14:paraId="2919E6C4">
            <w:pPr>
              <w:widowControl/>
              <w:jc w:val="left"/>
              <w:rPr>
                <w:rFonts w:hint="default" w:ascii="Arial" w:hAnsi="Arial" w:eastAsia="宋体" w:cs="Arial"/>
                <w:b w:val="0"/>
                <w:color w:val="auto"/>
                <w:szCs w:val="21"/>
              </w:rPr>
            </w:pPr>
          </w:p>
        </w:tc>
        <w:tc>
          <w:tcPr>
            <w:tcW w:w="1109" w:type="pct"/>
            <w:vMerge w:val="continue"/>
            <w:shd w:val="clear" w:color="auto" w:fill="FFFFFF"/>
            <w:vAlign w:val="center"/>
          </w:tcPr>
          <w:p w14:paraId="6B836A24">
            <w:pPr>
              <w:widowControl/>
              <w:jc w:val="left"/>
              <w:rPr>
                <w:rFonts w:hint="default" w:ascii="Arial" w:hAnsi="Arial" w:eastAsia="宋体" w:cs="Arial"/>
                <w:b w:val="0"/>
                <w:color w:val="auto"/>
                <w:szCs w:val="21"/>
              </w:rPr>
            </w:pPr>
          </w:p>
        </w:tc>
        <w:tc>
          <w:tcPr>
            <w:tcW w:w="670" w:type="pct"/>
            <w:shd w:val="clear" w:color="auto" w:fill="FFFFFF"/>
            <w:vAlign w:val="center"/>
          </w:tcPr>
          <w:p w14:paraId="3D188A8D">
            <w:pPr>
              <w:jc w:val="center"/>
              <w:rPr>
                <w:rFonts w:hint="default" w:ascii="Arial" w:hAnsi="Arial" w:eastAsia="宋体" w:cs="Arial"/>
                <w:b w:val="0"/>
                <w:color w:val="auto"/>
                <w:szCs w:val="21"/>
              </w:rPr>
            </w:pPr>
            <w:r>
              <w:rPr>
                <w:rFonts w:hint="default" w:ascii="Arial" w:hAnsi="Arial" w:eastAsia="宋体" w:cs="Arial"/>
                <w:b w:val="0"/>
                <w:color w:val="auto"/>
                <w:szCs w:val="21"/>
              </w:rPr>
              <w:t>pH值</w:t>
            </w:r>
          </w:p>
        </w:tc>
        <w:tc>
          <w:tcPr>
            <w:tcW w:w="803" w:type="pct"/>
            <w:shd w:val="clear" w:color="auto" w:fill="FFFFFF"/>
            <w:vAlign w:val="center"/>
          </w:tcPr>
          <w:p w14:paraId="0B81180F">
            <w:pPr>
              <w:jc w:val="center"/>
              <w:rPr>
                <w:rFonts w:hint="default" w:ascii="Arial" w:hAnsi="Arial" w:eastAsia="宋体" w:cs="Arial"/>
                <w:b w:val="0"/>
                <w:color w:val="auto"/>
                <w:szCs w:val="21"/>
              </w:rPr>
            </w:pPr>
            <w:r>
              <w:rPr>
                <w:rFonts w:hint="default" w:ascii="Arial" w:hAnsi="Arial" w:eastAsia="宋体" w:cs="Arial"/>
                <w:b w:val="0"/>
                <w:color w:val="auto"/>
                <w:szCs w:val="21"/>
              </w:rPr>
              <w:t>COD</w:t>
            </w:r>
            <w:r>
              <w:rPr>
                <w:rFonts w:hint="default" w:ascii="Arial" w:hAnsi="Arial" w:eastAsia="宋体" w:cs="Arial"/>
                <w:b w:val="0"/>
                <w:color w:val="auto"/>
                <w:szCs w:val="21"/>
                <w:vertAlign w:val="subscript"/>
              </w:rPr>
              <w:t>cr</w:t>
            </w:r>
          </w:p>
        </w:tc>
        <w:tc>
          <w:tcPr>
            <w:tcW w:w="650" w:type="pct"/>
            <w:shd w:val="clear" w:color="auto" w:fill="FFFFFF"/>
            <w:vAlign w:val="center"/>
          </w:tcPr>
          <w:p w14:paraId="400B6F65">
            <w:pPr>
              <w:jc w:val="center"/>
              <w:rPr>
                <w:rFonts w:hint="default" w:ascii="Arial" w:hAnsi="Arial" w:eastAsia="宋体" w:cs="Arial"/>
                <w:b w:val="0"/>
                <w:color w:val="auto"/>
                <w:szCs w:val="21"/>
              </w:rPr>
            </w:pPr>
            <w:r>
              <w:rPr>
                <w:rFonts w:hint="default" w:ascii="Arial" w:hAnsi="Arial" w:eastAsia="宋体" w:cs="Arial"/>
                <w:b w:val="0"/>
                <w:color w:val="auto"/>
                <w:szCs w:val="21"/>
              </w:rPr>
              <w:t>NH</w:t>
            </w:r>
            <w:r>
              <w:rPr>
                <w:rFonts w:hint="default" w:ascii="Arial" w:hAnsi="Arial" w:eastAsia="宋体" w:cs="Arial"/>
                <w:b w:val="0"/>
                <w:color w:val="auto"/>
                <w:szCs w:val="21"/>
                <w:vertAlign w:val="subscript"/>
              </w:rPr>
              <w:t>3</w:t>
            </w:r>
            <w:r>
              <w:rPr>
                <w:rFonts w:hint="default" w:ascii="Arial" w:hAnsi="Arial" w:eastAsia="宋体" w:cs="Arial"/>
                <w:b w:val="0"/>
                <w:color w:val="auto"/>
                <w:szCs w:val="21"/>
              </w:rPr>
              <w:t>-N</w:t>
            </w:r>
          </w:p>
        </w:tc>
        <w:tc>
          <w:tcPr>
            <w:tcW w:w="617" w:type="pct"/>
            <w:shd w:val="clear" w:color="auto" w:fill="FFFFFF"/>
            <w:vAlign w:val="center"/>
          </w:tcPr>
          <w:p w14:paraId="219006E4">
            <w:pPr>
              <w:jc w:val="center"/>
              <w:rPr>
                <w:rFonts w:hint="default" w:ascii="Arial" w:hAnsi="Arial" w:eastAsia="宋体" w:cs="Arial"/>
                <w:b w:val="0"/>
                <w:color w:val="auto"/>
                <w:szCs w:val="21"/>
              </w:rPr>
            </w:pPr>
            <w:r>
              <w:rPr>
                <w:rFonts w:hint="default" w:ascii="Arial" w:hAnsi="Arial" w:eastAsia="宋体" w:cs="Arial"/>
                <w:b w:val="0"/>
                <w:color w:val="auto"/>
                <w:szCs w:val="21"/>
              </w:rPr>
              <w:t>总磷</w:t>
            </w:r>
          </w:p>
        </w:tc>
        <w:tc>
          <w:tcPr>
            <w:tcW w:w="579" w:type="pct"/>
            <w:shd w:val="clear" w:color="auto" w:fill="FFFFFF"/>
            <w:vAlign w:val="center"/>
          </w:tcPr>
          <w:p w14:paraId="454485CC">
            <w:pPr>
              <w:jc w:val="center"/>
              <w:rPr>
                <w:rFonts w:hint="default" w:ascii="Arial" w:hAnsi="Arial" w:eastAsia="宋体" w:cs="Arial"/>
                <w:b w:val="0"/>
                <w:color w:val="auto"/>
                <w:szCs w:val="21"/>
              </w:rPr>
            </w:pPr>
            <w:r>
              <w:rPr>
                <w:rFonts w:hint="default" w:ascii="Arial" w:hAnsi="Arial" w:eastAsia="宋体" w:cs="Arial"/>
                <w:b w:val="0"/>
                <w:color w:val="auto"/>
                <w:szCs w:val="21"/>
              </w:rPr>
              <w:t>总氮</w:t>
            </w:r>
          </w:p>
        </w:tc>
      </w:tr>
      <w:tr w14:paraId="21E3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0" w:type="pct"/>
            <w:shd w:val="clear" w:color="auto" w:fill="FFFFFF"/>
            <w:vAlign w:val="center"/>
          </w:tcPr>
          <w:p w14:paraId="598C611C">
            <w:pPr>
              <w:jc w:val="center"/>
              <w:rPr>
                <w:rFonts w:hint="default" w:ascii="Arial" w:hAnsi="Arial" w:eastAsia="宋体" w:cs="Arial"/>
                <w:b w:val="0"/>
                <w:color w:val="auto"/>
                <w:szCs w:val="21"/>
              </w:rPr>
            </w:pPr>
            <w:r>
              <w:rPr>
                <w:rFonts w:hint="default" w:ascii="Arial" w:hAnsi="Arial" w:eastAsia="宋体" w:cs="Arial"/>
                <w:b w:val="0"/>
                <w:color w:val="auto"/>
                <w:szCs w:val="21"/>
              </w:rPr>
              <w:t>总排口</w:t>
            </w:r>
          </w:p>
        </w:tc>
        <w:tc>
          <w:tcPr>
            <w:tcW w:w="1109" w:type="pct"/>
            <w:shd w:val="clear" w:color="auto" w:fill="FFFFFF"/>
            <w:vAlign w:val="center"/>
          </w:tcPr>
          <w:p w14:paraId="538C9F61">
            <w:pPr>
              <w:jc w:val="center"/>
              <w:rPr>
                <w:rFonts w:hint="default" w:ascii="Arial" w:hAnsi="Arial" w:eastAsia="宋体" w:cs="Arial"/>
                <w:b w:val="0"/>
                <w:color w:val="auto"/>
                <w:szCs w:val="21"/>
              </w:rPr>
            </w:pPr>
            <w:r>
              <w:rPr>
                <w:rFonts w:hint="default" w:ascii="Arial" w:hAnsi="Arial" w:eastAsia="宋体" w:cs="Arial"/>
                <w:b w:val="0"/>
                <w:color w:val="auto"/>
                <w:szCs w:val="21"/>
              </w:rPr>
              <w:t>2024.4.1~2024.5.20</w:t>
            </w:r>
          </w:p>
        </w:tc>
        <w:tc>
          <w:tcPr>
            <w:tcW w:w="670" w:type="pct"/>
            <w:shd w:val="clear" w:color="auto" w:fill="FFFFFF"/>
            <w:vAlign w:val="center"/>
          </w:tcPr>
          <w:p w14:paraId="79A5B0EA">
            <w:pPr>
              <w:jc w:val="center"/>
              <w:rPr>
                <w:rFonts w:hint="default" w:ascii="Arial" w:hAnsi="Arial" w:eastAsia="宋体" w:cs="Arial"/>
                <w:b w:val="0"/>
                <w:color w:val="auto"/>
                <w:szCs w:val="21"/>
              </w:rPr>
            </w:pPr>
            <w:r>
              <w:rPr>
                <w:rFonts w:hint="default" w:ascii="Arial" w:hAnsi="Arial" w:eastAsia="宋体" w:cs="Arial"/>
                <w:b w:val="0"/>
                <w:color w:val="auto"/>
                <w:szCs w:val="21"/>
              </w:rPr>
              <w:t>6.85~7.09</w:t>
            </w:r>
          </w:p>
        </w:tc>
        <w:tc>
          <w:tcPr>
            <w:tcW w:w="803" w:type="pct"/>
            <w:shd w:val="clear" w:color="auto" w:fill="FFFFFF"/>
            <w:vAlign w:val="center"/>
          </w:tcPr>
          <w:p w14:paraId="3F953AEA">
            <w:pPr>
              <w:jc w:val="center"/>
              <w:rPr>
                <w:rFonts w:hint="default" w:ascii="Arial" w:hAnsi="Arial" w:eastAsia="宋体" w:cs="Arial"/>
                <w:b w:val="0"/>
                <w:color w:val="auto"/>
                <w:szCs w:val="21"/>
              </w:rPr>
            </w:pPr>
            <w:r>
              <w:rPr>
                <w:rFonts w:hint="default" w:ascii="Arial" w:hAnsi="Arial" w:eastAsia="宋体" w:cs="Arial"/>
                <w:b w:val="0"/>
                <w:color w:val="auto"/>
                <w:szCs w:val="21"/>
              </w:rPr>
              <w:t>12.41~24.01</w:t>
            </w:r>
          </w:p>
        </w:tc>
        <w:tc>
          <w:tcPr>
            <w:tcW w:w="650" w:type="pct"/>
            <w:shd w:val="clear" w:color="auto" w:fill="FFFFFF"/>
            <w:vAlign w:val="center"/>
          </w:tcPr>
          <w:p w14:paraId="45C717C2">
            <w:pPr>
              <w:jc w:val="center"/>
              <w:rPr>
                <w:rFonts w:hint="default" w:ascii="Arial" w:hAnsi="Arial" w:eastAsia="宋体" w:cs="Arial"/>
                <w:b w:val="0"/>
                <w:color w:val="auto"/>
                <w:szCs w:val="21"/>
              </w:rPr>
            </w:pPr>
            <w:r>
              <w:rPr>
                <w:rFonts w:hint="default" w:ascii="Arial" w:hAnsi="Arial" w:eastAsia="宋体" w:cs="Arial"/>
                <w:b w:val="0"/>
                <w:color w:val="auto"/>
                <w:szCs w:val="21"/>
              </w:rPr>
              <w:t>0.037~</w:t>
            </w:r>
          </w:p>
          <w:p w14:paraId="3979E314">
            <w:pPr>
              <w:jc w:val="center"/>
              <w:rPr>
                <w:rFonts w:hint="default" w:ascii="Arial" w:hAnsi="Arial" w:eastAsia="宋体" w:cs="Arial"/>
                <w:b w:val="0"/>
                <w:color w:val="auto"/>
                <w:szCs w:val="21"/>
              </w:rPr>
            </w:pPr>
            <w:r>
              <w:rPr>
                <w:rFonts w:hint="default" w:ascii="Arial" w:hAnsi="Arial" w:eastAsia="宋体" w:cs="Arial"/>
                <w:b w:val="0"/>
                <w:color w:val="auto"/>
                <w:szCs w:val="21"/>
              </w:rPr>
              <w:t>0.8589</w:t>
            </w:r>
          </w:p>
        </w:tc>
        <w:tc>
          <w:tcPr>
            <w:tcW w:w="617" w:type="pct"/>
            <w:shd w:val="clear" w:color="auto" w:fill="FFFFFF"/>
            <w:vAlign w:val="center"/>
          </w:tcPr>
          <w:p w14:paraId="654F32A5">
            <w:pPr>
              <w:jc w:val="center"/>
              <w:rPr>
                <w:rFonts w:hint="default" w:ascii="Arial" w:hAnsi="Arial" w:eastAsia="宋体" w:cs="Arial"/>
                <w:b w:val="0"/>
                <w:color w:val="auto"/>
                <w:szCs w:val="21"/>
              </w:rPr>
            </w:pPr>
            <w:r>
              <w:rPr>
                <w:rFonts w:hint="default" w:ascii="Arial" w:hAnsi="Arial" w:eastAsia="宋体" w:cs="Arial"/>
                <w:b w:val="0"/>
                <w:color w:val="auto"/>
                <w:szCs w:val="21"/>
              </w:rPr>
              <w:t>0.0897~</w:t>
            </w:r>
          </w:p>
          <w:p w14:paraId="7695E439">
            <w:pPr>
              <w:jc w:val="center"/>
              <w:rPr>
                <w:rFonts w:hint="default" w:ascii="Arial" w:hAnsi="Arial" w:eastAsia="宋体" w:cs="Arial"/>
                <w:b w:val="0"/>
                <w:color w:val="auto"/>
                <w:szCs w:val="21"/>
              </w:rPr>
            </w:pPr>
            <w:r>
              <w:rPr>
                <w:rFonts w:hint="default" w:ascii="Arial" w:hAnsi="Arial" w:eastAsia="宋体" w:cs="Arial"/>
                <w:b w:val="0"/>
                <w:color w:val="auto"/>
                <w:szCs w:val="21"/>
              </w:rPr>
              <w:t>0.1819</w:t>
            </w:r>
          </w:p>
        </w:tc>
        <w:tc>
          <w:tcPr>
            <w:tcW w:w="579" w:type="pct"/>
            <w:shd w:val="clear" w:color="auto" w:fill="FFFFFF"/>
            <w:vAlign w:val="center"/>
          </w:tcPr>
          <w:p w14:paraId="25B6E117">
            <w:pPr>
              <w:jc w:val="center"/>
              <w:rPr>
                <w:rFonts w:hint="default" w:ascii="Arial" w:hAnsi="Arial" w:eastAsia="宋体" w:cs="Arial"/>
                <w:b w:val="0"/>
                <w:color w:val="auto"/>
                <w:szCs w:val="21"/>
              </w:rPr>
            </w:pPr>
            <w:r>
              <w:rPr>
                <w:rFonts w:hint="default" w:ascii="Arial" w:hAnsi="Arial" w:eastAsia="宋体" w:cs="Arial"/>
                <w:b w:val="0"/>
                <w:color w:val="auto"/>
                <w:szCs w:val="21"/>
              </w:rPr>
              <w:t>7.64~</w:t>
            </w:r>
          </w:p>
          <w:p w14:paraId="43438A11">
            <w:pPr>
              <w:jc w:val="center"/>
              <w:rPr>
                <w:rFonts w:hint="default" w:ascii="Arial" w:hAnsi="Arial" w:eastAsia="宋体" w:cs="Arial"/>
                <w:b w:val="0"/>
                <w:color w:val="auto"/>
                <w:szCs w:val="21"/>
              </w:rPr>
            </w:pPr>
            <w:r>
              <w:rPr>
                <w:rFonts w:hint="default" w:ascii="Arial" w:hAnsi="Arial" w:eastAsia="宋体" w:cs="Arial"/>
                <w:b w:val="0"/>
                <w:color w:val="auto"/>
                <w:szCs w:val="21"/>
              </w:rPr>
              <w:t>10.515</w:t>
            </w:r>
          </w:p>
        </w:tc>
      </w:tr>
      <w:tr w14:paraId="2AD3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9" w:type="pct"/>
            <w:gridSpan w:val="2"/>
            <w:shd w:val="clear" w:color="auto" w:fill="FFFFFF"/>
            <w:vAlign w:val="center"/>
          </w:tcPr>
          <w:p w14:paraId="520A33FB">
            <w:pPr>
              <w:jc w:val="center"/>
              <w:rPr>
                <w:rFonts w:hint="default" w:ascii="Arial" w:hAnsi="Arial" w:eastAsia="宋体" w:cs="Arial"/>
                <w:b w:val="0"/>
                <w:color w:val="auto"/>
                <w:szCs w:val="21"/>
              </w:rPr>
            </w:pPr>
            <w:r>
              <w:rPr>
                <w:rFonts w:hint="default" w:ascii="Arial" w:hAnsi="Arial" w:eastAsia="宋体" w:cs="Arial"/>
                <w:b w:val="0"/>
                <w:color w:val="auto"/>
                <w:szCs w:val="21"/>
              </w:rPr>
              <w:t>《城镇污水处理厂主要水污染物排放标准》（DB 33/2169-2018）</w:t>
            </w:r>
          </w:p>
        </w:tc>
        <w:tc>
          <w:tcPr>
            <w:tcW w:w="670" w:type="pct"/>
            <w:shd w:val="clear" w:color="auto" w:fill="FFFFFF"/>
            <w:vAlign w:val="center"/>
          </w:tcPr>
          <w:p w14:paraId="1E9E5CF1">
            <w:pPr>
              <w:jc w:val="center"/>
              <w:rPr>
                <w:rFonts w:hint="default" w:ascii="Arial" w:hAnsi="Arial" w:eastAsia="宋体" w:cs="Arial"/>
                <w:b w:val="0"/>
                <w:color w:val="auto"/>
                <w:szCs w:val="21"/>
              </w:rPr>
            </w:pPr>
            <w:r>
              <w:rPr>
                <w:rFonts w:hint="default" w:ascii="Arial" w:hAnsi="Arial" w:eastAsia="宋体" w:cs="Arial"/>
                <w:b w:val="0"/>
                <w:color w:val="auto"/>
                <w:szCs w:val="21"/>
              </w:rPr>
              <w:t>6~9</w:t>
            </w:r>
          </w:p>
        </w:tc>
        <w:tc>
          <w:tcPr>
            <w:tcW w:w="803" w:type="pct"/>
            <w:shd w:val="clear" w:color="auto" w:fill="FFFFFF"/>
            <w:vAlign w:val="center"/>
          </w:tcPr>
          <w:p w14:paraId="742DF498">
            <w:pPr>
              <w:jc w:val="center"/>
              <w:rPr>
                <w:rFonts w:hint="default" w:ascii="Arial" w:hAnsi="Arial" w:eastAsia="宋体" w:cs="Arial"/>
                <w:b w:val="0"/>
                <w:color w:val="auto"/>
                <w:szCs w:val="21"/>
              </w:rPr>
            </w:pPr>
            <w:r>
              <w:rPr>
                <w:rFonts w:hint="default" w:ascii="Arial" w:hAnsi="Arial" w:eastAsia="宋体" w:cs="Arial"/>
                <w:b w:val="0"/>
                <w:color w:val="auto"/>
                <w:szCs w:val="21"/>
              </w:rPr>
              <w:t>40</w:t>
            </w:r>
          </w:p>
        </w:tc>
        <w:tc>
          <w:tcPr>
            <w:tcW w:w="650" w:type="pct"/>
            <w:shd w:val="clear" w:color="auto" w:fill="FFFFFF"/>
            <w:vAlign w:val="center"/>
          </w:tcPr>
          <w:p w14:paraId="2ECA72E4">
            <w:pPr>
              <w:jc w:val="center"/>
              <w:rPr>
                <w:rFonts w:hint="default" w:ascii="Arial" w:hAnsi="Arial" w:eastAsia="宋体" w:cs="Arial"/>
                <w:b w:val="0"/>
                <w:color w:val="auto"/>
                <w:szCs w:val="21"/>
              </w:rPr>
            </w:pPr>
            <w:r>
              <w:rPr>
                <w:rFonts w:hint="default" w:ascii="Arial" w:hAnsi="Arial" w:eastAsia="宋体" w:cs="Arial"/>
                <w:b w:val="0"/>
                <w:color w:val="auto"/>
                <w:szCs w:val="21"/>
              </w:rPr>
              <w:t>2</w:t>
            </w:r>
          </w:p>
        </w:tc>
        <w:tc>
          <w:tcPr>
            <w:tcW w:w="617" w:type="pct"/>
            <w:shd w:val="clear" w:color="auto" w:fill="FFFFFF"/>
            <w:vAlign w:val="center"/>
          </w:tcPr>
          <w:p w14:paraId="3420087A">
            <w:pPr>
              <w:jc w:val="center"/>
              <w:rPr>
                <w:rFonts w:hint="default" w:ascii="Arial" w:hAnsi="Arial" w:eastAsia="宋体" w:cs="Arial"/>
                <w:b w:val="0"/>
                <w:color w:val="auto"/>
                <w:szCs w:val="21"/>
              </w:rPr>
            </w:pPr>
            <w:r>
              <w:rPr>
                <w:rFonts w:hint="default" w:ascii="Arial" w:hAnsi="Arial" w:eastAsia="宋体" w:cs="Arial"/>
                <w:b w:val="0"/>
                <w:color w:val="auto"/>
                <w:szCs w:val="21"/>
              </w:rPr>
              <w:t>0.3</w:t>
            </w:r>
          </w:p>
        </w:tc>
        <w:tc>
          <w:tcPr>
            <w:tcW w:w="579" w:type="pct"/>
            <w:shd w:val="clear" w:color="auto" w:fill="FFFFFF"/>
            <w:vAlign w:val="center"/>
          </w:tcPr>
          <w:p w14:paraId="440EA0BD">
            <w:pPr>
              <w:jc w:val="center"/>
              <w:rPr>
                <w:rFonts w:hint="default" w:ascii="Arial" w:hAnsi="Arial" w:eastAsia="宋体" w:cs="Arial"/>
                <w:b w:val="0"/>
                <w:color w:val="auto"/>
                <w:szCs w:val="21"/>
              </w:rPr>
            </w:pPr>
            <w:r>
              <w:rPr>
                <w:rFonts w:hint="default" w:ascii="Arial" w:hAnsi="Arial" w:eastAsia="宋体" w:cs="Arial"/>
                <w:b w:val="0"/>
                <w:color w:val="auto"/>
                <w:szCs w:val="21"/>
              </w:rPr>
              <w:t>12</w:t>
            </w:r>
          </w:p>
        </w:tc>
      </w:tr>
      <w:tr w14:paraId="486F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9" w:type="pct"/>
            <w:gridSpan w:val="2"/>
            <w:shd w:val="clear" w:color="auto" w:fill="FFFFFF"/>
            <w:vAlign w:val="center"/>
          </w:tcPr>
          <w:p w14:paraId="70E26AE7">
            <w:pPr>
              <w:jc w:val="center"/>
              <w:rPr>
                <w:rFonts w:hint="default" w:ascii="Arial" w:hAnsi="Arial" w:eastAsia="宋体" w:cs="Arial"/>
                <w:b w:val="0"/>
                <w:color w:val="auto"/>
                <w:szCs w:val="21"/>
              </w:rPr>
            </w:pPr>
            <w:r>
              <w:rPr>
                <w:rFonts w:hint="default" w:ascii="Arial" w:hAnsi="Arial" w:eastAsia="宋体" w:cs="Arial"/>
                <w:b w:val="0"/>
                <w:color w:val="auto"/>
                <w:szCs w:val="21"/>
              </w:rPr>
              <w:t>达标情况</w:t>
            </w:r>
          </w:p>
        </w:tc>
        <w:tc>
          <w:tcPr>
            <w:tcW w:w="670" w:type="pct"/>
            <w:shd w:val="clear" w:color="auto" w:fill="FFFFFF"/>
            <w:vAlign w:val="center"/>
          </w:tcPr>
          <w:p w14:paraId="209BDED7">
            <w:pPr>
              <w:jc w:val="center"/>
              <w:rPr>
                <w:rFonts w:hint="default" w:ascii="Arial" w:hAnsi="Arial" w:eastAsia="宋体" w:cs="Arial"/>
                <w:b w:val="0"/>
                <w:color w:val="auto"/>
                <w:szCs w:val="21"/>
              </w:rPr>
            </w:pPr>
            <w:r>
              <w:rPr>
                <w:rFonts w:hint="default" w:ascii="Arial" w:hAnsi="Arial" w:eastAsia="宋体" w:cs="Arial"/>
                <w:b w:val="0"/>
                <w:color w:val="auto"/>
                <w:szCs w:val="21"/>
              </w:rPr>
              <w:t>达标</w:t>
            </w:r>
          </w:p>
        </w:tc>
        <w:tc>
          <w:tcPr>
            <w:tcW w:w="803" w:type="pct"/>
            <w:shd w:val="clear" w:color="auto" w:fill="FFFFFF"/>
            <w:vAlign w:val="center"/>
          </w:tcPr>
          <w:p w14:paraId="150FBA67">
            <w:pPr>
              <w:jc w:val="center"/>
              <w:rPr>
                <w:rFonts w:hint="default" w:ascii="Arial" w:hAnsi="Arial" w:eastAsia="宋体" w:cs="Arial"/>
                <w:b w:val="0"/>
                <w:color w:val="auto"/>
                <w:szCs w:val="21"/>
              </w:rPr>
            </w:pPr>
            <w:r>
              <w:rPr>
                <w:rFonts w:hint="default" w:ascii="Arial" w:hAnsi="Arial" w:eastAsia="宋体" w:cs="Arial"/>
                <w:b w:val="0"/>
                <w:color w:val="auto"/>
                <w:szCs w:val="21"/>
              </w:rPr>
              <w:t>达标</w:t>
            </w:r>
          </w:p>
        </w:tc>
        <w:tc>
          <w:tcPr>
            <w:tcW w:w="650" w:type="pct"/>
            <w:shd w:val="clear" w:color="auto" w:fill="FFFFFF"/>
            <w:vAlign w:val="center"/>
          </w:tcPr>
          <w:p w14:paraId="485BBB89">
            <w:pPr>
              <w:jc w:val="center"/>
              <w:rPr>
                <w:rFonts w:hint="default" w:ascii="Arial" w:hAnsi="Arial" w:eastAsia="宋体" w:cs="Arial"/>
                <w:b w:val="0"/>
                <w:color w:val="auto"/>
                <w:szCs w:val="21"/>
              </w:rPr>
            </w:pPr>
            <w:r>
              <w:rPr>
                <w:rFonts w:hint="default" w:ascii="Arial" w:hAnsi="Arial" w:eastAsia="宋体" w:cs="Arial"/>
                <w:b w:val="0"/>
                <w:color w:val="auto"/>
                <w:szCs w:val="21"/>
              </w:rPr>
              <w:t>达标</w:t>
            </w:r>
          </w:p>
        </w:tc>
        <w:tc>
          <w:tcPr>
            <w:tcW w:w="617" w:type="pct"/>
            <w:shd w:val="clear" w:color="auto" w:fill="FFFFFF"/>
            <w:vAlign w:val="center"/>
          </w:tcPr>
          <w:p w14:paraId="513A0E40">
            <w:pPr>
              <w:jc w:val="center"/>
              <w:rPr>
                <w:rFonts w:hint="default" w:ascii="Arial" w:hAnsi="Arial" w:eastAsia="宋体" w:cs="Arial"/>
                <w:b w:val="0"/>
                <w:color w:val="auto"/>
                <w:szCs w:val="21"/>
              </w:rPr>
            </w:pPr>
            <w:r>
              <w:rPr>
                <w:rFonts w:hint="default" w:ascii="Arial" w:hAnsi="Arial" w:eastAsia="宋体" w:cs="Arial"/>
                <w:b w:val="0"/>
                <w:color w:val="auto"/>
                <w:szCs w:val="21"/>
              </w:rPr>
              <w:t>达标</w:t>
            </w:r>
          </w:p>
        </w:tc>
        <w:tc>
          <w:tcPr>
            <w:tcW w:w="579" w:type="pct"/>
            <w:shd w:val="clear" w:color="auto" w:fill="FFFFFF"/>
            <w:vAlign w:val="center"/>
          </w:tcPr>
          <w:p w14:paraId="45622751">
            <w:pPr>
              <w:jc w:val="center"/>
              <w:rPr>
                <w:rFonts w:hint="default" w:ascii="Arial" w:hAnsi="Arial" w:eastAsia="宋体" w:cs="Arial"/>
                <w:b w:val="0"/>
                <w:color w:val="auto"/>
                <w:szCs w:val="21"/>
              </w:rPr>
            </w:pPr>
            <w:r>
              <w:rPr>
                <w:rFonts w:hint="default" w:ascii="Arial" w:hAnsi="Arial" w:eastAsia="宋体" w:cs="Arial"/>
                <w:b w:val="0"/>
                <w:color w:val="auto"/>
                <w:szCs w:val="21"/>
              </w:rPr>
              <w:t>达标</w:t>
            </w:r>
          </w:p>
        </w:tc>
      </w:tr>
    </w:tbl>
    <w:p w14:paraId="148407AC">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嘉兴市联合污水处理厂出水水质中pH范围均符合《城镇污水处理厂污染物排放标准》中的一级A标准排放限值；COD</w:t>
      </w:r>
      <w:r>
        <w:rPr>
          <w:rFonts w:hint="default" w:ascii="Arial" w:hAnsi="Arial" w:eastAsia="宋体" w:cs="Arial"/>
          <w:sz w:val="24"/>
          <w:szCs w:val="24"/>
          <w:vertAlign w:val="subscript"/>
        </w:rPr>
        <w:t>Cr</w:t>
      </w:r>
      <w:r>
        <w:rPr>
          <w:rFonts w:hint="default" w:ascii="Arial" w:hAnsi="Arial" w:eastAsia="宋体" w:cs="Arial"/>
          <w:sz w:val="24"/>
          <w:szCs w:val="24"/>
        </w:rPr>
        <w:t>、氨氮、总磷、总氮浓度范围均符合</w:t>
      </w:r>
      <w:r>
        <w:rPr>
          <w:rFonts w:hint="default" w:ascii="Arial" w:hAnsi="Arial" w:eastAsia="宋体" w:cs="Arial"/>
          <w:bCs/>
          <w:sz w:val="24"/>
          <w:szCs w:val="24"/>
        </w:rPr>
        <w:t>《城镇污水处理厂主要水污染物排放标准》（DB33/2169-2018）排放限值</w:t>
      </w:r>
      <w:r>
        <w:rPr>
          <w:rFonts w:hint="default" w:ascii="Arial" w:hAnsi="Arial" w:eastAsia="宋体" w:cs="Arial"/>
          <w:sz w:val="24"/>
          <w:szCs w:val="24"/>
        </w:rPr>
        <w:t>，出水水质稳定。</w:t>
      </w:r>
    </w:p>
    <w:p w14:paraId="45D1F973">
      <w:pPr>
        <w:pStyle w:val="76"/>
        <w:spacing w:line="360" w:lineRule="auto"/>
        <w:ind w:firstLine="482"/>
        <w:rPr>
          <w:rFonts w:hint="default" w:ascii="Arial" w:hAnsi="Arial" w:eastAsia="宋体" w:cs="Arial"/>
          <w:bCs/>
          <w:sz w:val="24"/>
          <w:szCs w:val="24"/>
          <w:lang w:val="en-GB"/>
        </w:rPr>
      </w:pPr>
      <w:r>
        <w:rPr>
          <w:rFonts w:hint="default" w:ascii="Arial" w:hAnsi="Arial" w:eastAsia="宋体" w:cs="Arial"/>
          <w:bCs/>
          <w:sz w:val="24"/>
          <w:szCs w:val="24"/>
        </w:rPr>
        <w:t>（4）</w:t>
      </w:r>
      <w:r>
        <w:rPr>
          <w:rFonts w:hint="default" w:ascii="Arial" w:hAnsi="Arial" w:eastAsia="宋体" w:cs="Arial"/>
          <w:bCs/>
          <w:sz w:val="24"/>
          <w:szCs w:val="24"/>
          <w:lang w:val="en-GB"/>
        </w:rPr>
        <w:t>废水排放对周围环境的影响</w:t>
      </w:r>
    </w:p>
    <w:p w14:paraId="6C740B0A">
      <w:pPr>
        <w:pStyle w:val="76"/>
        <w:spacing w:line="360" w:lineRule="auto"/>
        <w:ind w:firstLine="480" w:firstLineChars="200"/>
        <w:rPr>
          <w:rFonts w:hint="default" w:ascii="Arial" w:hAnsi="Arial" w:eastAsia="宋体" w:cs="Arial"/>
          <w:bCs/>
          <w:sz w:val="24"/>
          <w:szCs w:val="24"/>
          <w:lang w:val="en-GB"/>
        </w:rPr>
      </w:pPr>
      <w:r>
        <w:rPr>
          <w:rFonts w:hint="default" w:ascii="Arial" w:hAnsi="Arial" w:eastAsia="宋体" w:cs="Arial"/>
          <w:bCs/>
          <w:sz w:val="24"/>
          <w:szCs w:val="24"/>
          <w:lang w:val="en-GB"/>
        </w:rPr>
        <w:t>项目废水经处理达标后排入污水管网，送嘉兴市联合污水处理厂达标处理后排入杭州湾，废水不排入项目周围水体。因此，在正常生产及雨污分流情况下，项目废水纳管排放对项目周围水环境基本无影响。</w:t>
      </w:r>
    </w:p>
    <w:p w14:paraId="5864B9E1">
      <w:pPr>
        <w:spacing w:line="360" w:lineRule="auto"/>
        <w:rPr>
          <w:rFonts w:hint="default" w:ascii="Arial" w:hAnsi="Arial" w:eastAsia="宋体" w:cs="Arial"/>
          <w:b/>
          <w:bCs/>
          <w:sz w:val="24"/>
          <w:szCs w:val="24"/>
        </w:rPr>
      </w:pPr>
      <w:r>
        <w:rPr>
          <w:rFonts w:hint="default" w:ascii="Arial" w:hAnsi="Arial" w:eastAsia="宋体" w:cs="Arial"/>
          <w:b/>
          <w:bCs/>
          <w:sz w:val="24"/>
          <w:szCs w:val="24"/>
        </w:rPr>
        <w:t>4.2.2.3废水监测计划</w:t>
      </w:r>
    </w:p>
    <w:p w14:paraId="03C69316">
      <w:pPr>
        <w:adjustRightInd w:val="0"/>
        <w:snapToGrid w:val="0"/>
        <w:spacing w:line="360" w:lineRule="auto"/>
        <w:ind w:firstLine="480" w:firstLineChars="200"/>
        <w:rPr>
          <w:rFonts w:hint="default" w:ascii="Arial" w:hAnsi="Arial" w:eastAsia="宋体" w:cs="Arial"/>
          <w:sz w:val="24"/>
        </w:rPr>
      </w:pPr>
      <w:r>
        <w:rPr>
          <w:rFonts w:hint="default" w:ascii="Arial" w:hAnsi="Arial" w:eastAsia="宋体" w:cs="Arial"/>
          <w:sz w:val="24"/>
        </w:rPr>
        <w:t>本项目废水监测计划依据《排污单位自行监测技术指南</w:t>
      </w:r>
      <w:r>
        <w:rPr>
          <w:rFonts w:hint="default" w:ascii="Arial" w:hAnsi="Arial" w:eastAsia="宋体" w:cs="Arial"/>
          <w:sz w:val="24"/>
          <w:lang w:val="en-US" w:eastAsia="zh-CN"/>
        </w:rPr>
        <w:t xml:space="preserve"> 总则</w:t>
      </w:r>
      <w:r>
        <w:rPr>
          <w:rFonts w:hint="default" w:ascii="Arial" w:hAnsi="Arial" w:eastAsia="宋体" w:cs="Arial"/>
          <w:sz w:val="24"/>
        </w:rPr>
        <w:t>》</w:t>
      </w:r>
      <w:r>
        <w:rPr>
          <w:rFonts w:hint="default" w:ascii="Arial" w:hAnsi="Arial" w:eastAsia="宋体" w:cs="Arial"/>
          <w:bCs/>
          <w:kern w:val="28"/>
          <w:sz w:val="24"/>
          <w:szCs w:val="24"/>
        </w:rPr>
        <w:t>（HJ819-2017）</w:t>
      </w:r>
      <w:r>
        <w:rPr>
          <w:rFonts w:hint="default" w:ascii="Arial" w:hAnsi="Arial" w:eastAsia="宋体" w:cs="Arial"/>
          <w:sz w:val="24"/>
        </w:rPr>
        <w:t>相关要求制定。</w:t>
      </w:r>
    </w:p>
    <w:p w14:paraId="754C65B7">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废水监测计划</w:t>
      </w:r>
    </w:p>
    <w:tbl>
      <w:tblPr>
        <w:tblStyle w:val="52"/>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118"/>
        <w:gridCol w:w="1706"/>
        <w:gridCol w:w="831"/>
        <w:gridCol w:w="3792"/>
      </w:tblGrid>
      <w:tr w14:paraId="65D1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669" w:type="dxa"/>
            <w:shd w:val="clear" w:color="auto" w:fill="auto"/>
            <w:vAlign w:val="center"/>
          </w:tcPr>
          <w:p w14:paraId="79620349">
            <w:pPr>
              <w:spacing w:line="280" w:lineRule="exact"/>
              <w:jc w:val="center"/>
              <w:rPr>
                <w:rFonts w:hint="default" w:ascii="Arial" w:hAnsi="Arial" w:eastAsia="宋体" w:cs="Arial"/>
                <w:szCs w:val="21"/>
              </w:rPr>
            </w:pPr>
            <w:r>
              <w:rPr>
                <w:rFonts w:hint="default" w:ascii="Arial" w:hAnsi="Arial" w:eastAsia="宋体" w:cs="Arial"/>
                <w:szCs w:val="21"/>
              </w:rPr>
              <w:t>项目</w:t>
            </w:r>
          </w:p>
        </w:tc>
        <w:tc>
          <w:tcPr>
            <w:tcW w:w="1118" w:type="dxa"/>
            <w:shd w:val="clear" w:color="auto" w:fill="auto"/>
            <w:vAlign w:val="center"/>
          </w:tcPr>
          <w:p w14:paraId="262F7B9B">
            <w:pPr>
              <w:spacing w:line="280" w:lineRule="exact"/>
              <w:jc w:val="center"/>
              <w:rPr>
                <w:rFonts w:hint="default" w:ascii="Arial" w:hAnsi="Arial" w:eastAsia="宋体" w:cs="Arial"/>
                <w:szCs w:val="21"/>
              </w:rPr>
            </w:pPr>
            <w:r>
              <w:rPr>
                <w:rFonts w:hint="default" w:ascii="Arial" w:hAnsi="Arial" w:eastAsia="宋体" w:cs="Arial"/>
                <w:szCs w:val="21"/>
              </w:rPr>
              <w:t>监测点位</w:t>
            </w:r>
          </w:p>
        </w:tc>
        <w:tc>
          <w:tcPr>
            <w:tcW w:w="1706" w:type="dxa"/>
            <w:shd w:val="clear" w:color="auto" w:fill="auto"/>
            <w:vAlign w:val="center"/>
          </w:tcPr>
          <w:p w14:paraId="220EC0E9">
            <w:pPr>
              <w:spacing w:line="280" w:lineRule="exact"/>
              <w:jc w:val="center"/>
              <w:rPr>
                <w:rFonts w:hint="default" w:ascii="Arial" w:hAnsi="Arial" w:eastAsia="宋体" w:cs="Arial"/>
                <w:szCs w:val="21"/>
              </w:rPr>
            </w:pPr>
            <w:r>
              <w:rPr>
                <w:rFonts w:hint="default" w:ascii="Arial" w:hAnsi="Arial" w:eastAsia="宋体" w:cs="Arial"/>
                <w:szCs w:val="21"/>
              </w:rPr>
              <w:t>监测指标</w:t>
            </w:r>
          </w:p>
        </w:tc>
        <w:tc>
          <w:tcPr>
            <w:tcW w:w="831" w:type="dxa"/>
            <w:shd w:val="clear" w:color="auto" w:fill="auto"/>
            <w:vAlign w:val="center"/>
          </w:tcPr>
          <w:p w14:paraId="3ECCDEDC">
            <w:pPr>
              <w:spacing w:line="280" w:lineRule="exact"/>
              <w:jc w:val="center"/>
              <w:rPr>
                <w:rFonts w:hint="default" w:ascii="Arial" w:hAnsi="Arial" w:eastAsia="宋体" w:cs="Arial"/>
                <w:szCs w:val="21"/>
              </w:rPr>
            </w:pPr>
            <w:r>
              <w:rPr>
                <w:rFonts w:hint="default" w:ascii="Arial" w:hAnsi="Arial" w:eastAsia="宋体" w:cs="Arial"/>
                <w:szCs w:val="21"/>
              </w:rPr>
              <w:t>监测频次</w:t>
            </w:r>
          </w:p>
        </w:tc>
        <w:tc>
          <w:tcPr>
            <w:tcW w:w="3792" w:type="dxa"/>
            <w:shd w:val="clear" w:color="auto" w:fill="auto"/>
            <w:vAlign w:val="center"/>
          </w:tcPr>
          <w:p w14:paraId="115084D9">
            <w:pPr>
              <w:spacing w:line="280" w:lineRule="exact"/>
              <w:jc w:val="center"/>
              <w:rPr>
                <w:rFonts w:hint="default" w:ascii="Arial" w:hAnsi="Arial" w:eastAsia="宋体" w:cs="Arial"/>
                <w:szCs w:val="21"/>
              </w:rPr>
            </w:pPr>
            <w:r>
              <w:rPr>
                <w:rFonts w:hint="default" w:ascii="Arial" w:hAnsi="Arial" w:eastAsia="宋体" w:cs="Arial"/>
                <w:szCs w:val="21"/>
              </w:rPr>
              <w:t>执行排放标准</w:t>
            </w:r>
          </w:p>
        </w:tc>
      </w:tr>
      <w:tr w14:paraId="5C54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669" w:type="dxa"/>
            <w:shd w:val="clear" w:color="auto" w:fill="auto"/>
            <w:vAlign w:val="center"/>
          </w:tcPr>
          <w:p w14:paraId="382A884E">
            <w:pPr>
              <w:spacing w:line="280" w:lineRule="exact"/>
              <w:jc w:val="center"/>
              <w:rPr>
                <w:rFonts w:hint="default" w:ascii="Arial" w:hAnsi="Arial" w:eastAsia="宋体" w:cs="Arial"/>
                <w:szCs w:val="21"/>
              </w:rPr>
            </w:pPr>
            <w:r>
              <w:rPr>
                <w:rFonts w:hint="default" w:ascii="Arial" w:hAnsi="Arial" w:eastAsia="宋体" w:cs="Arial"/>
                <w:szCs w:val="21"/>
              </w:rPr>
              <w:t>废水</w:t>
            </w:r>
          </w:p>
        </w:tc>
        <w:tc>
          <w:tcPr>
            <w:tcW w:w="1118" w:type="dxa"/>
            <w:shd w:val="clear" w:color="auto" w:fill="auto"/>
            <w:vAlign w:val="center"/>
          </w:tcPr>
          <w:p w14:paraId="319DCF17">
            <w:pPr>
              <w:spacing w:line="280" w:lineRule="exact"/>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废水总排口</w:t>
            </w:r>
          </w:p>
        </w:tc>
        <w:tc>
          <w:tcPr>
            <w:tcW w:w="1706" w:type="dxa"/>
            <w:shd w:val="clear" w:color="auto" w:fill="auto"/>
            <w:vAlign w:val="center"/>
          </w:tcPr>
          <w:p w14:paraId="03912738">
            <w:pPr>
              <w:spacing w:line="280" w:lineRule="exact"/>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流量、pH、COD</w:t>
            </w:r>
            <w:r>
              <w:rPr>
                <w:rFonts w:hint="default" w:ascii="Arial" w:hAnsi="Arial" w:eastAsia="宋体" w:cs="Arial"/>
                <w:color w:val="000000" w:themeColor="text1"/>
                <w:szCs w:val="21"/>
                <w:lang w:val="en-US" w:eastAsia="zh-CN"/>
                <w14:textFill>
                  <w14:solidFill>
                    <w14:schemeClr w14:val="tx1"/>
                  </w14:solidFill>
                </w14:textFill>
              </w:rPr>
              <w:t>cr</w:t>
            </w:r>
            <w:r>
              <w:rPr>
                <w:rFonts w:hint="default" w:ascii="Arial" w:hAnsi="Arial" w:eastAsia="宋体" w:cs="Arial"/>
                <w:color w:val="000000" w:themeColor="text1"/>
                <w:szCs w:val="21"/>
                <w14:textFill>
                  <w14:solidFill>
                    <w14:schemeClr w14:val="tx1"/>
                  </w14:solidFill>
                </w14:textFill>
              </w:rPr>
              <w:t>、氨氮、石油类、SS</w:t>
            </w:r>
            <w:r>
              <w:rPr>
                <w:rFonts w:hint="default" w:ascii="Arial" w:hAnsi="Arial" w:eastAsia="宋体" w:cs="Arial"/>
                <w:color w:val="000000" w:themeColor="text1"/>
                <w:szCs w:val="21"/>
                <w:lang w:eastAsia="zh-CN"/>
                <w14:textFill>
                  <w14:solidFill>
                    <w14:schemeClr w14:val="tx1"/>
                  </w14:solidFill>
                </w14:textFill>
              </w:rPr>
              <w:t>、</w:t>
            </w:r>
            <w:r>
              <w:rPr>
                <w:rFonts w:hint="default" w:ascii="Arial" w:hAnsi="Arial" w:eastAsia="宋体" w:cs="Arial"/>
                <w:color w:val="000000" w:themeColor="text1"/>
                <w:szCs w:val="21"/>
                <w:lang w:val="en-US" w:eastAsia="zh-CN"/>
                <w14:textFill>
                  <w14:solidFill>
                    <w14:schemeClr w14:val="tx1"/>
                  </w14:solidFill>
                </w14:textFill>
              </w:rPr>
              <w:t>LAS、TN</w:t>
            </w:r>
          </w:p>
        </w:tc>
        <w:tc>
          <w:tcPr>
            <w:tcW w:w="831" w:type="dxa"/>
            <w:shd w:val="clear" w:color="auto" w:fill="auto"/>
            <w:vAlign w:val="center"/>
          </w:tcPr>
          <w:p w14:paraId="6A725930">
            <w:pPr>
              <w:spacing w:line="280" w:lineRule="exact"/>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每年</w:t>
            </w:r>
          </w:p>
        </w:tc>
        <w:tc>
          <w:tcPr>
            <w:tcW w:w="3792" w:type="dxa"/>
            <w:shd w:val="clear" w:color="auto" w:fill="auto"/>
            <w:vAlign w:val="center"/>
          </w:tcPr>
          <w:p w14:paraId="0CCC45FE">
            <w:pPr>
              <w:spacing w:line="280" w:lineRule="exact"/>
              <w:jc w:val="center"/>
              <w:rPr>
                <w:rFonts w:hint="eastAsia"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执行《污水综合排放标准》（GB8978</w:t>
            </w:r>
            <w:r>
              <w:rPr>
                <w:rFonts w:hint="eastAsia" w:ascii="Arial" w:hAnsi="Arial" w:eastAsia="宋体" w:cs="Arial"/>
                <w:color w:val="000000" w:themeColor="text1"/>
                <w:szCs w:val="21"/>
                <w:lang w:val="en-US" w:eastAsia="zh-CN"/>
                <w14:textFill>
                  <w14:solidFill>
                    <w14:schemeClr w14:val="tx1"/>
                  </w14:solidFill>
                </w14:textFill>
              </w:rPr>
              <w:t>-19</w:t>
            </w:r>
            <w:r>
              <w:rPr>
                <w:rFonts w:hint="default" w:ascii="Arial" w:hAnsi="Arial" w:eastAsia="宋体" w:cs="Arial"/>
                <w:color w:val="000000" w:themeColor="text1"/>
                <w:szCs w:val="21"/>
                <w14:textFill>
                  <w14:solidFill>
                    <w14:schemeClr w14:val="tx1"/>
                  </w14:solidFill>
                </w14:textFill>
              </w:rPr>
              <w:t>96）三级标准、《工业企业废水氮、磷污染物间接排放限值》（DB</w:t>
            </w:r>
            <w:r>
              <w:rPr>
                <w:rFonts w:hint="eastAsia" w:ascii="Arial" w:hAnsi="Arial" w:eastAsia="宋体" w:cs="Arial"/>
                <w:color w:val="000000" w:themeColor="text1"/>
                <w:szCs w:val="21"/>
                <w:lang w:val="en-US" w:eastAsia="zh-CN"/>
                <w14:textFill>
                  <w14:solidFill>
                    <w14:schemeClr w14:val="tx1"/>
                  </w14:solidFill>
                </w14:textFill>
              </w:rPr>
              <w:t>3</w:t>
            </w:r>
            <w:r>
              <w:rPr>
                <w:rFonts w:hint="default" w:ascii="Arial" w:hAnsi="Arial" w:eastAsia="宋体" w:cs="Arial"/>
                <w:color w:val="000000" w:themeColor="text1"/>
                <w:szCs w:val="21"/>
                <w14:textFill>
                  <w14:solidFill>
                    <w14:schemeClr w14:val="tx1"/>
                  </w14:solidFill>
                </w14:textFill>
              </w:rPr>
              <w:t>3/887</w:t>
            </w:r>
            <w:r>
              <w:rPr>
                <w:rFonts w:hint="eastAsia" w:ascii="Arial" w:hAnsi="Arial" w:eastAsia="宋体" w:cs="Arial"/>
                <w:color w:val="000000" w:themeColor="text1"/>
                <w:szCs w:val="21"/>
                <w:lang w:val="en-US" w:eastAsia="zh-CN"/>
                <w14:textFill>
                  <w14:solidFill>
                    <w14:schemeClr w14:val="tx1"/>
                  </w14:solidFill>
                </w14:textFill>
              </w:rPr>
              <w:t>-20</w:t>
            </w:r>
            <w:r>
              <w:rPr>
                <w:rFonts w:hint="default" w:ascii="Arial" w:hAnsi="Arial" w:eastAsia="宋体" w:cs="Arial"/>
                <w:color w:val="000000" w:themeColor="text1"/>
                <w:szCs w:val="21"/>
                <w14:textFill>
                  <w14:solidFill>
                    <w14:schemeClr w14:val="tx1"/>
                  </w14:solidFill>
                </w14:textFill>
              </w:rPr>
              <w:t>13）</w:t>
            </w:r>
            <w:r>
              <w:rPr>
                <w:rFonts w:hint="eastAsia" w:ascii="Arial" w:hAnsi="Arial" w:eastAsia="宋体" w:cs="Arial"/>
                <w:color w:val="000000" w:themeColor="text1"/>
                <w:szCs w:val="21"/>
                <w:lang w:eastAsia="zh-CN"/>
                <w14:textFill>
                  <w14:solidFill>
                    <w14:schemeClr w14:val="tx1"/>
                  </w14:solidFill>
                </w14:textFill>
              </w:rPr>
              <w:t>、</w:t>
            </w:r>
            <w:r>
              <w:rPr>
                <w:rFonts w:hint="eastAsia" w:ascii="Arial" w:hAnsi="Arial" w:eastAsia="宋体" w:cs="Arial"/>
                <w:color w:val="000000" w:themeColor="text1"/>
                <w:szCs w:val="21"/>
                <w:lang w:val="en-US" w:eastAsia="zh-CN"/>
                <w14:textFill>
                  <w14:solidFill>
                    <w14:schemeClr w14:val="tx1"/>
                  </w14:solidFill>
                </w14:textFill>
              </w:rPr>
              <w:t>《污水排入下水道水质标准》（GB/T31962-2015）</w:t>
            </w:r>
          </w:p>
        </w:tc>
      </w:tr>
    </w:tbl>
    <w:p w14:paraId="3FCED9FB">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噪声环境影响和保护措施</w:t>
      </w:r>
    </w:p>
    <w:p w14:paraId="72FD21EB">
      <w:pPr>
        <w:pStyle w:val="76"/>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4.2.3.1噪声源强</w:t>
      </w:r>
    </w:p>
    <w:p w14:paraId="54578DC1">
      <w:pPr>
        <w:pStyle w:val="76"/>
        <w:spacing w:line="360" w:lineRule="auto"/>
        <w:ind w:firstLine="480" w:firstLineChars="200"/>
        <w:rPr>
          <w:rFonts w:hint="default" w:ascii="Arial" w:hAnsi="Arial" w:eastAsia="宋体" w:cs="Arial"/>
          <w:bCs/>
          <w:sz w:val="24"/>
          <w:szCs w:val="24"/>
          <w:lang w:val="en-GB"/>
        </w:rPr>
      </w:pPr>
      <w:r>
        <w:rPr>
          <w:rFonts w:hint="default" w:ascii="Arial" w:hAnsi="Arial" w:eastAsia="宋体" w:cs="Arial"/>
          <w:bCs/>
          <w:sz w:val="24"/>
          <w:szCs w:val="24"/>
          <w:lang w:val="en-GB"/>
        </w:rPr>
        <w:t>本项目噪声源主要是</w:t>
      </w:r>
      <w:r>
        <w:rPr>
          <w:rFonts w:hint="default" w:ascii="Arial" w:hAnsi="Arial" w:eastAsia="宋体" w:cs="Arial"/>
          <w:bCs/>
          <w:sz w:val="24"/>
          <w:szCs w:val="24"/>
          <w:lang w:val="en-US" w:eastAsia="zh-CN"/>
        </w:rPr>
        <w:t>机加工设备、</w:t>
      </w:r>
      <w:r>
        <w:rPr>
          <w:rFonts w:hint="default" w:ascii="Arial" w:hAnsi="Arial" w:eastAsia="宋体" w:cs="Arial"/>
          <w:bCs/>
          <w:sz w:val="24"/>
          <w:szCs w:val="24"/>
          <w:lang w:val="en-GB"/>
        </w:rPr>
        <w:t>超声波清洗线、两槽式超声波浪涌抛动清洗机、多槽超声波清洗线、</w:t>
      </w:r>
      <w:r>
        <w:rPr>
          <w:rFonts w:hint="default" w:ascii="Arial" w:hAnsi="Arial" w:eastAsia="宋体" w:cs="Arial"/>
          <w:bCs/>
          <w:sz w:val="24"/>
          <w:szCs w:val="24"/>
          <w:lang w:val="en-GB" w:eastAsia="zh-CN"/>
        </w:rPr>
        <w:t>烘干机/电热炉</w:t>
      </w:r>
      <w:r>
        <w:rPr>
          <w:rFonts w:hint="default" w:ascii="Arial" w:hAnsi="Arial" w:eastAsia="宋体" w:cs="Arial"/>
          <w:bCs/>
          <w:sz w:val="24"/>
          <w:szCs w:val="24"/>
          <w:lang w:val="en-GB"/>
        </w:rPr>
        <w:t>、</w:t>
      </w:r>
      <w:r>
        <w:rPr>
          <w:rFonts w:hint="default" w:ascii="Arial" w:hAnsi="Arial" w:eastAsia="宋体" w:cs="Arial"/>
          <w:bCs/>
          <w:sz w:val="24"/>
          <w:szCs w:val="24"/>
          <w:lang w:val="en-GB" w:eastAsia="zh-CN"/>
        </w:rPr>
        <w:t>隧道式烘箱</w:t>
      </w:r>
      <w:r>
        <w:rPr>
          <w:rFonts w:hint="default" w:ascii="Arial" w:hAnsi="Arial" w:eastAsia="宋体" w:cs="Arial"/>
          <w:bCs/>
          <w:sz w:val="24"/>
          <w:szCs w:val="24"/>
          <w:lang w:val="en-GB"/>
        </w:rPr>
        <w:t>、</w:t>
      </w:r>
      <w:r>
        <w:rPr>
          <w:rFonts w:hint="default" w:ascii="Arial" w:hAnsi="Arial" w:eastAsia="宋体" w:cs="Arial"/>
          <w:bCs/>
          <w:sz w:val="24"/>
          <w:szCs w:val="24"/>
          <w:lang w:val="en-GB" w:eastAsia="zh-CN"/>
        </w:rPr>
        <w:t>鼓风干燥箱/烤箱</w:t>
      </w:r>
      <w:r>
        <w:rPr>
          <w:rFonts w:hint="default" w:ascii="Arial" w:hAnsi="Arial" w:eastAsia="宋体" w:cs="Arial"/>
          <w:bCs/>
          <w:sz w:val="24"/>
          <w:szCs w:val="24"/>
          <w:lang w:val="en-GB"/>
        </w:rPr>
        <w:t>、</w:t>
      </w:r>
      <w:r>
        <w:rPr>
          <w:rFonts w:hint="default" w:ascii="Arial" w:hAnsi="Arial" w:eastAsia="宋体" w:cs="Arial"/>
          <w:bCs/>
          <w:sz w:val="24"/>
          <w:szCs w:val="24"/>
          <w:lang w:val="en-US" w:eastAsia="zh-CN"/>
        </w:rPr>
        <w:t>污水设施水泵</w:t>
      </w:r>
      <w:r>
        <w:rPr>
          <w:rFonts w:hint="default" w:ascii="Arial" w:hAnsi="Arial" w:eastAsia="宋体" w:cs="Arial"/>
          <w:bCs/>
          <w:sz w:val="24"/>
          <w:szCs w:val="24"/>
          <w:lang w:val="en-GB"/>
        </w:rPr>
        <w:t>等机械设备运行产生的噪声。根据对同类型生产设备的类比调查，项目噪声污染源强核算结果及相关参数见表4-</w:t>
      </w:r>
      <w:r>
        <w:rPr>
          <w:rFonts w:hint="default" w:ascii="Arial" w:hAnsi="Arial" w:eastAsia="宋体" w:cs="Arial"/>
          <w:bCs/>
          <w:sz w:val="24"/>
          <w:szCs w:val="24"/>
          <w:lang w:val="en-US" w:eastAsia="zh-CN"/>
        </w:rPr>
        <w:t>10</w:t>
      </w:r>
      <w:r>
        <w:rPr>
          <w:rFonts w:hint="default" w:ascii="Arial" w:hAnsi="Arial" w:eastAsia="宋体" w:cs="Arial"/>
          <w:bCs/>
          <w:sz w:val="24"/>
          <w:szCs w:val="24"/>
          <w:lang w:val="en-GB"/>
        </w:rPr>
        <w:t>。</w:t>
      </w:r>
    </w:p>
    <w:p w14:paraId="5DF1F316">
      <w:pPr>
        <w:rPr>
          <w:rFonts w:hint="default" w:ascii="Arial" w:hAnsi="Arial" w:eastAsia="宋体" w:cs="Arial"/>
          <w:lang w:val="en-GB"/>
        </w:rPr>
      </w:pPr>
    </w:p>
    <w:p w14:paraId="2BA65C3F">
      <w:pPr>
        <w:pStyle w:val="76"/>
        <w:spacing w:line="360" w:lineRule="auto"/>
        <w:ind w:left="105" w:leftChars="50" w:firstLine="482"/>
        <w:rPr>
          <w:rFonts w:hint="default" w:ascii="Arial" w:hAnsi="Arial" w:eastAsia="宋体" w:cs="Arial"/>
          <w:b/>
          <w:bCs/>
          <w:sz w:val="24"/>
          <w:szCs w:val="24"/>
        </w:rPr>
        <w:sectPr>
          <w:headerReference r:id="rId25"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p w14:paraId="009F9871">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工业企业噪声源强调查清单（室内声源）</w:t>
      </w:r>
    </w:p>
    <w:tbl>
      <w:tblPr>
        <w:tblStyle w:val="5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7"/>
        <w:gridCol w:w="468"/>
        <w:gridCol w:w="1898"/>
        <w:gridCol w:w="470"/>
        <w:gridCol w:w="1438"/>
        <w:gridCol w:w="613"/>
        <w:gridCol w:w="826"/>
        <w:gridCol w:w="766"/>
        <w:gridCol w:w="438"/>
        <w:gridCol w:w="1225"/>
        <w:gridCol w:w="1173"/>
        <w:gridCol w:w="1164"/>
        <w:gridCol w:w="734"/>
        <w:gridCol w:w="1214"/>
        <w:gridCol w:w="692"/>
      </w:tblGrid>
      <w:tr w14:paraId="776F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vMerge w:val="restart"/>
            <w:vAlign w:val="center"/>
          </w:tcPr>
          <w:p w14:paraId="7BB72AC0">
            <w:pPr>
              <w:jc w:val="center"/>
              <w:rPr>
                <w:rFonts w:hint="default" w:ascii="Arial" w:hAnsi="Arial" w:eastAsia="宋体" w:cs="Arial"/>
                <w:szCs w:val="21"/>
              </w:rPr>
            </w:pPr>
            <w:r>
              <w:rPr>
                <w:rFonts w:hint="default" w:ascii="Arial" w:hAnsi="Arial" w:eastAsia="宋体" w:cs="Arial"/>
                <w:b/>
                <w:szCs w:val="21"/>
              </w:rPr>
              <w:t>序号</w:t>
            </w:r>
          </w:p>
        </w:tc>
        <w:tc>
          <w:tcPr>
            <w:tcW w:w="468" w:type="dxa"/>
            <w:vMerge w:val="restart"/>
            <w:vAlign w:val="center"/>
          </w:tcPr>
          <w:p w14:paraId="2A59D1EA">
            <w:pPr>
              <w:jc w:val="center"/>
              <w:rPr>
                <w:rFonts w:hint="default" w:ascii="Arial" w:hAnsi="Arial" w:eastAsia="宋体" w:cs="Arial"/>
                <w:szCs w:val="21"/>
              </w:rPr>
            </w:pPr>
            <w:r>
              <w:rPr>
                <w:rFonts w:hint="default" w:ascii="Arial" w:hAnsi="Arial" w:eastAsia="宋体" w:cs="Arial"/>
                <w:b/>
                <w:szCs w:val="21"/>
              </w:rPr>
              <w:t>建筑物名称</w:t>
            </w:r>
          </w:p>
        </w:tc>
        <w:tc>
          <w:tcPr>
            <w:tcW w:w="1898" w:type="dxa"/>
            <w:vMerge w:val="restart"/>
            <w:vAlign w:val="center"/>
          </w:tcPr>
          <w:p w14:paraId="3F39B410">
            <w:pPr>
              <w:jc w:val="center"/>
              <w:rPr>
                <w:rFonts w:hint="default" w:ascii="Arial" w:hAnsi="Arial" w:eastAsia="宋体" w:cs="Arial"/>
                <w:szCs w:val="21"/>
              </w:rPr>
            </w:pPr>
            <w:r>
              <w:rPr>
                <w:rFonts w:hint="default" w:ascii="Arial" w:hAnsi="Arial" w:eastAsia="宋体" w:cs="Arial"/>
                <w:b/>
                <w:szCs w:val="21"/>
              </w:rPr>
              <w:t>声源名称</w:t>
            </w:r>
          </w:p>
        </w:tc>
        <w:tc>
          <w:tcPr>
            <w:tcW w:w="470" w:type="dxa"/>
            <w:vMerge w:val="restart"/>
            <w:vAlign w:val="center"/>
          </w:tcPr>
          <w:p w14:paraId="7B269FA0">
            <w:pPr>
              <w:jc w:val="center"/>
              <w:rPr>
                <w:rFonts w:hint="default" w:ascii="Arial" w:hAnsi="Arial" w:eastAsia="宋体" w:cs="Arial"/>
                <w:b/>
                <w:szCs w:val="21"/>
                <w:lang w:val="en-US" w:eastAsia="zh-CN"/>
              </w:rPr>
            </w:pPr>
            <w:r>
              <w:rPr>
                <w:rFonts w:hint="default" w:ascii="Arial" w:hAnsi="Arial" w:eastAsia="宋体" w:cs="Arial"/>
                <w:b/>
                <w:szCs w:val="21"/>
                <w:lang w:val="en-US" w:eastAsia="zh-CN"/>
              </w:rPr>
              <w:t>数量</w:t>
            </w:r>
          </w:p>
        </w:tc>
        <w:tc>
          <w:tcPr>
            <w:tcW w:w="1438" w:type="dxa"/>
            <w:vMerge w:val="restart"/>
            <w:vAlign w:val="center"/>
          </w:tcPr>
          <w:p w14:paraId="32BC115B">
            <w:pPr>
              <w:jc w:val="center"/>
              <w:rPr>
                <w:rFonts w:hint="default" w:ascii="Arial" w:hAnsi="Arial" w:eastAsia="宋体" w:cs="Arial"/>
                <w:szCs w:val="21"/>
              </w:rPr>
            </w:pPr>
            <w:r>
              <w:rPr>
                <w:rFonts w:hint="default" w:ascii="Arial" w:hAnsi="Arial" w:eastAsia="宋体" w:cs="Arial"/>
                <w:szCs w:val="21"/>
              </w:rPr>
              <w:t>（声压级/距声源距离）/（dB(A)/m）</w:t>
            </w:r>
          </w:p>
        </w:tc>
        <w:tc>
          <w:tcPr>
            <w:tcW w:w="613" w:type="dxa"/>
            <w:vMerge w:val="restart"/>
            <w:vAlign w:val="center"/>
          </w:tcPr>
          <w:p w14:paraId="24A091D8">
            <w:pPr>
              <w:jc w:val="center"/>
              <w:rPr>
                <w:rFonts w:hint="default" w:ascii="Arial" w:hAnsi="Arial" w:eastAsia="宋体" w:cs="Arial"/>
                <w:szCs w:val="21"/>
              </w:rPr>
            </w:pPr>
            <w:r>
              <w:rPr>
                <w:rFonts w:hint="default" w:ascii="Arial" w:hAnsi="Arial" w:eastAsia="宋体" w:cs="Arial"/>
                <w:b/>
                <w:szCs w:val="21"/>
              </w:rPr>
              <w:t>声源控制措施</w:t>
            </w:r>
          </w:p>
        </w:tc>
        <w:tc>
          <w:tcPr>
            <w:tcW w:w="2030" w:type="dxa"/>
            <w:gridSpan w:val="3"/>
            <w:vAlign w:val="center"/>
          </w:tcPr>
          <w:p w14:paraId="71D98DAC">
            <w:pPr>
              <w:jc w:val="center"/>
              <w:rPr>
                <w:rFonts w:hint="default" w:ascii="Arial" w:hAnsi="Arial" w:eastAsia="宋体" w:cs="Arial"/>
                <w:szCs w:val="21"/>
              </w:rPr>
            </w:pPr>
            <w:r>
              <w:rPr>
                <w:rFonts w:hint="default" w:ascii="Arial" w:hAnsi="Arial" w:eastAsia="宋体" w:cs="Arial"/>
                <w:b/>
                <w:szCs w:val="21"/>
              </w:rPr>
              <w:t>空间相对位置/m</w:t>
            </w:r>
          </w:p>
        </w:tc>
        <w:tc>
          <w:tcPr>
            <w:tcW w:w="1225" w:type="dxa"/>
            <w:vMerge w:val="restart"/>
            <w:vAlign w:val="center"/>
          </w:tcPr>
          <w:p w14:paraId="3E299D3A">
            <w:pPr>
              <w:jc w:val="center"/>
              <w:rPr>
                <w:rFonts w:hint="default" w:ascii="Arial" w:hAnsi="Arial" w:eastAsia="宋体" w:cs="Arial"/>
                <w:szCs w:val="21"/>
              </w:rPr>
            </w:pPr>
            <w:r>
              <w:rPr>
                <w:rFonts w:hint="default" w:ascii="Arial" w:hAnsi="Arial" w:eastAsia="宋体" w:cs="Arial"/>
                <w:b/>
                <w:szCs w:val="21"/>
              </w:rPr>
              <w:t>距室内边界距离/m</w:t>
            </w:r>
          </w:p>
        </w:tc>
        <w:tc>
          <w:tcPr>
            <w:tcW w:w="1173" w:type="dxa"/>
            <w:vMerge w:val="restart"/>
            <w:vAlign w:val="center"/>
          </w:tcPr>
          <w:p w14:paraId="1035C9A8">
            <w:pPr>
              <w:jc w:val="center"/>
              <w:rPr>
                <w:rFonts w:hint="default" w:ascii="Arial" w:hAnsi="Arial" w:eastAsia="宋体" w:cs="Arial"/>
                <w:szCs w:val="21"/>
              </w:rPr>
            </w:pPr>
            <w:r>
              <w:rPr>
                <w:rFonts w:hint="default" w:ascii="Arial" w:hAnsi="Arial" w:eastAsia="宋体" w:cs="Arial"/>
                <w:b/>
                <w:szCs w:val="21"/>
              </w:rPr>
              <w:t>室内边界声级/dB(A)</w:t>
            </w:r>
          </w:p>
        </w:tc>
        <w:tc>
          <w:tcPr>
            <w:tcW w:w="1164" w:type="dxa"/>
            <w:vMerge w:val="restart"/>
            <w:vAlign w:val="center"/>
          </w:tcPr>
          <w:p w14:paraId="42859E67">
            <w:pPr>
              <w:jc w:val="center"/>
              <w:rPr>
                <w:rFonts w:hint="default" w:ascii="Arial" w:hAnsi="Arial" w:eastAsia="宋体" w:cs="Arial"/>
                <w:szCs w:val="21"/>
              </w:rPr>
            </w:pPr>
            <w:r>
              <w:rPr>
                <w:rFonts w:hint="default" w:ascii="Arial" w:hAnsi="Arial" w:eastAsia="宋体" w:cs="Arial"/>
                <w:b/>
                <w:szCs w:val="21"/>
              </w:rPr>
              <w:t>运行时段</w:t>
            </w:r>
          </w:p>
        </w:tc>
        <w:tc>
          <w:tcPr>
            <w:tcW w:w="734" w:type="dxa"/>
            <w:vMerge w:val="restart"/>
            <w:vAlign w:val="center"/>
          </w:tcPr>
          <w:p w14:paraId="06EBDC32">
            <w:pPr>
              <w:jc w:val="center"/>
              <w:rPr>
                <w:rFonts w:hint="default" w:ascii="Arial" w:hAnsi="Arial" w:eastAsia="宋体" w:cs="Arial"/>
                <w:szCs w:val="21"/>
              </w:rPr>
            </w:pPr>
            <w:r>
              <w:rPr>
                <w:rFonts w:hint="default" w:ascii="Arial" w:hAnsi="Arial" w:eastAsia="宋体" w:cs="Arial"/>
                <w:b/>
                <w:szCs w:val="21"/>
              </w:rPr>
              <w:t>建筑物插入损失/dB(A)</w:t>
            </w:r>
          </w:p>
        </w:tc>
        <w:tc>
          <w:tcPr>
            <w:tcW w:w="1906" w:type="dxa"/>
            <w:gridSpan w:val="2"/>
            <w:vAlign w:val="center"/>
          </w:tcPr>
          <w:p w14:paraId="4AE1D726">
            <w:pPr>
              <w:jc w:val="center"/>
              <w:rPr>
                <w:rFonts w:hint="default" w:ascii="Arial" w:hAnsi="Arial" w:eastAsia="宋体" w:cs="Arial"/>
                <w:szCs w:val="21"/>
              </w:rPr>
            </w:pPr>
            <w:r>
              <w:rPr>
                <w:rFonts w:hint="default" w:ascii="Arial" w:hAnsi="Arial" w:eastAsia="宋体" w:cs="Arial"/>
                <w:b/>
                <w:szCs w:val="21"/>
              </w:rPr>
              <w:t>建筑物外噪声</w:t>
            </w:r>
          </w:p>
        </w:tc>
      </w:tr>
      <w:tr w14:paraId="4D80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vMerge w:val="continue"/>
            <w:shd w:val="clear" w:color="auto" w:fill="FFFFFF"/>
            <w:vAlign w:val="center"/>
          </w:tcPr>
          <w:p w14:paraId="59B2F84F">
            <w:pPr>
              <w:jc w:val="center"/>
              <w:rPr>
                <w:rFonts w:hint="default" w:ascii="Arial" w:hAnsi="Arial" w:eastAsia="宋体" w:cs="Arial"/>
                <w:szCs w:val="21"/>
              </w:rPr>
            </w:pPr>
          </w:p>
        </w:tc>
        <w:tc>
          <w:tcPr>
            <w:tcW w:w="468" w:type="dxa"/>
            <w:vMerge w:val="continue"/>
            <w:shd w:val="clear" w:color="auto" w:fill="FFFFFF"/>
            <w:vAlign w:val="center"/>
          </w:tcPr>
          <w:p w14:paraId="7E7BF9AE">
            <w:pPr>
              <w:jc w:val="center"/>
              <w:rPr>
                <w:rFonts w:hint="default" w:ascii="Arial" w:hAnsi="Arial" w:eastAsia="宋体" w:cs="Arial"/>
                <w:szCs w:val="21"/>
              </w:rPr>
            </w:pPr>
          </w:p>
        </w:tc>
        <w:tc>
          <w:tcPr>
            <w:tcW w:w="1898" w:type="dxa"/>
            <w:vMerge w:val="continue"/>
            <w:shd w:val="clear" w:color="auto" w:fill="FFFFFF"/>
            <w:vAlign w:val="center"/>
          </w:tcPr>
          <w:p w14:paraId="5DF13C20">
            <w:pPr>
              <w:jc w:val="center"/>
              <w:rPr>
                <w:rFonts w:hint="default" w:ascii="Arial" w:hAnsi="Arial" w:eastAsia="宋体" w:cs="Arial"/>
                <w:szCs w:val="21"/>
              </w:rPr>
            </w:pPr>
          </w:p>
        </w:tc>
        <w:tc>
          <w:tcPr>
            <w:tcW w:w="470" w:type="dxa"/>
            <w:vMerge w:val="continue"/>
            <w:shd w:val="clear" w:color="auto" w:fill="FFFFFF"/>
            <w:vAlign w:val="center"/>
          </w:tcPr>
          <w:p w14:paraId="304C726C">
            <w:pPr>
              <w:jc w:val="center"/>
              <w:rPr>
                <w:rFonts w:hint="default" w:ascii="Arial" w:hAnsi="Arial" w:eastAsia="宋体" w:cs="Arial"/>
                <w:szCs w:val="21"/>
              </w:rPr>
            </w:pPr>
          </w:p>
        </w:tc>
        <w:tc>
          <w:tcPr>
            <w:tcW w:w="1438" w:type="dxa"/>
            <w:vMerge w:val="continue"/>
            <w:shd w:val="clear" w:color="auto" w:fill="FFFFFF"/>
            <w:vAlign w:val="center"/>
          </w:tcPr>
          <w:p w14:paraId="017AB036">
            <w:pPr>
              <w:jc w:val="center"/>
              <w:rPr>
                <w:rFonts w:hint="default" w:ascii="Arial" w:hAnsi="Arial" w:eastAsia="宋体" w:cs="Arial"/>
                <w:szCs w:val="21"/>
              </w:rPr>
            </w:pPr>
          </w:p>
        </w:tc>
        <w:tc>
          <w:tcPr>
            <w:tcW w:w="613" w:type="dxa"/>
            <w:vMerge w:val="continue"/>
            <w:shd w:val="clear" w:color="auto" w:fill="FFFFFF"/>
            <w:vAlign w:val="center"/>
          </w:tcPr>
          <w:p w14:paraId="36DC9801">
            <w:pPr>
              <w:jc w:val="center"/>
              <w:rPr>
                <w:rFonts w:hint="default" w:ascii="Arial" w:hAnsi="Arial" w:eastAsia="宋体" w:cs="Arial"/>
                <w:szCs w:val="21"/>
              </w:rPr>
            </w:pPr>
          </w:p>
        </w:tc>
        <w:tc>
          <w:tcPr>
            <w:tcW w:w="826" w:type="dxa"/>
            <w:shd w:val="clear" w:color="auto" w:fill="FFFFFF"/>
            <w:vAlign w:val="center"/>
          </w:tcPr>
          <w:p w14:paraId="0605A36C">
            <w:pPr>
              <w:jc w:val="center"/>
              <w:rPr>
                <w:rFonts w:hint="default" w:ascii="Arial" w:hAnsi="Arial" w:eastAsia="宋体" w:cs="Arial"/>
                <w:szCs w:val="21"/>
              </w:rPr>
            </w:pPr>
            <w:r>
              <w:rPr>
                <w:rFonts w:hint="default" w:ascii="Arial" w:hAnsi="Arial" w:eastAsia="宋体" w:cs="Arial"/>
                <w:szCs w:val="21"/>
              </w:rPr>
              <w:t>X</w:t>
            </w:r>
          </w:p>
        </w:tc>
        <w:tc>
          <w:tcPr>
            <w:tcW w:w="766" w:type="dxa"/>
            <w:shd w:val="clear" w:color="auto" w:fill="FFFFFF"/>
            <w:vAlign w:val="center"/>
          </w:tcPr>
          <w:p w14:paraId="7F29BC90">
            <w:pPr>
              <w:jc w:val="center"/>
              <w:rPr>
                <w:rFonts w:hint="default" w:ascii="Arial" w:hAnsi="Arial" w:eastAsia="宋体" w:cs="Arial"/>
                <w:szCs w:val="21"/>
              </w:rPr>
            </w:pPr>
            <w:r>
              <w:rPr>
                <w:rFonts w:hint="default" w:ascii="Arial" w:hAnsi="Arial" w:eastAsia="宋体" w:cs="Arial"/>
                <w:szCs w:val="21"/>
              </w:rPr>
              <w:t>Y</w:t>
            </w:r>
          </w:p>
        </w:tc>
        <w:tc>
          <w:tcPr>
            <w:tcW w:w="438" w:type="dxa"/>
            <w:shd w:val="clear" w:color="auto" w:fill="FFFFFF"/>
            <w:vAlign w:val="center"/>
          </w:tcPr>
          <w:p w14:paraId="474F7463">
            <w:pPr>
              <w:jc w:val="center"/>
              <w:rPr>
                <w:rFonts w:hint="default" w:ascii="Arial" w:hAnsi="Arial" w:eastAsia="宋体" w:cs="Arial"/>
                <w:szCs w:val="21"/>
              </w:rPr>
            </w:pPr>
            <w:r>
              <w:rPr>
                <w:rFonts w:hint="default" w:ascii="Arial" w:hAnsi="Arial" w:eastAsia="宋体" w:cs="Arial"/>
                <w:szCs w:val="21"/>
              </w:rPr>
              <w:t>Z</w:t>
            </w:r>
          </w:p>
        </w:tc>
        <w:tc>
          <w:tcPr>
            <w:tcW w:w="1225" w:type="dxa"/>
            <w:vMerge w:val="continue"/>
            <w:shd w:val="clear" w:color="auto" w:fill="FFFFFF"/>
            <w:vAlign w:val="center"/>
          </w:tcPr>
          <w:p w14:paraId="53F58253">
            <w:pPr>
              <w:jc w:val="center"/>
              <w:rPr>
                <w:rFonts w:hint="default" w:ascii="Arial" w:hAnsi="Arial" w:eastAsia="宋体" w:cs="Arial"/>
                <w:szCs w:val="21"/>
              </w:rPr>
            </w:pPr>
          </w:p>
        </w:tc>
        <w:tc>
          <w:tcPr>
            <w:tcW w:w="1173" w:type="dxa"/>
            <w:vMerge w:val="continue"/>
            <w:shd w:val="clear" w:color="auto" w:fill="FFFFFF"/>
            <w:vAlign w:val="center"/>
          </w:tcPr>
          <w:p w14:paraId="2C5906C5">
            <w:pPr>
              <w:jc w:val="center"/>
              <w:rPr>
                <w:rFonts w:hint="default" w:ascii="Arial" w:hAnsi="Arial" w:eastAsia="宋体" w:cs="Arial"/>
                <w:szCs w:val="21"/>
              </w:rPr>
            </w:pPr>
          </w:p>
        </w:tc>
        <w:tc>
          <w:tcPr>
            <w:tcW w:w="1164" w:type="dxa"/>
            <w:vMerge w:val="continue"/>
            <w:shd w:val="clear" w:color="auto" w:fill="FFFFFF"/>
            <w:vAlign w:val="center"/>
          </w:tcPr>
          <w:p w14:paraId="5975B3AE">
            <w:pPr>
              <w:jc w:val="center"/>
              <w:rPr>
                <w:rFonts w:hint="default" w:ascii="Arial" w:hAnsi="Arial" w:eastAsia="宋体" w:cs="Arial"/>
                <w:szCs w:val="21"/>
              </w:rPr>
            </w:pPr>
          </w:p>
        </w:tc>
        <w:tc>
          <w:tcPr>
            <w:tcW w:w="734" w:type="dxa"/>
            <w:vMerge w:val="continue"/>
            <w:shd w:val="clear" w:color="auto" w:fill="FFFFFF"/>
            <w:vAlign w:val="center"/>
          </w:tcPr>
          <w:p w14:paraId="31D23673">
            <w:pPr>
              <w:jc w:val="center"/>
              <w:rPr>
                <w:rFonts w:hint="default" w:ascii="Arial" w:hAnsi="Arial" w:eastAsia="宋体" w:cs="Arial"/>
                <w:szCs w:val="21"/>
              </w:rPr>
            </w:pPr>
          </w:p>
        </w:tc>
        <w:tc>
          <w:tcPr>
            <w:tcW w:w="1214" w:type="dxa"/>
            <w:shd w:val="clear" w:color="auto" w:fill="FFFFFF"/>
            <w:vAlign w:val="center"/>
          </w:tcPr>
          <w:p w14:paraId="76227CB6">
            <w:pPr>
              <w:jc w:val="center"/>
              <w:rPr>
                <w:rFonts w:hint="default" w:ascii="Arial" w:hAnsi="Arial" w:eastAsia="宋体" w:cs="Arial"/>
                <w:szCs w:val="21"/>
              </w:rPr>
            </w:pPr>
            <w:r>
              <w:rPr>
                <w:rFonts w:hint="default" w:ascii="Arial" w:hAnsi="Arial" w:eastAsia="宋体" w:cs="Arial"/>
                <w:szCs w:val="21"/>
              </w:rPr>
              <w:t>声压级/dB(A)</w:t>
            </w:r>
          </w:p>
        </w:tc>
        <w:tc>
          <w:tcPr>
            <w:tcW w:w="692" w:type="dxa"/>
            <w:shd w:val="clear" w:color="auto" w:fill="FFFFFF"/>
            <w:vAlign w:val="center"/>
          </w:tcPr>
          <w:p w14:paraId="79308B88">
            <w:pPr>
              <w:jc w:val="center"/>
              <w:rPr>
                <w:rFonts w:hint="default" w:ascii="Arial" w:hAnsi="Arial" w:eastAsia="宋体" w:cs="Arial"/>
                <w:szCs w:val="21"/>
              </w:rPr>
            </w:pPr>
            <w:r>
              <w:rPr>
                <w:rFonts w:hint="default" w:ascii="Arial" w:hAnsi="Arial" w:eastAsia="宋体" w:cs="Arial"/>
                <w:szCs w:val="21"/>
              </w:rPr>
              <w:t>建筑物外距离</w:t>
            </w:r>
          </w:p>
        </w:tc>
      </w:tr>
      <w:tr w14:paraId="76D0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0C4641F3">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468" w:type="dxa"/>
            <w:vMerge w:val="restart"/>
            <w:shd w:val="clear" w:color="auto" w:fill="FFFFFF"/>
            <w:vAlign w:val="center"/>
          </w:tcPr>
          <w:p w14:paraId="72E66293">
            <w:pPr>
              <w:jc w:val="center"/>
              <w:rPr>
                <w:rFonts w:hint="default" w:ascii="Arial" w:hAnsi="Arial" w:eastAsia="宋体" w:cs="Arial"/>
                <w:szCs w:val="21"/>
                <w:lang w:val="en-US" w:eastAsia="zh-CN"/>
              </w:rPr>
            </w:pPr>
            <w:r>
              <w:rPr>
                <w:rFonts w:hint="default" w:ascii="Arial" w:hAnsi="Arial" w:eastAsia="宋体" w:cs="Arial"/>
                <w:szCs w:val="21"/>
                <w:lang w:val="en-US" w:eastAsia="zh-CN"/>
              </w:rPr>
              <w:t>2#生产车间</w:t>
            </w:r>
          </w:p>
        </w:tc>
        <w:tc>
          <w:tcPr>
            <w:tcW w:w="1898" w:type="dxa"/>
            <w:shd w:val="clear" w:color="auto" w:fill="FFFFFF"/>
            <w:vAlign w:val="center"/>
          </w:tcPr>
          <w:p w14:paraId="35F54709">
            <w:pPr>
              <w:jc w:val="center"/>
              <w:rPr>
                <w:rFonts w:hint="default" w:ascii="Arial" w:hAnsi="Arial" w:eastAsia="宋体" w:cs="Arial"/>
                <w:szCs w:val="21"/>
                <w:lang w:val="en-US" w:eastAsia="zh-CN"/>
              </w:rPr>
            </w:pPr>
            <w:r>
              <w:rPr>
                <w:rFonts w:hint="default" w:ascii="Arial" w:hAnsi="Arial" w:eastAsia="宋体" w:cs="Arial"/>
                <w:szCs w:val="21"/>
                <w:lang w:val="en-US" w:eastAsia="zh-CN"/>
              </w:rPr>
              <w:t>超声波清洗线</w:t>
            </w:r>
          </w:p>
        </w:tc>
        <w:tc>
          <w:tcPr>
            <w:tcW w:w="470" w:type="dxa"/>
            <w:shd w:val="clear" w:color="auto" w:fill="FFFFFF"/>
            <w:vAlign w:val="center"/>
          </w:tcPr>
          <w:p w14:paraId="21E0A2B6">
            <w:pPr>
              <w:jc w:val="center"/>
              <w:rPr>
                <w:rFonts w:hint="default" w:ascii="Arial" w:hAnsi="Arial" w:eastAsia="宋体" w:cs="Arial"/>
                <w:szCs w:val="21"/>
                <w:lang w:val="en-US" w:eastAsia="zh-CN"/>
              </w:rPr>
            </w:pPr>
            <w:r>
              <w:rPr>
                <w:rFonts w:hint="default" w:ascii="Arial" w:hAnsi="Arial" w:eastAsia="宋体" w:cs="Arial"/>
                <w:szCs w:val="21"/>
                <w:lang w:val="en-US" w:eastAsia="zh-CN"/>
              </w:rPr>
              <w:t>1</w:t>
            </w:r>
          </w:p>
        </w:tc>
        <w:tc>
          <w:tcPr>
            <w:tcW w:w="1438" w:type="dxa"/>
            <w:shd w:val="clear" w:color="auto" w:fill="FFFFFF"/>
            <w:vAlign w:val="center"/>
          </w:tcPr>
          <w:p w14:paraId="70BD6A66">
            <w:pPr>
              <w:jc w:val="center"/>
              <w:rPr>
                <w:rFonts w:hint="default" w:ascii="Arial" w:hAnsi="Arial" w:eastAsia="宋体" w:cs="Arial"/>
                <w:szCs w:val="21"/>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27280F37">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785AEB1D">
            <w:pPr>
              <w:jc w:val="center"/>
              <w:rPr>
                <w:rFonts w:hint="default" w:ascii="Arial" w:hAnsi="Arial" w:eastAsia="宋体" w:cs="Arial"/>
                <w:szCs w:val="21"/>
                <w:lang w:val="en-US" w:eastAsia="zh-CN"/>
              </w:rPr>
            </w:pPr>
            <w:r>
              <w:rPr>
                <w:rFonts w:hint="default" w:ascii="Arial" w:hAnsi="Arial" w:eastAsia="宋体" w:cs="Arial"/>
                <w:szCs w:val="21"/>
                <w:lang w:val="en-US" w:eastAsia="zh-CN"/>
              </w:rPr>
              <w:t>75</w:t>
            </w:r>
          </w:p>
        </w:tc>
        <w:tc>
          <w:tcPr>
            <w:tcW w:w="766" w:type="dxa"/>
            <w:shd w:val="clear" w:color="auto" w:fill="FFFFFF"/>
            <w:vAlign w:val="center"/>
          </w:tcPr>
          <w:p w14:paraId="12F24C19">
            <w:pPr>
              <w:jc w:val="center"/>
              <w:rPr>
                <w:rFonts w:hint="default" w:ascii="Arial" w:hAnsi="Arial" w:eastAsia="宋体" w:cs="Arial"/>
                <w:szCs w:val="21"/>
                <w:lang w:val="en-US" w:eastAsia="zh-CN"/>
              </w:rPr>
            </w:pPr>
            <w:r>
              <w:rPr>
                <w:rFonts w:hint="default" w:ascii="Arial" w:hAnsi="Arial" w:eastAsia="宋体" w:cs="Arial"/>
                <w:szCs w:val="21"/>
                <w:lang w:val="en-US" w:eastAsia="zh-CN"/>
              </w:rPr>
              <w:t>30</w:t>
            </w:r>
          </w:p>
        </w:tc>
        <w:tc>
          <w:tcPr>
            <w:tcW w:w="438" w:type="dxa"/>
            <w:shd w:val="clear" w:color="auto" w:fill="FFFFFF"/>
            <w:vAlign w:val="center"/>
          </w:tcPr>
          <w:p w14:paraId="2E475421">
            <w:pPr>
              <w:jc w:val="center"/>
              <w:rPr>
                <w:rFonts w:hint="default" w:ascii="Arial" w:hAnsi="Arial" w:eastAsia="宋体" w:cs="Arial"/>
                <w:szCs w:val="21"/>
              </w:rPr>
            </w:pPr>
            <w:r>
              <w:rPr>
                <w:rFonts w:hint="default" w:ascii="Arial" w:hAnsi="Arial" w:eastAsia="宋体" w:cs="Arial"/>
                <w:szCs w:val="21"/>
              </w:rPr>
              <w:t>1</w:t>
            </w:r>
          </w:p>
        </w:tc>
        <w:tc>
          <w:tcPr>
            <w:tcW w:w="1225" w:type="dxa"/>
            <w:shd w:val="clear" w:color="auto" w:fill="FFFFFF"/>
            <w:vAlign w:val="center"/>
          </w:tcPr>
          <w:p w14:paraId="17B569D9">
            <w:pPr>
              <w:jc w:val="center"/>
              <w:rPr>
                <w:rFonts w:hint="default" w:ascii="Arial" w:hAnsi="Arial" w:eastAsia="宋体" w:cs="Arial"/>
                <w:szCs w:val="21"/>
                <w:lang w:val="en-US" w:eastAsia="zh-CN"/>
              </w:rPr>
            </w:pPr>
            <w:r>
              <w:rPr>
                <w:rFonts w:hint="default" w:ascii="Arial" w:hAnsi="Arial" w:eastAsia="宋体" w:cs="Arial"/>
                <w:szCs w:val="21"/>
                <w:lang w:val="en-US" w:eastAsia="zh-CN"/>
              </w:rPr>
              <w:t>12.1~77.4</w:t>
            </w:r>
          </w:p>
        </w:tc>
        <w:tc>
          <w:tcPr>
            <w:tcW w:w="1173" w:type="dxa"/>
            <w:shd w:val="clear" w:color="auto" w:fill="FFFFFF"/>
            <w:vAlign w:val="center"/>
          </w:tcPr>
          <w:p w14:paraId="2F13F987">
            <w:pPr>
              <w:jc w:val="center"/>
              <w:rPr>
                <w:rFonts w:hint="default" w:ascii="Arial" w:hAnsi="Arial" w:eastAsia="宋体" w:cs="Arial"/>
                <w:szCs w:val="21"/>
                <w:lang w:val="en-US" w:eastAsia="zh-CN"/>
              </w:rPr>
            </w:pPr>
            <w:r>
              <w:rPr>
                <w:rFonts w:hint="default" w:ascii="Arial" w:hAnsi="Arial" w:eastAsia="宋体" w:cs="Arial"/>
                <w:szCs w:val="21"/>
                <w:lang w:val="en-US" w:eastAsia="zh-CN"/>
              </w:rPr>
              <w:t>74.6~74.8</w:t>
            </w:r>
          </w:p>
        </w:tc>
        <w:tc>
          <w:tcPr>
            <w:tcW w:w="1164" w:type="dxa"/>
            <w:shd w:val="clear" w:color="auto" w:fill="FFFFFF"/>
            <w:vAlign w:val="center"/>
          </w:tcPr>
          <w:p w14:paraId="7BC3A58C">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05A95049">
            <w:pPr>
              <w:jc w:val="center"/>
              <w:rPr>
                <w:rFonts w:hint="default" w:ascii="Arial" w:hAnsi="Arial" w:eastAsia="宋体" w:cs="Arial"/>
                <w:szCs w:val="21"/>
                <w:lang w:val="en-US" w:eastAsia="zh-CN"/>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4C1B3028">
            <w:pPr>
              <w:jc w:val="center"/>
              <w:rPr>
                <w:rFonts w:hint="default" w:ascii="Arial" w:hAnsi="Arial" w:eastAsia="宋体" w:cs="Arial"/>
                <w:szCs w:val="21"/>
                <w:lang w:val="en-US" w:eastAsia="zh-CN"/>
              </w:rPr>
            </w:pPr>
            <w:r>
              <w:rPr>
                <w:rFonts w:hint="default" w:ascii="Arial" w:hAnsi="Arial" w:eastAsia="宋体" w:cs="Arial"/>
                <w:szCs w:val="21"/>
                <w:lang w:val="en-US" w:eastAsia="zh-CN"/>
              </w:rPr>
              <w:t>58.6~58.8</w:t>
            </w:r>
          </w:p>
        </w:tc>
        <w:tc>
          <w:tcPr>
            <w:tcW w:w="692" w:type="dxa"/>
            <w:shd w:val="clear" w:color="auto" w:fill="FFFFFF"/>
            <w:vAlign w:val="center"/>
          </w:tcPr>
          <w:p w14:paraId="7B25BCCA">
            <w:pPr>
              <w:jc w:val="center"/>
              <w:rPr>
                <w:rFonts w:hint="default" w:ascii="Arial" w:hAnsi="Arial" w:eastAsia="宋体" w:cs="Arial"/>
                <w:szCs w:val="21"/>
              </w:rPr>
            </w:pPr>
            <w:r>
              <w:rPr>
                <w:rFonts w:hint="default" w:ascii="Arial" w:hAnsi="Arial" w:eastAsia="宋体" w:cs="Arial"/>
                <w:szCs w:val="21"/>
              </w:rPr>
              <w:t>1</w:t>
            </w:r>
          </w:p>
        </w:tc>
      </w:tr>
      <w:tr w14:paraId="0BDC4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2C9F91A9">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2</w:t>
            </w:r>
          </w:p>
        </w:tc>
        <w:tc>
          <w:tcPr>
            <w:tcW w:w="468" w:type="dxa"/>
            <w:vMerge w:val="continue"/>
            <w:shd w:val="clear" w:color="auto" w:fill="FFFFFF"/>
            <w:vAlign w:val="center"/>
          </w:tcPr>
          <w:p w14:paraId="07047471">
            <w:pPr>
              <w:jc w:val="center"/>
              <w:rPr>
                <w:rFonts w:hint="default" w:ascii="Arial" w:hAnsi="Arial" w:eastAsia="宋体" w:cs="Arial"/>
                <w:szCs w:val="21"/>
              </w:rPr>
            </w:pPr>
          </w:p>
        </w:tc>
        <w:tc>
          <w:tcPr>
            <w:tcW w:w="1898" w:type="dxa"/>
            <w:shd w:val="clear" w:color="auto" w:fill="FFFFFF"/>
            <w:vAlign w:val="center"/>
          </w:tcPr>
          <w:p w14:paraId="18EA133F">
            <w:pPr>
              <w:jc w:val="center"/>
              <w:rPr>
                <w:rFonts w:hint="default" w:ascii="Arial" w:hAnsi="Arial" w:eastAsia="宋体" w:cs="Arial"/>
                <w:szCs w:val="21"/>
                <w:lang w:val="en-US" w:eastAsia="zh-CN"/>
              </w:rPr>
            </w:pPr>
            <w:r>
              <w:rPr>
                <w:rFonts w:hint="default" w:ascii="Arial" w:hAnsi="Arial" w:eastAsia="宋体" w:cs="Arial"/>
                <w:szCs w:val="21"/>
                <w:lang w:val="en-US" w:eastAsia="zh-CN"/>
              </w:rPr>
              <w:t>超声波清洗线</w:t>
            </w:r>
          </w:p>
        </w:tc>
        <w:tc>
          <w:tcPr>
            <w:tcW w:w="470" w:type="dxa"/>
            <w:shd w:val="clear" w:color="auto" w:fill="FFFFFF"/>
            <w:vAlign w:val="center"/>
          </w:tcPr>
          <w:p w14:paraId="2CFF5604">
            <w:pPr>
              <w:jc w:val="center"/>
              <w:rPr>
                <w:rFonts w:hint="default" w:ascii="Arial" w:hAnsi="Arial" w:eastAsia="宋体" w:cs="Arial"/>
                <w:szCs w:val="21"/>
                <w:lang w:val="en-US" w:eastAsia="zh-CN"/>
              </w:rPr>
            </w:pPr>
            <w:r>
              <w:rPr>
                <w:rFonts w:hint="default" w:ascii="Arial" w:hAnsi="Arial" w:eastAsia="宋体" w:cs="Arial"/>
                <w:szCs w:val="21"/>
                <w:lang w:val="en-US" w:eastAsia="zh-CN"/>
              </w:rPr>
              <w:t>1</w:t>
            </w:r>
          </w:p>
        </w:tc>
        <w:tc>
          <w:tcPr>
            <w:tcW w:w="1438" w:type="dxa"/>
            <w:shd w:val="clear" w:color="auto" w:fill="FFFFFF"/>
            <w:vAlign w:val="center"/>
          </w:tcPr>
          <w:p w14:paraId="4FA2D2E4">
            <w:pPr>
              <w:jc w:val="center"/>
              <w:rPr>
                <w:rFonts w:hint="default" w:ascii="Arial" w:hAnsi="Arial" w:eastAsia="宋体" w:cs="Arial"/>
                <w:szCs w:val="21"/>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2BF87EC2">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22671357">
            <w:pPr>
              <w:jc w:val="center"/>
              <w:rPr>
                <w:rFonts w:hint="default" w:ascii="Arial" w:hAnsi="Arial" w:eastAsia="宋体" w:cs="Arial"/>
                <w:szCs w:val="21"/>
                <w:lang w:val="en-US" w:eastAsia="zh-CN"/>
              </w:rPr>
            </w:pPr>
            <w:r>
              <w:rPr>
                <w:rFonts w:hint="default" w:ascii="Arial" w:hAnsi="Arial" w:eastAsia="宋体" w:cs="Arial"/>
                <w:szCs w:val="21"/>
                <w:lang w:val="en-US" w:eastAsia="zh-CN"/>
              </w:rPr>
              <w:t>76</w:t>
            </w:r>
          </w:p>
        </w:tc>
        <w:tc>
          <w:tcPr>
            <w:tcW w:w="766" w:type="dxa"/>
            <w:shd w:val="clear" w:color="auto" w:fill="FFFFFF"/>
            <w:vAlign w:val="center"/>
          </w:tcPr>
          <w:p w14:paraId="51FF59C7">
            <w:pPr>
              <w:jc w:val="center"/>
              <w:rPr>
                <w:rFonts w:hint="default" w:ascii="Arial" w:hAnsi="Arial" w:eastAsia="宋体" w:cs="Arial"/>
                <w:szCs w:val="21"/>
                <w:lang w:val="en-US" w:eastAsia="zh-CN"/>
              </w:rPr>
            </w:pPr>
            <w:r>
              <w:rPr>
                <w:rFonts w:hint="default" w:ascii="Arial" w:hAnsi="Arial" w:eastAsia="宋体" w:cs="Arial"/>
                <w:szCs w:val="21"/>
                <w:lang w:val="en-US" w:eastAsia="zh-CN"/>
              </w:rPr>
              <w:t>24</w:t>
            </w:r>
          </w:p>
        </w:tc>
        <w:tc>
          <w:tcPr>
            <w:tcW w:w="438" w:type="dxa"/>
            <w:shd w:val="clear" w:color="auto" w:fill="FFFFFF"/>
            <w:vAlign w:val="center"/>
          </w:tcPr>
          <w:p w14:paraId="5745F03F">
            <w:pPr>
              <w:jc w:val="center"/>
              <w:rPr>
                <w:rFonts w:hint="default" w:ascii="Arial" w:hAnsi="Arial" w:eastAsia="宋体" w:cs="Arial"/>
                <w:szCs w:val="21"/>
              </w:rPr>
            </w:pPr>
            <w:r>
              <w:rPr>
                <w:rFonts w:hint="default" w:ascii="Arial" w:hAnsi="Arial" w:eastAsia="宋体" w:cs="Arial"/>
                <w:szCs w:val="21"/>
              </w:rPr>
              <w:t>1</w:t>
            </w:r>
          </w:p>
        </w:tc>
        <w:tc>
          <w:tcPr>
            <w:tcW w:w="1225" w:type="dxa"/>
            <w:shd w:val="clear" w:color="auto" w:fill="FFFFFF"/>
            <w:vAlign w:val="center"/>
          </w:tcPr>
          <w:p w14:paraId="2BF250C3">
            <w:pPr>
              <w:jc w:val="center"/>
              <w:rPr>
                <w:rFonts w:hint="default" w:ascii="Arial" w:hAnsi="Arial" w:eastAsia="宋体" w:cs="Arial"/>
                <w:szCs w:val="21"/>
                <w:lang w:val="en-US" w:eastAsia="zh-CN"/>
              </w:rPr>
            </w:pPr>
            <w:r>
              <w:rPr>
                <w:rFonts w:hint="default" w:ascii="Arial" w:hAnsi="Arial" w:eastAsia="宋体" w:cs="Arial"/>
                <w:szCs w:val="21"/>
                <w:lang w:val="en-US" w:eastAsia="zh-CN"/>
              </w:rPr>
              <w:t>11.8~77.9</w:t>
            </w:r>
          </w:p>
        </w:tc>
        <w:tc>
          <w:tcPr>
            <w:tcW w:w="1173" w:type="dxa"/>
            <w:shd w:val="clear" w:color="auto" w:fill="FFFFFF"/>
            <w:vAlign w:val="center"/>
          </w:tcPr>
          <w:p w14:paraId="204E2558">
            <w:pPr>
              <w:jc w:val="center"/>
              <w:rPr>
                <w:rFonts w:hint="default" w:ascii="Arial" w:hAnsi="Arial" w:eastAsia="宋体" w:cs="Arial"/>
                <w:szCs w:val="21"/>
                <w:lang w:val="en-US" w:eastAsia="zh-CN"/>
              </w:rPr>
            </w:pPr>
            <w:r>
              <w:rPr>
                <w:rFonts w:hint="default" w:ascii="Arial" w:hAnsi="Arial" w:eastAsia="宋体" w:cs="Arial"/>
                <w:szCs w:val="21"/>
                <w:lang w:val="en-US" w:eastAsia="zh-CN"/>
              </w:rPr>
              <w:t>74.6~74.8</w:t>
            </w:r>
          </w:p>
        </w:tc>
        <w:tc>
          <w:tcPr>
            <w:tcW w:w="1164" w:type="dxa"/>
            <w:shd w:val="clear" w:color="auto" w:fill="FFFFFF"/>
            <w:vAlign w:val="center"/>
          </w:tcPr>
          <w:p w14:paraId="1A22CF75">
            <w:pPr>
              <w:jc w:val="center"/>
              <w:rPr>
                <w:rFonts w:hint="default" w:ascii="Arial" w:hAnsi="Arial" w:eastAsia="宋体" w:cs="Arial"/>
                <w:szCs w:val="21"/>
              </w:rPr>
            </w:pPr>
            <w:r>
              <w:rPr>
                <w:rFonts w:hint="default" w:ascii="Arial" w:hAnsi="Arial" w:eastAsia="宋体" w:cs="Arial"/>
                <w:szCs w:val="21"/>
                <w:lang w:val="en-US" w:eastAsia="zh-CN"/>
              </w:rPr>
              <w:t>昼夜</w:t>
            </w:r>
          </w:p>
        </w:tc>
        <w:tc>
          <w:tcPr>
            <w:tcW w:w="734" w:type="dxa"/>
            <w:shd w:val="clear" w:color="auto" w:fill="FFFFFF"/>
            <w:vAlign w:val="center"/>
          </w:tcPr>
          <w:p w14:paraId="3BCE14AA">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28F76688">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58.6~58.8</w:t>
            </w:r>
          </w:p>
        </w:tc>
        <w:tc>
          <w:tcPr>
            <w:tcW w:w="692" w:type="dxa"/>
            <w:shd w:val="clear" w:color="auto" w:fill="FFFFFF"/>
            <w:vAlign w:val="center"/>
          </w:tcPr>
          <w:p w14:paraId="7D5525B9">
            <w:pPr>
              <w:jc w:val="center"/>
              <w:rPr>
                <w:rFonts w:hint="default" w:ascii="Arial" w:hAnsi="Arial" w:eastAsia="宋体" w:cs="Arial"/>
                <w:szCs w:val="21"/>
              </w:rPr>
            </w:pPr>
            <w:r>
              <w:rPr>
                <w:rFonts w:hint="default" w:ascii="Arial" w:hAnsi="Arial" w:eastAsia="宋体" w:cs="Arial"/>
                <w:szCs w:val="21"/>
              </w:rPr>
              <w:t>1</w:t>
            </w:r>
          </w:p>
        </w:tc>
      </w:tr>
      <w:tr w14:paraId="14A11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1AE9D3AC">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3</w:t>
            </w:r>
          </w:p>
        </w:tc>
        <w:tc>
          <w:tcPr>
            <w:tcW w:w="468" w:type="dxa"/>
            <w:vMerge w:val="continue"/>
            <w:shd w:val="clear" w:color="auto" w:fill="FFFFFF"/>
            <w:vAlign w:val="center"/>
          </w:tcPr>
          <w:p w14:paraId="05C179A2">
            <w:pPr>
              <w:jc w:val="center"/>
              <w:rPr>
                <w:rFonts w:hint="default" w:ascii="Arial" w:hAnsi="Arial" w:eastAsia="宋体" w:cs="Arial"/>
                <w:szCs w:val="21"/>
              </w:rPr>
            </w:pPr>
          </w:p>
        </w:tc>
        <w:tc>
          <w:tcPr>
            <w:tcW w:w="1898" w:type="dxa"/>
            <w:shd w:val="clear" w:color="auto" w:fill="FFFFFF"/>
            <w:vAlign w:val="center"/>
          </w:tcPr>
          <w:p w14:paraId="0B243049">
            <w:pPr>
              <w:jc w:val="center"/>
              <w:rPr>
                <w:rFonts w:hint="default" w:ascii="Arial" w:hAnsi="Arial" w:eastAsia="宋体" w:cs="Arial"/>
                <w:szCs w:val="21"/>
              </w:rPr>
            </w:pPr>
            <w:r>
              <w:rPr>
                <w:rFonts w:hint="default" w:ascii="Arial" w:hAnsi="Arial" w:eastAsia="宋体" w:cs="Arial"/>
                <w:bCs/>
                <w:szCs w:val="21"/>
              </w:rPr>
              <w:t>两槽式超声波浪涌抛动清洗机</w:t>
            </w:r>
          </w:p>
        </w:tc>
        <w:tc>
          <w:tcPr>
            <w:tcW w:w="470" w:type="dxa"/>
            <w:shd w:val="clear" w:color="auto" w:fill="FFFFFF"/>
            <w:vAlign w:val="center"/>
          </w:tcPr>
          <w:p w14:paraId="1B00CFF9">
            <w:pPr>
              <w:jc w:val="center"/>
              <w:rPr>
                <w:rFonts w:hint="default" w:ascii="Arial" w:hAnsi="Arial" w:eastAsia="宋体" w:cs="Arial"/>
                <w:szCs w:val="21"/>
                <w:lang w:val="en-US" w:eastAsia="zh-CN"/>
              </w:rPr>
            </w:pPr>
            <w:r>
              <w:rPr>
                <w:rFonts w:hint="default" w:ascii="Arial" w:hAnsi="Arial" w:eastAsia="宋体" w:cs="Arial"/>
                <w:szCs w:val="21"/>
                <w:lang w:val="en-US" w:eastAsia="zh-CN"/>
              </w:rPr>
              <w:t>1</w:t>
            </w:r>
          </w:p>
        </w:tc>
        <w:tc>
          <w:tcPr>
            <w:tcW w:w="1438" w:type="dxa"/>
            <w:shd w:val="clear" w:color="auto" w:fill="FFFFFF"/>
            <w:vAlign w:val="center"/>
          </w:tcPr>
          <w:p w14:paraId="6447B91F">
            <w:pPr>
              <w:jc w:val="center"/>
              <w:rPr>
                <w:rFonts w:hint="default" w:ascii="Arial" w:hAnsi="Arial" w:eastAsia="宋体" w:cs="Arial"/>
                <w:szCs w:val="21"/>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583DE1D1">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00E375A3">
            <w:pPr>
              <w:jc w:val="center"/>
              <w:rPr>
                <w:rFonts w:hint="default" w:ascii="Arial" w:hAnsi="Arial" w:eastAsia="宋体" w:cs="Arial"/>
                <w:szCs w:val="21"/>
                <w:lang w:val="en-US" w:eastAsia="zh-CN"/>
              </w:rPr>
            </w:pPr>
            <w:r>
              <w:rPr>
                <w:rFonts w:hint="default" w:ascii="Arial" w:hAnsi="Arial" w:eastAsia="宋体" w:cs="Arial"/>
                <w:szCs w:val="21"/>
                <w:lang w:val="en-US" w:eastAsia="zh-CN"/>
              </w:rPr>
              <w:t>74</w:t>
            </w:r>
          </w:p>
        </w:tc>
        <w:tc>
          <w:tcPr>
            <w:tcW w:w="766" w:type="dxa"/>
            <w:shd w:val="clear" w:color="auto" w:fill="FFFFFF"/>
            <w:vAlign w:val="center"/>
          </w:tcPr>
          <w:p w14:paraId="7CC2D228">
            <w:pPr>
              <w:jc w:val="center"/>
              <w:rPr>
                <w:rFonts w:hint="default" w:ascii="Arial" w:hAnsi="Arial" w:eastAsia="宋体" w:cs="Arial"/>
                <w:szCs w:val="21"/>
                <w:lang w:val="en-US" w:eastAsia="zh-CN"/>
              </w:rPr>
            </w:pPr>
            <w:r>
              <w:rPr>
                <w:rFonts w:hint="default" w:ascii="Arial" w:hAnsi="Arial" w:eastAsia="宋体" w:cs="Arial"/>
                <w:szCs w:val="21"/>
                <w:lang w:val="en-US" w:eastAsia="zh-CN"/>
              </w:rPr>
              <w:t>10</w:t>
            </w:r>
          </w:p>
        </w:tc>
        <w:tc>
          <w:tcPr>
            <w:tcW w:w="438" w:type="dxa"/>
            <w:shd w:val="clear" w:color="auto" w:fill="FFFFFF"/>
            <w:vAlign w:val="center"/>
          </w:tcPr>
          <w:p w14:paraId="262FE9FB">
            <w:pPr>
              <w:jc w:val="center"/>
              <w:rPr>
                <w:rFonts w:hint="default" w:ascii="Arial" w:hAnsi="Arial" w:eastAsia="宋体" w:cs="Arial"/>
                <w:szCs w:val="21"/>
              </w:rPr>
            </w:pPr>
            <w:r>
              <w:rPr>
                <w:rFonts w:hint="default" w:ascii="Arial" w:hAnsi="Arial" w:eastAsia="宋体" w:cs="Arial"/>
                <w:szCs w:val="21"/>
              </w:rPr>
              <w:t>1</w:t>
            </w:r>
          </w:p>
        </w:tc>
        <w:tc>
          <w:tcPr>
            <w:tcW w:w="1225" w:type="dxa"/>
            <w:shd w:val="clear" w:color="auto" w:fill="FFFFFF"/>
            <w:vAlign w:val="center"/>
          </w:tcPr>
          <w:p w14:paraId="3386DB40">
            <w:pPr>
              <w:jc w:val="center"/>
              <w:rPr>
                <w:rFonts w:hint="default" w:ascii="Arial" w:hAnsi="Arial" w:eastAsia="宋体" w:cs="Arial"/>
                <w:szCs w:val="21"/>
                <w:lang w:val="en-US" w:eastAsia="zh-CN"/>
              </w:rPr>
            </w:pPr>
            <w:r>
              <w:rPr>
                <w:rFonts w:hint="default" w:ascii="Arial" w:hAnsi="Arial" w:eastAsia="宋体" w:cs="Arial"/>
                <w:szCs w:val="21"/>
                <w:lang w:val="en-US" w:eastAsia="zh-CN"/>
              </w:rPr>
              <w:t>4.7~80.5</w:t>
            </w:r>
          </w:p>
        </w:tc>
        <w:tc>
          <w:tcPr>
            <w:tcW w:w="1173" w:type="dxa"/>
            <w:shd w:val="clear" w:color="auto" w:fill="FFFFFF"/>
            <w:vAlign w:val="center"/>
          </w:tcPr>
          <w:p w14:paraId="751A3196">
            <w:pPr>
              <w:jc w:val="center"/>
              <w:rPr>
                <w:rFonts w:hint="default" w:ascii="Arial" w:hAnsi="Arial" w:eastAsia="宋体" w:cs="Arial"/>
                <w:szCs w:val="21"/>
                <w:lang w:val="en-US" w:eastAsia="zh-CN"/>
              </w:rPr>
            </w:pPr>
            <w:r>
              <w:rPr>
                <w:rFonts w:hint="default" w:ascii="Arial" w:hAnsi="Arial" w:eastAsia="宋体" w:cs="Arial"/>
                <w:szCs w:val="21"/>
                <w:lang w:val="en-US" w:eastAsia="zh-CN"/>
              </w:rPr>
              <w:t>74.7~74.9</w:t>
            </w:r>
          </w:p>
        </w:tc>
        <w:tc>
          <w:tcPr>
            <w:tcW w:w="1164" w:type="dxa"/>
            <w:shd w:val="clear" w:color="auto" w:fill="FFFFFF"/>
            <w:vAlign w:val="center"/>
          </w:tcPr>
          <w:p w14:paraId="2D84DEA5">
            <w:pPr>
              <w:jc w:val="center"/>
              <w:rPr>
                <w:rFonts w:hint="default" w:ascii="Arial" w:hAnsi="Arial" w:eastAsia="宋体" w:cs="Arial"/>
                <w:szCs w:val="21"/>
              </w:rPr>
            </w:pPr>
            <w:r>
              <w:rPr>
                <w:rFonts w:hint="default" w:ascii="Arial" w:hAnsi="Arial" w:eastAsia="宋体" w:cs="Arial"/>
                <w:szCs w:val="21"/>
                <w:lang w:val="en-US" w:eastAsia="zh-CN"/>
              </w:rPr>
              <w:t>昼夜</w:t>
            </w:r>
          </w:p>
        </w:tc>
        <w:tc>
          <w:tcPr>
            <w:tcW w:w="734" w:type="dxa"/>
            <w:shd w:val="clear" w:color="auto" w:fill="FFFFFF"/>
            <w:vAlign w:val="center"/>
          </w:tcPr>
          <w:p w14:paraId="2E268C1C">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1F7B3FB4">
            <w:pPr>
              <w:jc w:val="center"/>
              <w:rPr>
                <w:rFonts w:hint="default" w:ascii="Arial" w:hAnsi="Arial" w:eastAsia="宋体" w:cs="Arial"/>
                <w:szCs w:val="21"/>
                <w:lang w:val="en-US" w:eastAsia="zh-CN"/>
              </w:rPr>
            </w:pPr>
            <w:r>
              <w:rPr>
                <w:rFonts w:hint="default" w:ascii="Arial" w:hAnsi="Arial" w:eastAsia="宋体" w:cs="Arial"/>
                <w:szCs w:val="21"/>
                <w:lang w:val="en-US" w:eastAsia="zh-CN"/>
              </w:rPr>
              <w:t>58.7~58.9</w:t>
            </w:r>
          </w:p>
        </w:tc>
        <w:tc>
          <w:tcPr>
            <w:tcW w:w="692" w:type="dxa"/>
            <w:shd w:val="clear" w:color="auto" w:fill="FFFFFF"/>
            <w:vAlign w:val="center"/>
          </w:tcPr>
          <w:p w14:paraId="23545E73">
            <w:pPr>
              <w:jc w:val="center"/>
              <w:rPr>
                <w:rFonts w:hint="default" w:ascii="Arial" w:hAnsi="Arial" w:eastAsia="宋体" w:cs="Arial"/>
                <w:szCs w:val="21"/>
              </w:rPr>
            </w:pPr>
            <w:r>
              <w:rPr>
                <w:rFonts w:hint="default" w:ascii="Arial" w:hAnsi="Arial" w:eastAsia="宋体" w:cs="Arial"/>
                <w:szCs w:val="21"/>
              </w:rPr>
              <w:t>1</w:t>
            </w:r>
          </w:p>
        </w:tc>
      </w:tr>
      <w:tr w14:paraId="524C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0B587D43">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4</w:t>
            </w:r>
          </w:p>
        </w:tc>
        <w:tc>
          <w:tcPr>
            <w:tcW w:w="468" w:type="dxa"/>
            <w:vMerge w:val="continue"/>
            <w:shd w:val="clear" w:color="auto" w:fill="FFFFFF"/>
            <w:vAlign w:val="center"/>
          </w:tcPr>
          <w:p w14:paraId="72FCD5B7">
            <w:pPr>
              <w:jc w:val="center"/>
              <w:rPr>
                <w:rFonts w:hint="default" w:ascii="Arial" w:hAnsi="Arial" w:eastAsia="宋体" w:cs="Arial"/>
                <w:szCs w:val="21"/>
              </w:rPr>
            </w:pPr>
          </w:p>
        </w:tc>
        <w:tc>
          <w:tcPr>
            <w:tcW w:w="1898" w:type="dxa"/>
            <w:shd w:val="clear" w:color="auto" w:fill="FFFFFF"/>
            <w:vAlign w:val="center"/>
          </w:tcPr>
          <w:p w14:paraId="3E361133">
            <w:pPr>
              <w:jc w:val="center"/>
              <w:rPr>
                <w:rFonts w:hint="default" w:ascii="Arial" w:hAnsi="Arial" w:eastAsia="宋体" w:cs="Arial"/>
                <w:szCs w:val="21"/>
              </w:rPr>
            </w:pPr>
            <w:r>
              <w:rPr>
                <w:rFonts w:hint="default" w:ascii="Arial" w:hAnsi="Arial" w:eastAsia="宋体" w:cs="Arial"/>
                <w:bCs/>
                <w:szCs w:val="21"/>
              </w:rPr>
              <w:t>多槽超声波清洗线</w:t>
            </w:r>
          </w:p>
        </w:tc>
        <w:tc>
          <w:tcPr>
            <w:tcW w:w="470" w:type="dxa"/>
            <w:shd w:val="clear" w:color="auto" w:fill="FFFFFF"/>
            <w:vAlign w:val="center"/>
          </w:tcPr>
          <w:p w14:paraId="42DEA630">
            <w:pPr>
              <w:jc w:val="center"/>
              <w:rPr>
                <w:rFonts w:hint="default" w:ascii="Arial" w:hAnsi="Arial" w:eastAsia="宋体" w:cs="Arial"/>
                <w:bCs/>
                <w:szCs w:val="21"/>
                <w:lang w:val="en-US" w:eastAsia="zh-CN"/>
              </w:rPr>
            </w:pPr>
            <w:r>
              <w:rPr>
                <w:rFonts w:hint="default" w:ascii="Arial" w:hAnsi="Arial" w:eastAsia="宋体" w:cs="Arial"/>
                <w:bCs/>
                <w:szCs w:val="21"/>
                <w:lang w:val="en-US" w:eastAsia="zh-CN"/>
              </w:rPr>
              <w:t>1</w:t>
            </w:r>
          </w:p>
        </w:tc>
        <w:tc>
          <w:tcPr>
            <w:tcW w:w="1438" w:type="dxa"/>
            <w:shd w:val="clear" w:color="auto" w:fill="FFFFFF"/>
            <w:vAlign w:val="center"/>
          </w:tcPr>
          <w:p w14:paraId="216B35D9">
            <w:pPr>
              <w:jc w:val="center"/>
              <w:rPr>
                <w:rFonts w:hint="default" w:ascii="Arial" w:hAnsi="Arial" w:eastAsia="宋体" w:cs="Arial"/>
                <w:szCs w:val="21"/>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144BEA38">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7745D1D9">
            <w:pPr>
              <w:jc w:val="center"/>
              <w:rPr>
                <w:rFonts w:hint="default" w:ascii="Arial" w:hAnsi="Arial" w:eastAsia="宋体" w:cs="Arial"/>
                <w:szCs w:val="21"/>
                <w:lang w:val="en-US" w:eastAsia="zh-CN"/>
              </w:rPr>
            </w:pPr>
            <w:r>
              <w:rPr>
                <w:rFonts w:hint="default" w:ascii="Arial" w:hAnsi="Arial" w:eastAsia="宋体" w:cs="Arial"/>
                <w:szCs w:val="21"/>
                <w:lang w:val="en-US" w:eastAsia="zh-CN"/>
              </w:rPr>
              <w:t>77</w:t>
            </w:r>
          </w:p>
        </w:tc>
        <w:tc>
          <w:tcPr>
            <w:tcW w:w="766" w:type="dxa"/>
            <w:shd w:val="clear" w:color="auto" w:fill="FFFFFF"/>
            <w:vAlign w:val="center"/>
          </w:tcPr>
          <w:p w14:paraId="2F239C01">
            <w:pPr>
              <w:jc w:val="center"/>
              <w:rPr>
                <w:rFonts w:hint="default" w:ascii="Arial" w:hAnsi="Arial" w:eastAsia="宋体" w:cs="Arial"/>
                <w:szCs w:val="21"/>
                <w:lang w:val="en-US" w:eastAsia="zh-CN"/>
              </w:rPr>
            </w:pPr>
            <w:r>
              <w:rPr>
                <w:rFonts w:hint="default" w:ascii="Arial" w:hAnsi="Arial" w:eastAsia="宋体" w:cs="Arial"/>
                <w:szCs w:val="21"/>
                <w:lang w:val="en-US" w:eastAsia="zh-CN"/>
              </w:rPr>
              <w:t>18</w:t>
            </w:r>
          </w:p>
        </w:tc>
        <w:tc>
          <w:tcPr>
            <w:tcW w:w="438" w:type="dxa"/>
            <w:shd w:val="clear" w:color="auto" w:fill="FFFFFF"/>
            <w:vAlign w:val="center"/>
          </w:tcPr>
          <w:p w14:paraId="438B62E3">
            <w:pPr>
              <w:jc w:val="center"/>
              <w:rPr>
                <w:rFonts w:hint="default" w:ascii="Arial" w:hAnsi="Arial" w:eastAsia="宋体" w:cs="Arial"/>
                <w:szCs w:val="21"/>
              </w:rPr>
            </w:pPr>
            <w:r>
              <w:rPr>
                <w:rFonts w:hint="default" w:ascii="Arial" w:hAnsi="Arial" w:eastAsia="宋体" w:cs="Arial"/>
                <w:szCs w:val="21"/>
              </w:rPr>
              <w:t>1</w:t>
            </w:r>
          </w:p>
        </w:tc>
        <w:tc>
          <w:tcPr>
            <w:tcW w:w="1225" w:type="dxa"/>
            <w:shd w:val="clear" w:color="auto" w:fill="FFFFFF"/>
            <w:vAlign w:val="center"/>
          </w:tcPr>
          <w:p w14:paraId="6B59C5B2">
            <w:pPr>
              <w:jc w:val="center"/>
              <w:rPr>
                <w:rFonts w:hint="default" w:ascii="Arial" w:hAnsi="Arial" w:eastAsia="宋体" w:cs="Arial"/>
                <w:szCs w:val="21"/>
                <w:lang w:val="en-US" w:eastAsia="zh-CN"/>
              </w:rPr>
            </w:pPr>
            <w:r>
              <w:rPr>
                <w:rFonts w:hint="default" w:ascii="Arial" w:hAnsi="Arial" w:eastAsia="宋体" w:cs="Arial"/>
                <w:szCs w:val="21"/>
                <w:lang w:val="en-US" w:eastAsia="zh-CN"/>
              </w:rPr>
              <w:t>11.5~78.3</w:t>
            </w:r>
          </w:p>
        </w:tc>
        <w:tc>
          <w:tcPr>
            <w:tcW w:w="1173" w:type="dxa"/>
            <w:shd w:val="clear" w:color="auto" w:fill="FFFFFF"/>
            <w:vAlign w:val="center"/>
          </w:tcPr>
          <w:p w14:paraId="6D5F9C89">
            <w:pPr>
              <w:jc w:val="center"/>
              <w:rPr>
                <w:rFonts w:hint="default" w:ascii="Arial" w:hAnsi="Arial" w:eastAsia="宋体" w:cs="Arial"/>
                <w:szCs w:val="21"/>
                <w:lang w:val="en-US" w:eastAsia="zh-CN"/>
              </w:rPr>
            </w:pPr>
            <w:r>
              <w:rPr>
                <w:rFonts w:hint="default" w:ascii="Arial" w:hAnsi="Arial" w:eastAsia="宋体" w:cs="Arial"/>
                <w:szCs w:val="21"/>
                <w:lang w:val="en-US" w:eastAsia="zh-CN"/>
              </w:rPr>
              <w:t>74.6~74.8</w:t>
            </w:r>
          </w:p>
        </w:tc>
        <w:tc>
          <w:tcPr>
            <w:tcW w:w="1164" w:type="dxa"/>
            <w:shd w:val="clear" w:color="auto" w:fill="FFFFFF"/>
            <w:vAlign w:val="center"/>
          </w:tcPr>
          <w:p w14:paraId="31AB129B">
            <w:pPr>
              <w:jc w:val="center"/>
              <w:rPr>
                <w:rFonts w:hint="default" w:ascii="Arial" w:hAnsi="Arial" w:eastAsia="宋体" w:cs="Arial"/>
                <w:szCs w:val="21"/>
              </w:rPr>
            </w:pPr>
            <w:r>
              <w:rPr>
                <w:rFonts w:hint="default" w:ascii="Arial" w:hAnsi="Arial" w:eastAsia="宋体" w:cs="Arial"/>
                <w:szCs w:val="21"/>
                <w:lang w:val="en-US" w:eastAsia="zh-CN"/>
              </w:rPr>
              <w:t>昼夜</w:t>
            </w:r>
          </w:p>
        </w:tc>
        <w:tc>
          <w:tcPr>
            <w:tcW w:w="734" w:type="dxa"/>
            <w:shd w:val="clear" w:color="auto" w:fill="FFFFFF"/>
            <w:vAlign w:val="center"/>
          </w:tcPr>
          <w:p w14:paraId="1724322A">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6F35349E">
            <w:pPr>
              <w:jc w:val="center"/>
              <w:rPr>
                <w:rFonts w:hint="default" w:ascii="Arial" w:hAnsi="Arial" w:eastAsia="宋体" w:cs="Arial"/>
                <w:szCs w:val="21"/>
                <w:lang w:val="en-US" w:eastAsia="zh-CN"/>
              </w:rPr>
            </w:pPr>
            <w:r>
              <w:rPr>
                <w:rFonts w:hint="default" w:ascii="Arial" w:hAnsi="Arial" w:eastAsia="宋体" w:cs="Arial"/>
                <w:szCs w:val="21"/>
                <w:lang w:val="en-US" w:eastAsia="zh-CN"/>
              </w:rPr>
              <w:t>58.6~58.8</w:t>
            </w:r>
          </w:p>
        </w:tc>
        <w:tc>
          <w:tcPr>
            <w:tcW w:w="692" w:type="dxa"/>
            <w:shd w:val="clear" w:color="auto" w:fill="FFFFFF"/>
            <w:vAlign w:val="center"/>
          </w:tcPr>
          <w:p w14:paraId="76138AC3">
            <w:pPr>
              <w:jc w:val="center"/>
              <w:rPr>
                <w:rFonts w:hint="default" w:ascii="Arial" w:hAnsi="Arial" w:eastAsia="宋体" w:cs="Arial"/>
                <w:szCs w:val="21"/>
              </w:rPr>
            </w:pPr>
            <w:r>
              <w:rPr>
                <w:rFonts w:hint="default" w:ascii="Arial" w:hAnsi="Arial" w:eastAsia="宋体" w:cs="Arial"/>
                <w:szCs w:val="21"/>
              </w:rPr>
              <w:t>1</w:t>
            </w:r>
          </w:p>
        </w:tc>
      </w:tr>
      <w:tr w14:paraId="7CC1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03FD4F4C">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5</w:t>
            </w:r>
          </w:p>
        </w:tc>
        <w:tc>
          <w:tcPr>
            <w:tcW w:w="468" w:type="dxa"/>
            <w:vMerge w:val="continue"/>
            <w:shd w:val="clear" w:color="auto" w:fill="FFFFFF"/>
            <w:vAlign w:val="center"/>
          </w:tcPr>
          <w:p w14:paraId="0AF81DA7">
            <w:pPr>
              <w:jc w:val="center"/>
              <w:rPr>
                <w:rFonts w:hint="default" w:ascii="Arial" w:hAnsi="Arial" w:eastAsia="宋体" w:cs="Arial"/>
                <w:szCs w:val="21"/>
              </w:rPr>
            </w:pPr>
          </w:p>
        </w:tc>
        <w:tc>
          <w:tcPr>
            <w:tcW w:w="1898" w:type="dxa"/>
            <w:shd w:val="clear" w:color="auto" w:fill="auto"/>
            <w:vAlign w:val="center"/>
          </w:tcPr>
          <w:p w14:paraId="0268DAFE">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烘干机/电热炉</w:t>
            </w:r>
          </w:p>
        </w:tc>
        <w:tc>
          <w:tcPr>
            <w:tcW w:w="470" w:type="dxa"/>
            <w:shd w:val="clear" w:color="auto" w:fill="FFFFFF"/>
            <w:vAlign w:val="center"/>
          </w:tcPr>
          <w:p w14:paraId="656B099F">
            <w:pPr>
              <w:jc w:val="center"/>
              <w:rPr>
                <w:rFonts w:hint="default" w:ascii="Arial" w:hAnsi="Arial" w:eastAsia="宋体" w:cs="Arial"/>
                <w:szCs w:val="21"/>
                <w:lang w:val="en-US" w:eastAsia="zh-CN"/>
              </w:rPr>
            </w:pPr>
            <w:r>
              <w:rPr>
                <w:rFonts w:hint="default" w:ascii="Arial" w:hAnsi="Arial" w:eastAsia="宋体" w:cs="Arial"/>
                <w:szCs w:val="21"/>
                <w:lang w:val="en-US" w:eastAsia="zh-CN"/>
              </w:rPr>
              <w:t>1</w:t>
            </w:r>
          </w:p>
        </w:tc>
        <w:tc>
          <w:tcPr>
            <w:tcW w:w="1438" w:type="dxa"/>
            <w:shd w:val="clear" w:color="auto" w:fill="FFFFFF"/>
            <w:vAlign w:val="center"/>
          </w:tcPr>
          <w:p w14:paraId="78FAA010">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5E772E35">
            <w:pPr>
              <w:jc w:val="center"/>
              <w:rPr>
                <w:rFonts w:hint="default" w:ascii="Arial" w:hAnsi="Arial" w:eastAsia="宋体" w:cs="Arial"/>
                <w:kern w:val="2"/>
                <w:sz w:val="21"/>
                <w:szCs w:val="21"/>
                <w:lang w:val="en-US" w:eastAsia="zh-CN" w:bidi="ar-SA"/>
              </w:rPr>
            </w:pPr>
            <w:r>
              <w:rPr>
                <w:rFonts w:hint="default" w:ascii="Arial" w:hAnsi="Arial" w:eastAsia="宋体" w:cs="Arial"/>
                <w:szCs w:val="21"/>
              </w:rPr>
              <w:t>-</w:t>
            </w:r>
          </w:p>
        </w:tc>
        <w:tc>
          <w:tcPr>
            <w:tcW w:w="826" w:type="dxa"/>
            <w:shd w:val="clear" w:color="auto" w:fill="FFFFFF"/>
            <w:vAlign w:val="center"/>
          </w:tcPr>
          <w:p w14:paraId="5F79D9BC">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61</w:t>
            </w:r>
          </w:p>
        </w:tc>
        <w:tc>
          <w:tcPr>
            <w:tcW w:w="766" w:type="dxa"/>
            <w:shd w:val="clear" w:color="auto" w:fill="FFFFFF"/>
            <w:vAlign w:val="center"/>
          </w:tcPr>
          <w:p w14:paraId="05D3F3BB">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29</w:t>
            </w:r>
          </w:p>
        </w:tc>
        <w:tc>
          <w:tcPr>
            <w:tcW w:w="438" w:type="dxa"/>
            <w:shd w:val="clear" w:color="auto" w:fill="FFFFFF"/>
            <w:vAlign w:val="center"/>
          </w:tcPr>
          <w:p w14:paraId="79AAC6D6">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p>
        </w:tc>
        <w:tc>
          <w:tcPr>
            <w:tcW w:w="1225" w:type="dxa"/>
            <w:shd w:val="clear" w:color="auto" w:fill="FFFFFF"/>
            <w:vAlign w:val="center"/>
          </w:tcPr>
          <w:p w14:paraId="21A43637">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24.5~63.4</w:t>
            </w:r>
          </w:p>
        </w:tc>
        <w:tc>
          <w:tcPr>
            <w:tcW w:w="1173" w:type="dxa"/>
            <w:shd w:val="clear" w:color="auto" w:fill="FFFFFF"/>
            <w:vAlign w:val="center"/>
          </w:tcPr>
          <w:p w14:paraId="4AF2321B">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69.5~70.2</w:t>
            </w:r>
          </w:p>
        </w:tc>
        <w:tc>
          <w:tcPr>
            <w:tcW w:w="1164" w:type="dxa"/>
            <w:shd w:val="clear" w:color="auto" w:fill="FFFFFF"/>
            <w:vAlign w:val="center"/>
          </w:tcPr>
          <w:p w14:paraId="0F2599BB">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昼夜</w:t>
            </w:r>
          </w:p>
        </w:tc>
        <w:tc>
          <w:tcPr>
            <w:tcW w:w="734" w:type="dxa"/>
            <w:shd w:val="clear" w:color="auto" w:fill="FFFFFF"/>
            <w:vAlign w:val="center"/>
          </w:tcPr>
          <w:p w14:paraId="18C68A1B">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6DB40FF5">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53.5~54.2</w:t>
            </w:r>
          </w:p>
        </w:tc>
        <w:tc>
          <w:tcPr>
            <w:tcW w:w="692" w:type="dxa"/>
            <w:shd w:val="clear" w:color="auto" w:fill="FFFFFF"/>
            <w:vAlign w:val="center"/>
          </w:tcPr>
          <w:p w14:paraId="5F5E8203">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p>
        </w:tc>
      </w:tr>
      <w:tr w14:paraId="15ECF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100D6571">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6</w:t>
            </w:r>
          </w:p>
        </w:tc>
        <w:tc>
          <w:tcPr>
            <w:tcW w:w="468" w:type="dxa"/>
            <w:vMerge w:val="continue"/>
            <w:shd w:val="clear" w:color="auto" w:fill="FFFFFF"/>
            <w:vAlign w:val="center"/>
          </w:tcPr>
          <w:p w14:paraId="22134518">
            <w:pPr>
              <w:jc w:val="center"/>
              <w:rPr>
                <w:rFonts w:hint="default" w:ascii="Arial" w:hAnsi="Arial" w:eastAsia="宋体" w:cs="Arial"/>
                <w:szCs w:val="21"/>
              </w:rPr>
            </w:pPr>
          </w:p>
        </w:tc>
        <w:tc>
          <w:tcPr>
            <w:tcW w:w="1898" w:type="dxa"/>
            <w:shd w:val="clear" w:color="auto" w:fill="auto"/>
            <w:vAlign w:val="center"/>
          </w:tcPr>
          <w:p w14:paraId="08B19220">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隧道式烘箱</w:t>
            </w:r>
          </w:p>
        </w:tc>
        <w:tc>
          <w:tcPr>
            <w:tcW w:w="470" w:type="dxa"/>
            <w:shd w:val="clear" w:color="auto" w:fill="FFFFFF"/>
            <w:vAlign w:val="center"/>
          </w:tcPr>
          <w:p w14:paraId="60500ECD">
            <w:pPr>
              <w:jc w:val="center"/>
              <w:rPr>
                <w:rFonts w:hint="default" w:ascii="Arial" w:hAnsi="Arial" w:eastAsia="宋体" w:cs="Arial"/>
                <w:szCs w:val="21"/>
                <w:lang w:val="en-US" w:eastAsia="zh-CN"/>
              </w:rPr>
            </w:pPr>
            <w:r>
              <w:rPr>
                <w:rFonts w:hint="default" w:ascii="Arial" w:hAnsi="Arial" w:eastAsia="宋体" w:cs="Arial"/>
                <w:szCs w:val="21"/>
                <w:lang w:val="en-US" w:eastAsia="zh-CN"/>
              </w:rPr>
              <w:t>1</w:t>
            </w:r>
          </w:p>
        </w:tc>
        <w:tc>
          <w:tcPr>
            <w:tcW w:w="1438" w:type="dxa"/>
            <w:shd w:val="clear" w:color="auto" w:fill="FFFFFF"/>
            <w:vAlign w:val="center"/>
          </w:tcPr>
          <w:p w14:paraId="7829DF4A">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0EF5E5D2">
            <w:pPr>
              <w:jc w:val="center"/>
              <w:rPr>
                <w:rFonts w:hint="default" w:ascii="Arial" w:hAnsi="Arial" w:eastAsia="宋体" w:cs="Arial"/>
                <w:kern w:val="2"/>
                <w:sz w:val="21"/>
                <w:szCs w:val="21"/>
                <w:lang w:val="en-US" w:eastAsia="zh-CN" w:bidi="ar-SA"/>
              </w:rPr>
            </w:pPr>
            <w:r>
              <w:rPr>
                <w:rFonts w:hint="default" w:ascii="Arial" w:hAnsi="Arial" w:eastAsia="宋体" w:cs="Arial"/>
                <w:szCs w:val="21"/>
              </w:rPr>
              <w:t>-</w:t>
            </w:r>
          </w:p>
        </w:tc>
        <w:tc>
          <w:tcPr>
            <w:tcW w:w="826" w:type="dxa"/>
            <w:shd w:val="clear" w:color="auto" w:fill="FFFFFF"/>
            <w:vAlign w:val="center"/>
          </w:tcPr>
          <w:p w14:paraId="78085D8E">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62</w:t>
            </w:r>
          </w:p>
        </w:tc>
        <w:tc>
          <w:tcPr>
            <w:tcW w:w="766" w:type="dxa"/>
            <w:shd w:val="clear" w:color="auto" w:fill="FFFFFF"/>
            <w:vAlign w:val="center"/>
          </w:tcPr>
          <w:p w14:paraId="6C681201">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23</w:t>
            </w:r>
          </w:p>
        </w:tc>
        <w:tc>
          <w:tcPr>
            <w:tcW w:w="438" w:type="dxa"/>
            <w:shd w:val="clear" w:color="auto" w:fill="FFFFFF"/>
            <w:vAlign w:val="center"/>
          </w:tcPr>
          <w:p w14:paraId="04A6E387">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p>
        </w:tc>
        <w:tc>
          <w:tcPr>
            <w:tcW w:w="1225" w:type="dxa"/>
            <w:shd w:val="clear" w:color="auto" w:fill="FFFFFF"/>
            <w:vAlign w:val="center"/>
          </w:tcPr>
          <w:p w14:paraId="26809F3F">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18.5~66.7</w:t>
            </w:r>
          </w:p>
        </w:tc>
        <w:tc>
          <w:tcPr>
            <w:tcW w:w="1173" w:type="dxa"/>
            <w:shd w:val="clear" w:color="auto" w:fill="FFFFFF"/>
            <w:vAlign w:val="center"/>
          </w:tcPr>
          <w:p w14:paraId="2544A5C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69.5~70.2</w:t>
            </w:r>
          </w:p>
        </w:tc>
        <w:tc>
          <w:tcPr>
            <w:tcW w:w="1164" w:type="dxa"/>
            <w:shd w:val="clear" w:color="auto" w:fill="FFFFFF"/>
            <w:vAlign w:val="center"/>
          </w:tcPr>
          <w:p w14:paraId="7D2336C6">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昼夜</w:t>
            </w:r>
          </w:p>
        </w:tc>
        <w:tc>
          <w:tcPr>
            <w:tcW w:w="734" w:type="dxa"/>
            <w:shd w:val="clear" w:color="auto" w:fill="FFFFFF"/>
            <w:vAlign w:val="center"/>
          </w:tcPr>
          <w:p w14:paraId="4CB2813A">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79C93130">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53.5~54.2</w:t>
            </w:r>
          </w:p>
        </w:tc>
        <w:tc>
          <w:tcPr>
            <w:tcW w:w="692" w:type="dxa"/>
            <w:shd w:val="clear" w:color="auto" w:fill="FFFFFF"/>
            <w:vAlign w:val="center"/>
          </w:tcPr>
          <w:p w14:paraId="749EA320">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p>
        </w:tc>
      </w:tr>
      <w:tr w14:paraId="773B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373432FC">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7</w:t>
            </w:r>
          </w:p>
        </w:tc>
        <w:tc>
          <w:tcPr>
            <w:tcW w:w="468" w:type="dxa"/>
            <w:vMerge w:val="continue"/>
            <w:shd w:val="clear" w:color="auto" w:fill="FFFFFF"/>
            <w:vAlign w:val="center"/>
          </w:tcPr>
          <w:p w14:paraId="74EFB043">
            <w:pPr>
              <w:jc w:val="center"/>
              <w:rPr>
                <w:rFonts w:hint="default" w:ascii="Arial" w:hAnsi="Arial" w:eastAsia="宋体" w:cs="Arial"/>
                <w:szCs w:val="21"/>
              </w:rPr>
            </w:pPr>
          </w:p>
        </w:tc>
        <w:tc>
          <w:tcPr>
            <w:tcW w:w="1898" w:type="dxa"/>
            <w:shd w:val="clear" w:color="auto" w:fill="auto"/>
            <w:vAlign w:val="center"/>
          </w:tcPr>
          <w:p w14:paraId="7D611A53">
            <w:pPr>
              <w:widowControl/>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鼓风干燥箱/烤箱</w:t>
            </w:r>
          </w:p>
        </w:tc>
        <w:tc>
          <w:tcPr>
            <w:tcW w:w="470" w:type="dxa"/>
            <w:shd w:val="clear" w:color="auto" w:fill="FFFFFF"/>
            <w:vAlign w:val="center"/>
          </w:tcPr>
          <w:p w14:paraId="06CEF1D5">
            <w:pPr>
              <w:jc w:val="center"/>
              <w:rPr>
                <w:rFonts w:hint="default" w:ascii="Arial" w:hAnsi="Arial" w:eastAsia="宋体" w:cs="Arial"/>
                <w:szCs w:val="21"/>
                <w:lang w:val="en-US" w:eastAsia="zh-CN"/>
              </w:rPr>
            </w:pPr>
            <w:r>
              <w:rPr>
                <w:rFonts w:hint="default" w:ascii="Arial" w:hAnsi="Arial" w:eastAsia="宋体" w:cs="Arial"/>
                <w:szCs w:val="21"/>
                <w:lang w:val="en-US" w:eastAsia="zh-CN"/>
              </w:rPr>
              <w:t>1</w:t>
            </w:r>
          </w:p>
        </w:tc>
        <w:tc>
          <w:tcPr>
            <w:tcW w:w="1438" w:type="dxa"/>
            <w:shd w:val="clear" w:color="auto" w:fill="FFFFFF"/>
            <w:vAlign w:val="center"/>
          </w:tcPr>
          <w:p w14:paraId="36B7C6D5">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6181089F">
            <w:pPr>
              <w:jc w:val="center"/>
              <w:rPr>
                <w:rFonts w:hint="default" w:ascii="Arial" w:hAnsi="Arial" w:eastAsia="宋体" w:cs="Arial"/>
                <w:kern w:val="2"/>
                <w:sz w:val="21"/>
                <w:szCs w:val="21"/>
                <w:lang w:val="en-US" w:eastAsia="zh-CN" w:bidi="ar-SA"/>
              </w:rPr>
            </w:pPr>
            <w:r>
              <w:rPr>
                <w:rFonts w:hint="default" w:ascii="Arial" w:hAnsi="Arial" w:eastAsia="宋体" w:cs="Arial"/>
                <w:szCs w:val="21"/>
              </w:rPr>
              <w:t>-</w:t>
            </w:r>
          </w:p>
        </w:tc>
        <w:tc>
          <w:tcPr>
            <w:tcW w:w="826" w:type="dxa"/>
            <w:shd w:val="clear" w:color="auto" w:fill="FFFFFF"/>
            <w:vAlign w:val="center"/>
          </w:tcPr>
          <w:p w14:paraId="2E98067C">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63</w:t>
            </w:r>
          </w:p>
        </w:tc>
        <w:tc>
          <w:tcPr>
            <w:tcW w:w="766" w:type="dxa"/>
            <w:shd w:val="clear" w:color="auto" w:fill="FFFFFF"/>
            <w:vAlign w:val="center"/>
          </w:tcPr>
          <w:p w14:paraId="54029D9B">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17</w:t>
            </w:r>
          </w:p>
        </w:tc>
        <w:tc>
          <w:tcPr>
            <w:tcW w:w="438" w:type="dxa"/>
            <w:shd w:val="clear" w:color="auto" w:fill="FFFFFF"/>
            <w:vAlign w:val="center"/>
          </w:tcPr>
          <w:p w14:paraId="75860EA0">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p>
        </w:tc>
        <w:tc>
          <w:tcPr>
            <w:tcW w:w="1225" w:type="dxa"/>
            <w:shd w:val="clear" w:color="auto" w:fill="FFFFFF"/>
            <w:vAlign w:val="center"/>
          </w:tcPr>
          <w:p w14:paraId="304CADE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12.4~72.7</w:t>
            </w:r>
          </w:p>
        </w:tc>
        <w:tc>
          <w:tcPr>
            <w:tcW w:w="1173" w:type="dxa"/>
            <w:shd w:val="clear" w:color="auto" w:fill="FFFFFF"/>
            <w:vAlign w:val="center"/>
          </w:tcPr>
          <w:p w14:paraId="7ACECFD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69.5~70.2</w:t>
            </w:r>
          </w:p>
        </w:tc>
        <w:tc>
          <w:tcPr>
            <w:tcW w:w="1164" w:type="dxa"/>
            <w:shd w:val="clear" w:color="auto" w:fill="FFFFFF"/>
            <w:vAlign w:val="center"/>
          </w:tcPr>
          <w:p w14:paraId="443F02CF">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昼夜</w:t>
            </w:r>
          </w:p>
        </w:tc>
        <w:tc>
          <w:tcPr>
            <w:tcW w:w="734" w:type="dxa"/>
            <w:shd w:val="clear" w:color="auto" w:fill="FFFFFF"/>
            <w:vAlign w:val="center"/>
          </w:tcPr>
          <w:p w14:paraId="2FCCEA40">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1C30BD8B">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53.5~54.2</w:t>
            </w:r>
          </w:p>
        </w:tc>
        <w:tc>
          <w:tcPr>
            <w:tcW w:w="692" w:type="dxa"/>
            <w:shd w:val="clear" w:color="auto" w:fill="FFFFFF"/>
            <w:vAlign w:val="center"/>
          </w:tcPr>
          <w:p w14:paraId="2DAAE20C">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p>
        </w:tc>
      </w:tr>
      <w:tr w14:paraId="60E8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6DCAAF0D">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8</w:t>
            </w:r>
          </w:p>
        </w:tc>
        <w:tc>
          <w:tcPr>
            <w:tcW w:w="468" w:type="dxa"/>
            <w:vMerge w:val="continue"/>
            <w:shd w:val="clear" w:color="auto" w:fill="FFFFFF"/>
            <w:vAlign w:val="center"/>
          </w:tcPr>
          <w:p w14:paraId="00432F8F">
            <w:pPr>
              <w:jc w:val="center"/>
              <w:rPr>
                <w:rFonts w:hint="default" w:ascii="Arial" w:hAnsi="Arial" w:eastAsia="宋体" w:cs="Arial"/>
                <w:szCs w:val="21"/>
              </w:rPr>
            </w:pPr>
          </w:p>
        </w:tc>
        <w:tc>
          <w:tcPr>
            <w:tcW w:w="1898" w:type="dxa"/>
            <w:shd w:val="clear" w:color="auto" w:fill="FFFFFF"/>
            <w:vAlign w:val="center"/>
          </w:tcPr>
          <w:p w14:paraId="02F65F26">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污水设施水泵</w:t>
            </w:r>
          </w:p>
        </w:tc>
        <w:tc>
          <w:tcPr>
            <w:tcW w:w="470" w:type="dxa"/>
            <w:shd w:val="clear" w:color="auto" w:fill="FFFFFF"/>
            <w:vAlign w:val="center"/>
          </w:tcPr>
          <w:p w14:paraId="572AEBCB">
            <w:pPr>
              <w:jc w:val="center"/>
              <w:rPr>
                <w:rFonts w:hint="default" w:ascii="Arial" w:hAnsi="Arial" w:eastAsia="宋体" w:cs="Arial"/>
                <w:szCs w:val="21"/>
                <w:lang w:val="en-US" w:eastAsia="zh-CN"/>
              </w:rPr>
            </w:pPr>
            <w:r>
              <w:rPr>
                <w:rFonts w:hint="default" w:ascii="Arial" w:hAnsi="Arial" w:eastAsia="宋体" w:cs="Arial"/>
                <w:szCs w:val="21"/>
                <w:lang w:val="en-US" w:eastAsia="zh-CN"/>
              </w:rPr>
              <w:t>1</w:t>
            </w:r>
          </w:p>
        </w:tc>
        <w:tc>
          <w:tcPr>
            <w:tcW w:w="1438" w:type="dxa"/>
            <w:shd w:val="clear" w:color="auto" w:fill="FFFFFF"/>
            <w:vAlign w:val="center"/>
          </w:tcPr>
          <w:p w14:paraId="34096134">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78FB6A66">
            <w:pPr>
              <w:jc w:val="center"/>
              <w:rPr>
                <w:rFonts w:hint="default" w:ascii="Arial" w:hAnsi="Arial" w:eastAsia="宋体" w:cs="Arial"/>
                <w:kern w:val="2"/>
                <w:sz w:val="21"/>
                <w:szCs w:val="21"/>
                <w:lang w:val="en-US" w:eastAsia="zh-CN" w:bidi="ar-SA"/>
              </w:rPr>
            </w:pPr>
            <w:r>
              <w:rPr>
                <w:rFonts w:hint="default" w:ascii="Arial" w:hAnsi="Arial" w:eastAsia="宋体" w:cs="Arial"/>
                <w:szCs w:val="21"/>
              </w:rPr>
              <w:t>-</w:t>
            </w:r>
          </w:p>
        </w:tc>
        <w:tc>
          <w:tcPr>
            <w:tcW w:w="826" w:type="dxa"/>
            <w:shd w:val="clear" w:color="auto" w:fill="FFFFFF"/>
            <w:vAlign w:val="center"/>
          </w:tcPr>
          <w:p w14:paraId="1A27F2E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45</w:t>
            </w:r>
          </w:p>
        </w:tc>
        <w:tc>
          <w:tcPr>
            <w:tcW w:w="766" w:type="dxa"/>
            <w:shd w:val="clear" w:color="auto" w:fill="FFFFFF"/>
            <w:vAlign w:val="center"/>
          </w:tcPr>
          <w:p w14:paraId="0113084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10.5</w:t>
            </w:r>
          </w:p>
        </w:tc>
        <w:tc>
          <w:tcPr>
            <w:tcW w:w="438" w:type="dxa"/>
            <w:shd w:val="clear" w:color="auto" w:fill="FFFFFF"/>
            <w:vAlign w:val="center"/>
          </w:tcPr>
          <w:p w14:paraId="60F70211">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p>
        </w:tc>
        <w:tc>
          <w:tcPr>
            <w:tcW w:w="1225" w:type="dxa"/>
            <w:shd w:val="clear" w:color="auto" w:fill="FFFFFF"/>
            <w:vAlign w:val="center"/>
          </w:tcPr>
          <w:p w14:paraId="3FA7626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7.2~45.7</w:t>
            </w:r>
          </w:p>
        </w:tc>
        <w:tc>
          <w:tcPr>
            <w:tcW w:w="1173" w:type="dxa"/>
            <w:shd w:val="clear" w:color="auto" w:fill="FFFFFF"/>
            <w:vAlign w:val="center"/>
          </w:tcPr>
          <w:p w14:paraId="429727E0">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74.6~74.8</w:t>
            </w:r>
          </w:p>
        </w:tc>
        <w:tc>
          <w:tcPr>
            <w:tcW w:w="1164" w:type="dxa"/>
            <w:shd w:val="clear" w:color="auto" w:fill="FFFFFF"/>
            <w:vAlign w:val="center"/>
          </w:tcPr>
          <w:p w14:paraId="2CCF71A9">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昼夜</w:t>
            </w:r>
          </w:p>
        </w:tc>
        <w:tc>
          <w:tcPr>
            <w:tcW w:w="734" w:type="dxa"/>
            <w:shd w:val="clear" w:color="auto" w:fill="FFFFFF"/>
            <w:vAlign w:val="center"/>
          </w:tcPr>
          <w:p w14:paraId="340C98A7">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07BBBCC9">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58.6~58.8</w:t>
            </w:r>
          </w:p>
        </w:tc>
        <w:tc>
          <w:tcPr>
            <w:tcW w:w="692" w:type="dxa"/>
            <w:shd w:val="clear" w:color="auto" w:fill="FFFFFF"/>
            <w:vAlign w:val="center"/>
          </w:tcPr>
          <w:p w14:paraId="24FF4FFB">
            <w:pPr>
              <w:jc w:val="center"/>
              <w:rPr>
                <w:rFonts w:hint="default" w:ascii="Arial" w:hAnsi="Arial" w:eastAsia="宋体" w:cs="Arial"/>
                <w:kern w:val="2"/>
                <w:sz w:val="21"/>
                <w:szCs w:val="21"/>
                <w:lang w:val="en-US" w:eastAsia="zh-CN" w:bidi="ar-SA"/>
              </w:rPr>
            </w:pPr>
            <w:r>
              <w:rPr>
                <w:rFonts w:hint="default" w:ascii="Arial" w:hAnsi="Arial" w:eastAsia="宋体" w:cs="Arial"/>
                <w:szCs w:val="21"/>
              </w:rPr>
              <w:t>1</w:t>
            </w:r>
          </w:p>
        </w:tc>
      </w:tr>
      <w:tr w14:paraId="6C7D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24A516D2">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9</w:t>
            </w:r>
          </w:p>
        </w:tc>
        <w:tc>
          <w:tcPr>
            <w:tcW w:w="468" w:type="dxa"/>
            <w:vMerge w:val="continue"/>
            <w:shd w:val="clear" w:color="auto" w:fill="FFFFFF"/>
            <w:vAlign w:val="center"/>
          </w:tcPr>
          <w:p w14:paraId="6DA08DF9">
            <w:pPr>
              <w:jc w:val="center"/>
              <w:rPr>
                <w:rFonts w:hint="default" w:ascii="Arial" w:hAnsi="Arial" w:eastAsia="宋体" w:cs="Arial"/>
                <w:szCs w:val="21"/>
              </w:rPr>
            </w:pPr>
          </w:p>
        </w:tc>
        <w:tc>
          <w:tcPr>
            <w:tcW w:w="1898" w:type="dxa"/>
            <w:shd w:val="clear" w:color="auto" w:fill="FFFFFF"/>
            <w:vAlign w:val="center"/>
          </w:tcPr>
          <w:p w14:paraId="48B2D092">
            <w:pPr>
              <w:jc w:val="center"/>
              <w:rPr>
                <w:rFonts w:hint="default" w:ascii="Arial" w:hAnsi="Arial" w:eastAsia="宋体" w:cs="Arial"/>
                <w:szCs w:val="21"/>
                <w:lang w:val="en-US" w:eastAsia="zh-CN"/>
              </w:rPr>
            </w:pPr>
            <w:r>
              <w:rPr>
                <w:rFonts w:hint="default" w:ascii="Arial" w:hAnsi="Arial" w:eastAsia="宋体" w:cs="Arial"/>
                <w:szCs w:val="21"/>
                <w:lang w:val="en-US" w:eastAsia="zh-CN"/>
              </w:rPr>
              <w:t>刀塔车床</w:t>
            </w:r>
          </w:p>
        </w:tc>
        <w:tc>
          <w:tcPr>
            <w:tcW w:w="470" w:type="dxa"/>
            <w:shd w:val="clear" w:color="auto" w:fill="FFFFFF"/>
            <w:vAlign w:val="center"/>
          </w:tcPr>
          <w:p w14:paraId="4073F174">
            <w:pPr>
              <w:jc w:val="center"/>
              <w:rPr>
                <w:rFonts w:hint="default" w:ascii="Arial" w:hAnsi="Arial" w:eastAsia="宋体" w:cs="Arial"/>
                <w:szCs w:val="21"/>
                <w:lang w:val="en-US" w:eastAsia="zh-CN"/>
              </w:rPr>
            </w:pPr>
            <w:r>
              <w:rPr>
                <w:rFonts w:hint="default" w:ascii="Arial" w:hAnsi="Arial" w:eastAsia="宋体" w:cs="Arial"/>
                <w:szCs w:val="21"/>
                <w:lang w:val="en-US" w:eastAsia="zh-CN"/>
              </w:rPr>
              <w:t>13</w:t>
            </w:r>
          </w:p>
        </w:tc>
        <w:tc>
          <w:tcPr>
            <w:tcW w:w="1438" w:type="dxa"/>
            <w:shd w:val="clear" w:color="auto" w:fill="FFFFFF"/>
            <w:vAlign w:val="center"/>
          </w:tcPr>
          <w:p w14:paraId="6622195A">
            <w:pPr>
              <w:jc w:val="center"/>
              <w:rPr>
                <w:rFonts w:hint="default" w:ascii="Arial" w:hAnsi="Arial" w:eastAsia="宋体" w:cs="Arial"/>
                <w:szCs w:val="21"/>
                <w:lang w:val="en-US" w:eastAsia="zh-CN"/>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78E42C0A">
            <w:pPr>
              <w:jc w:val="center"/>
              <w:rPr>
                <w:rFonts w:hint="default" w:ascii="Arial" w:hAnsi="Arial" w:eastAsia="宋体" w:cs="Arial"/>
                <w:szCs w:val="21"/>
                <w:lang w:val="en-US" w:eastAsia="zh-CN"/>
              </w:rPr>
            </w:pPr>
            <w:r>
              <w:rPr>
                <w:rFonts w:hint="default" w:ascii="Arial" w:hAnsi="Arial" w:eastAsia="宋体" w:cs="Arial"/>
                <w:szCs w:val="21"/>
                <w:lang w:val="en-US" w:eastAsia="zh-CN"/>
              </w:rPr>
              <w:t>-</w:t>
            </w:r>
          </w:p>
        </w:tc>
        <w:tc>
          <w:tcPr>
            <w:tcW w:w="826" w:type="dxa"/>
            <w:shd w:val="clear" w:color="auto" w:fill="FFFFFF"/>
            <w:vAlign w:val="center"/>
          </w:tcPr>
          <w:p w14:paraId="6F31EDE1">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142.1</w:t>
            </w:r>
          </w:p>
        </w:tc>
        <w:tc>
          <w:tcPr>
            <w:tcW w:w="766" w:type="dxa"/>
            <w:shd w:val="clear" w:color="auto" w:fill="FFFFFF"/>
            <w:vAlign w:val="center"/>
          </w:tcPr>
          <w:p w14:paraId="5A3D3722">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74.5</w:t>
            </w:r>
          </w:p>
        </w:tc>
        <w:tc>
          <w:tcPr>
            <w:tcW w:w="438" w:type="dxa"/>
            <w:shd w:val="clear" w:color="auto" w:fill="FFFFFF"/>
            <w:vAlign w:val="center"/>
          </w:tcPr>
          <w:p w14:paraId="3C575B88">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5F89CE37">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1.6~89.1</w:t>
            </w:r>
          </w:p>
        </w:tc>
        <w:tc>
          <w:tcPr>
            <w:tcW w:w="1173" w:type="dxa"/>
            <w:shd w:val="clear" w:color="auto" w:fill="FFFFFF"/>
            <w:vAlign w:val="center"/>
          </w:tcPr>
          <w:p w14:paraId="138B2D3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74.4~75.7</w:t>
            </w:r>
          </w:p>
        </w:tc>
        <w:tc>
          <w:tcPr>
            <w:tcW w:w="1164" w:type="dxa"/>
            <w:shd w:val="clear" w:color="auto" w:fill="FFFFFF"/>
            <w:vAlign w:val="center"/>
          </w:tcPr>
          <w:p w14:paraId="5490B25C">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700ABA4A">
            <w:pPr>
              <w:jc w:val="center"/>
              <w:rPr>
                <w:rFonts w:hint="default" w:ascii="Arial" w:hAnsi="Arial" w:eastAsia="宋体" w:cs="Arial"/>
                <w:szCs w:val="21"/>
                <w:lang w:val="en-US" w:eastAsia="zh-CN"/>
              </w:rPr>
            </w:pPr>
            <w:r>
              <w:rPr>
                <w:rFonts w:hint="default" w:ascii="Arial" w:hAnsi="Arial" w:eastAsia="宋体" w:cs="Arial"/>
                <w:szCs w:val="21"/>
                <w:lang w:val="en-US" w:eastAsia="zh-CN"/>
              </w:rPr>
              <w:t>16</w:t>
            </w:r>
          </w:p>
        </w:tc>
        <w:tc>
          <w:tcPr>
            <w:tcW w:w="1214" w:type="dxa"/>
            <w:shd w:val="clear" w:color="auto" w:fill="FFFFFF"/>
            <w:vAlign w:val="center"/>
          </w:tcPr>
          <w:p w14:paraId="435DB65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58.4~59.7</w:t>
            </w:r>
          </w:p>
        </w:tc>
        <w:tc>
          <w:tcPr>
            <w:tcW w:w="692" w:type="dxa"/>
            <w:shd w:val="clear" w:color="auto" w:fill="FFFFFF"/>
            <w:vAlign w:val="center"/>
          </w:tcPr>
          <w:p w14:paraId="11F576E8">
            <w:pPr>
              <w:jc w:val="center"/>
              <w:rPr>
                <w:rFonts w:hint="default" w:ascii="Arial" w:hAnsi="Arial" w:eastAsia="宋体" w:cs="Arial"/>
                <w:szCs w:val="21"/>
                <w:lang w:val="en-US" w:eastAsia="zh-CN"/>
              </w:rPr>
            </w:pPr>
            <w:r>
              <w:rPr>
                <w:rFonts w:hint="default" w:ascii="Arial" w:hAnsi="Arial" w:eastAsia="宋体" w:cs="Arial"/>
                <w:szCs w:val="21"/>
                <w:lang w:val="en-US" w:eastAsia="zh-CN"/>
              </w:rPr>
              <w:t>1</w:t>
            </w:r>
          </w:p>
        </w:tc>
      </w:tr>
      <w:tr w14:paraId="5A1DF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285EC4AC">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10</w:t>
            </w:r>
          </w:p>
        </w:tc>
        <w:tc>
          <w:tcPr>
            <w:tcW w:w="468" w:type="dxa"/>
            <w:vMerge w:val="continue"/>
            <w:shd w:val="clear" w:color="auto" w:fill="FFFFFF"/>
            <w:vAlign w:val="center"/>
          </w:tcPr>
          <w:p w14:paraId="28E4865E">
            <w:pPr>
              <w:jc w:val="center"/>
              <w:rPr>
                <w:rFonts w:hint="default" w:ascii="Arial" w:hAnsi="Arial" w:eastAsia="宋体" w:cs="Arial"/>
                <w:szCs w:val="21"/>
              </w:rPr>
            </w:pPr>
          </w:p>
        </w:tc>
        <w:tc>
          <w:tcPr>
            <w:tcW w:w="1898" w:type="dxa"/>
            <w:shd w:val="clear" w:color="auto" w:fill="FFFFFF"/>
            <w:vAlign w:val="center"/>
          </w:tcPr>
          <w:p w14:paraId="11DEBB0D">
            <w:pPr>
              <w:jc w:val="center"/>
              <w:rPr>
                <w:rFonts w:hint="default" w:ascii="Arial" w:hAnsi="Arial" w:eastAsia="宋体" w:cs="Arial"/>
                <w:szCs w:val="21"/>
                <w:lang w:val="en-US" w:eastAsia="zh-CN"/>
              </w:rPr>
            </w:pPr>
            <w:r>
              <w:rPr>
                <w:rFonts w:hint="default" w:ascii="Arial" w:hAnsi="Arial" w:eastAsia="宋体" w:cs="Arial"/>
                <w:szCs w:val="21"/>
                <w:lang w:val="en-US" w:eastAsia="zh-CN"/>
              </w:rPr>
              <w:t>搓齿机</w:t>
            </w:r>
          </w:p>
        </w:tc>
        <w:tc>
          <w:tcPr>
            <w:tcW w:w="470" w:type="dxa"/>
            <w:shd w:val="clear" w:color="auto" w:fill="FFFFFF"/>
            <w:vAlign w:val="center"/>
          </w:tcPr>
          <w:p w14:paraId="77DCB3FD">
            <w:pPr>
              <w:jc w:val="center"/>
              <w:rPr>
                <w:rFonts w:hint="default" w:ascii="Arial" w:hAnsi="Arial" w:eastAsia="宋体" w:cs="Arial"/>
                <w:szCs w:val="21"/>
                <w:lang w:val="en-US" w:eastAsia="zh-CN"/>
              </w:rPr>
            </w:pPr>
            <w:r>
              <w:rPr>
                <w:rFonts w:hint="default" w:ascii="Arial" w:hAnsi="Arial" w:eastAsia="宋体" w:cs="Arial"/>
                <w:szCs w:val="21"/>
                <w:lang w:val="en-US" w:eastAsia="zh-CN"/>
              </w:rPr>
              <w:t>44</w:t>
            </w:r>
          </w:p>
        </w:tc>
        <w:tc>
          <w:tcPr>
            <w:tcW w:w="1438" w:type="dxa"/>
            <w:shd w:val="clear" w:color="auto" w:fill="FFFFFF"/>
            <w:vAlign w:val="center"/>
          </w:tcPr>
          <w:p w14:paraId="098BC6F9">
            <w:pPr>
              <w:jc w:val="center"/>
              <w:rPr>
                <w:rFonts w:hint="default" w:ascii="Arial" w:hAnsi="Arial" w:eastAsia="宋体" w:cs="Arial"/>
                <w:szCs w:val="21"/>
                <w:lang w:val="en-US" w:eastAsia="zh-CN"/>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6CD7D6D1">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37FC7C4A">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78.3</w:t>
            </w:r>
          </w:p>
        </w:tc>
        <w:tc>
          <w:tcPr>
            <w:tcW w:w="766" w:type="dxa"/>
            <w:shd w:val="clear" w:color="auto" w:fill="FFFFFF"/>
            <w:vAlign w:val="center"/>
          </w:tcPr>
          <w:p w14:paraId="52C2B39A">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98.0</w:t>
            </w:r>
          </w:p>
        </w:tc>
        <w:tc>
          <w:tcPr>
            <w:tcW w:w="438" w:type="dxa"/>
            <w:shd w:val="clear" w:color="auto" w:fill="FFFFFF"/>
            <w:vAlign w:val="center"/>
          </w:tcPr>
          <w:p w14:paraId="4502ECE7">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28BD250C">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3.1~89.1</w:t>
            </w:r>
          </w:p>
        </w:tc>
        <w:tc>
          <w:tcPr>
            <w:tcW w:w="1173" w:type="dxa"/>
            <w:shd w:val="clear" w:color="auto" w:fill="FFFFFF"/>
            <w:vAlign w:val="center"/>
          </w:tcPr>
          <w:p w14:paraId="3C602D2E">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74.4~74.8</w:t>
            </w:r>
          </w:p>
        </w:tc>
        <w:tc>
          <w:tcPr>
            <w:tcW w:w="1164" w:type="dxa"/>
            <w:shd w:val="clear" w:color="auto" w:fill="FFFFFF"/>
            <w:vAlign w:val="center"/>
          </w:tcPr>
          <w:p w14:paraId="18D869F9">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512E94BE">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3589B88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58.4~58.8</w:t>
            </w:r>
          </w:p>
        </w:tc>
        <w:tc>
          <w:tcPr>
            <w:tcW w:w="692" w:type="dxa"/>
            <w:shd w:val="clear" w:color="auto" w:fill="FFFFFF"/>
            <w:vAlign w:val="center"/>
          </w:tcPr>
          <w:p w14:paraId="045445D1">
            <w:pPr>
              <w:jc w:val="center"/>
              <w:rPr>
                <w:rFonts w:hint="default" w:ascii="Arial" w:hAnsi="Arial" w:eastAsia="宋体" w:cs="Arial"/>
                <w:szCs w:val="21"/>
              </w:rPr>
            </w:pPr>
            <w:r>
              <w:rPr>
                <w:rFonts w:hint="default" w:ascii="Arial" w:hAnsi="Arial" w:eastAsia="宋体" w:cs="Arial"/>
                <w:szCs w:val="21"/>
              </w:rPr>
              <w:t>1</w:t>
            </w:r>
          </w:p>
        </w:tc>
      </w:tr>
      <w:tr w14:paraId="7B01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103A4FBB">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11</w:t>
            </w:r>
          </w:p>
        </w:tc>
        <w:tc>
          <w:tcPr>
            <w:tcW w:w="468" w:type="dxa"/>
            <w:vMerge w:val="continue"/>
            <w:shd w:val="clear" w:color="auto" w:fill="FFFFFF"/>
            <w:vAlign w:val="center"/>
          </w:tcPr>
          <w:p w14:paraId="2B8B213B">
            <w:pPr>
              <w:jc w:val="center"/>
              <w:rPr>
                <w:rFonts w:hint="default" w:ascii="Arial" w:hAnsi="Arial" w:eastAsia="宋体" w:cs="Arial"/>
                <w:szCs w:val="21"/>
              </w:rPr>
            </w:pPr>
          </w:p>
        </w:tc>
        <w:tc>
          <w:tcPr>
            <w:tcW w:w="1898" w:type="dxa"/>
            <w:shd w:val="clear" w:color="auto" w:fill="FFFFFF"/>
            <w:vAlign w:val="center"/>
          </w:tcPr>
          <w:p w14:paraId="076AC409">
            <w:pPr>
              <w:jc w:val="center"/>
              <w:rPr>
                <w:rFonts w:hint="default" w:ascii="Arial" w:hAnsi="Arial" w:eastAsia="宋体" w:cs="Arial"/>
                <w:szCs w:val="21"/>
                <w:lang w:val="en-US" w:eastAsia="zh-CN"/>
              </w:rPr>
            </w:pPr>
            <w:r>
              <w:rPr>
                <w:rFonts w:hint="default" w:ascii="Arial" w:hAnsi="Arial" w:eastAsia="宋体" w:cs="Arial"/>
                <w:szCs w:val="21"/>
                <w:lang w:val="en-US" w:eastAsia="zh-CN"/>
              </w:rPr>
              <w:t>滚齿机</w:t>
            </w:r>
          </w:p>
        </w:tc>
        <w:tc>
          <w:tcPr>
            <w:tcW w:w="470" w:type="dxa"/>
            <w:shd w:val="clear" w:color="auto" w:fill="FFFFFF"/>
            <w:vAlign w:val="center"/>
          </w:tcPr>
          <w:p w14:paraId="6B85FBA1">
            <w:pPr>
              <w:jc w:val="center"/>
              <w:rPr>
                <w:rFonts w:hint="default" w:ascii="Arial" w:hAnsi="Arial" w:eastAsia="宋体" w:cs="Arial"/>
                <w:szCs w:val="21"/>
                <w:lang w:val="en-US" w:eastAsia="zh-CN"/>
              </w:rPr>
            </w:pPr>
            <w:r>
              <w:rPr>
                <w:rFonts w:hint="default" w:ascii="Arial" w:hAnsi="Arial" w:eastAsia="宋体" w:cs="Arial"/>
                <w:szCs w:val="21"/>
                <w:lang w:val="en-US" w:eastAsia="zh-CN"/>
              </w:rPr>
              <w:t>15</w:t>
            </w:r>
          </w:p>
        </w:tc>
        <w:tc>
          <w:tcPr>
            <w:tcW w:w="1438" w:type="dxa"/>
            <w:shd w:val="clear" w:color="auto" w:fill="FFFFFF"/>
            <w:vAlign w:val="center"/>
          </w:tcPr>
          <w:p w14:paraId="394AC366">
            <w:pPr>
              <w:jc w:val="center"/>
              <w:rPr>
                <w:rFonts w:hint="default" w:ascii="Arial" w:hAnsi="Arial" w:eastAsia="宋体" w:cs="Arial"/>
                <w:szCs w:val="21"/>
                <w:lang w:val="en-US" w:eastAsia="zh-CN"/>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6D29BC00">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77BA1768">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88.3</w:t>
            </w:r>
          </w:p>
        </w:tc>
        <w:tc>
          <w:tcPr>
            <w:tcW w:w="766" w:type="dxa"/>
            <w:shd w:val="clear" w:color="auto" w:fill="FFFFFF"/>
            <w:vAlign w:val="center"/>
          </w:tcPr>
          <w:p w14:paraId="4B62F1F6">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50.8</w:t>
            </w:r>
          </w:p>
        </w:tc>
        <w:tc>
          <w:tcPr>
            <w:tcW w:w="438" w:type="dxa"/>
            <w:shd w:val="clear" w:color="auto" w:fill="FFFFFF"/>
            <w:vAlign w:val="center"/>
          </w:tcPr>
          <w:p w14:paraId="3280BCEA">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35E3C6D5">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2.5~89.1</w:t>
            </w:r>
          </w:p>
        </w:tc>
        <w:tc>
          <w:tcPr>
            <w:tcW w:w="1173" w:type="dxa"/>
            <w:shd w:val="clear" w:color="auto" w:fill="FFFFFF"/>
            <w:vAlign w:val="center"/>
          </w:tcPr>
          <w:p w14:paraId="7E56AF10">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74.4~75.0</w:t>
            </w:r>
          </w:p>
        </w:tc>
        <w:tc>
          <w:tcPr>
            <w:tcW w:w="1164" w:type="dxa"/>
            <w:shd w:val="clear" w:color="auto" w:fill="FFFFFF"/>
            <w:vAlign w:val="center"/>
          </w:tcPr>
          <w:p w14:paraId="252C2A98">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676E9FDA">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6C2CD270">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58.4~59.0</w:t>
            </w:r>
          </w:p>
        </w:tc>
        <w:tc>
          <w:tcPr>
            <w:tcW w:w="692" w:type="dxa"/>
            <w:shd w:val="clear" w:color="auto" w:fill="FFFFFF"/>
            <w:vAlign w:val="center"/>
          </w:tcPr>
          <w:p w14:paraId="0B3DB190">
            <w:pPr>
              <w:jc w:val="center"/>
              <w:rPr>
                <w:rFonts w:hint="default" w:ascii="Arial" w:hAnsi="Arial" w:eastAsia="宋体" w:cs="Arial"/>
                <w:szCs w:val="21"/>
              </w:rPr>
            </w:pPr>
            <w:r>
              <w:rPr>
                <w:rFonts w:hint="default" w:ascii="Arial" w:hAnsi="Arial" w:eastAsia="宋体" w:cs="Arial"/>
                <w:szCs w:val="21"/>
              </w:rPr>
              <w:t>1</w:t>
            </w:r>
          </w:p>
        </w:tc>
      </w:tr>
      <w:tr w14:paraId="3980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3516F406">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12</w:t>
            </w:r>
          </w:p>
        </w:tc>
        <w:tc>
          <w:tcPr>
            <w:tcW w:w="468" w:type="dxa"/>
            <w:vMerge w:val="continue"/>
            <w:shd w:val="clear" w:color="auto" w:fill="FFFFFF"/>
            <w:vAlign w:val="center"/>
          </w:tcPr>
          <w:p w14:paraId="0D966828">
            <w:pPr>
              <w:jc w:val="center"/>
              <w:rPr>
                <w:rFonts w:hint="default" w:ascii="Arial" w:hAnsi="Arial" w:eastAsia="宋体" w:cs="Arial"/>
                <w:szCs w:val="21"/>
              </w:rPr>
            </w:pPr>
          </w:p>
        </w:tc>
        <w:tc>
          <w:tcPr>
            <w:tcW w:w="1898" w:type="dxa"/>
            <w:shd w:val="clear" w:color="auto" w:fill="FFFFFF"/>
            <w:vAlign w:val="center"/>
          </w:tcPr>
          <w:p w14:paraId="15C2FA75">
            <w:pPr>
              <w:jc w:val="center"/>
              <w:rPr>
                <w:rFonts w:hint="default" w:ascii="Arial" w:hAnsi="Arial" w:eastAsia="宋体" w:cs="Arial"/>
                <w:szCs w:val="21"/>
                <w:lang w:val="en-US" w:eastAsia="zh-CN"/>
              </w:rPr>
            </w:pPr>
            <w:r>
              <w:rPr>
                <w:rFonts w:hint="default" w:ascii="Arial" w:hAnsi="Arial" w:eastAsia="宋体" w:cs="Arial"/>
                <w:szCs w:val="21"/>
                <w:lang w:val="en-US" w:eastAsia="zh-CN"/>
              </w:rPr>
              <w:t>车铣复合机床</w:t>
            </w:r>
          </w:p>
        </w:tc>
        <w:tc>
          <w:tcPr>
            <w:tcW w:w="470" w:type="dxa"/>
            <w:shd w:val="clear" w:color="auto" w:fill="FFFFFF"/>
            <w:vAlign w:val="center"/>
          </w:tcPr>
          <w:p w14:paraId="56CB7204">
            <w:pPr>
              <w:jc w:val="center"/>
              <w:rPr>
                <w:rFonts w:hint="default" w:ascii="Arial" w:hAnsi="Arial" w:eastAsia="宋体" w:cs="Arial"/>
                <w:szCs w:val="21"/>
                <w:lang w:val="en-US" w:eastAsia="zh-CN"/>
              </w:rPr>
            </w:pPr>
            <w:r>
              <w:rPr>
                <w:rFonts w:hint="default" w:ascii="Arial" w:hAnsi="Arial" w:eastAsia="宋体" w:cs="Arial"/>
                <w:szCs w:val="21"/>
                <w:lang w:val="en-US" w:eastAsia="zh-CN"/>
              </w:rPr>
              <w:t>90</w:t>
            </w:r>
          </w:p>
        </w:tc>
        <w:tc>
          <w:tcPr>
            <w:tcW w:w="1438" w:type="dxa"/>
            <w:shd w:val="clear" w:color="auto" w:fill="FFFFFF"/>
            <w:vAlign w:val="center"/>
          </w:tcPr>
          <w:p w14:paraId="06650E7C">
            <w:pPr>
              <w:jc w:val="center"/>
              <w:rPr>
                <w:rFonts w:hint="default" w:ascii="Arial" w:hAnsi="Arial" w:eastAsia="宋体" w:cs="Arial"/>
                <w:szCs w:val="21"/>
                <w:lang w:val="en-US" w:eastAsia="zh-CN"/>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19DE4D61">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5D0F3E3C">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144.1</w:t>
            </w:r>
          </w:p>
        </w:tc>
        <w:tc>
          <w:tcPr>
            <w:tcW w:w="766" w:type="dxa"/>
            <w:shd w:val="clear" w:color="auto" w:fill="FFFFFF"/>
            <w:vAlign w:val="center"/>
          </w:tcPr>
          <w:p w14:paraId="7489E41C">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49.9</w:t>
            </w:r>
          </w:p>
        </w:tc>
        <w:tc>
          <w:tcPr>
            <w:tcW w:w="438" w:type="dxa"/>
            <w:shd w:val="clear" w:color="auto" w:fill="FFFFFF"/>
            <w:vAlign w:val="center"/>
          </w:tcPr>
          <w:p w14:paraId="3B709213">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118E9A5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2.1~89.1</w:t>
            </w:r>
          </w:p>
        </w:tc>
        <w:tc>
          <w:tcPr>
            <w:tcW w:w="1173" w:type="dxa"/>
            <w:shd w:val="clear" w:color="auto" w:fill="FFFFFF"/>
            <w:vAlign w:val="center"/>
          </w:tcPr>
          <w:p w14:paraId="0FBA3081">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74.4~75.2</w:t>
            </w:r>
          </w:p>
        </w:tc>
        <w:tc>
          <w:tcPr>
            <w:tcW w:w="1164" w:type="dxa"/>
            <w:shd w:val="clear" w:color="auto" w:fill="FFFFFF"/>
            <w:vAlign w:val="center"/>
          </w:tcPr>
          <w:p w14:paraId="46130436">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1AE2CDBF">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0EE9F7E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58.4~59.2</w:t>
            </w:r>
          </w:p>
        </w:tc>
        <w:tc>
          <w:tcPr>
            <w:tcW w:w="692" w:type="dxa"/>
            <w:shd w:val="clear" w:color="auto" w:fill="FFFFFF"/>
            <w:vAlign w:val="center"/>
          </w:tcPr>
          <w:p w14:paraId="0979CD53">
            <w:pPr>
              <w:jc w:val="center"/>
              <w:rPr>
                <w:rFonts w:hint="default" w:ascii="Arial" w:hAnsi="Arial" w:eastAsia="宋体" w:cs="Arial"/>
                <w:szCs w:val="21"/>
              </w:rPr>
            </w:pPr>
            <w:r>
              <w:rPr>
                <w:rFonts w:hint="default" w:ascii="Arial" w:hAnsi="Arial" w:eastAsia="宋体" w:cs="Arial"/>
                <w:szCs w:val="21"/>
              </w:rPr>
              <w:t>1</w:t>
            </w:r>
          </w:p>
        </w:tc>
      </w:tr>
      <w:tr w14:paraId="6A79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428CC5AC">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13</w:t>
            </w:r>
          </w:p>
        </w:tc>
        <w:tc>
          <w:tcPr>
            <w:tcW w:w="468" w:type="dxa"/>
            <w:vMerge w:val="continue"/>
            <w:shd w:val="clear" w:color="auto" w:fill="FFFFFF"/>
            <w:vAlign w:val="center"/>
          </w:tcPr>
          <w:p w14:paraId="590DF5DA">
            <w:pPr>
              <w:jc w:val="center"/>
              <w:rPr>
                <w:rFonts w:hint="default" w:ascii="Arial" w:hAnsi="Arial" w:eastAsia="宋体" w:cs="Arial"/>
                <w:szCs w:val="21"/>
              </w:rPr>
            </w:pPr>
          </w:p>
        </w:tc>
        <w:tc>
          <w:tcPr>
            <w:tcW w:w="1898" w:type="dxa"/>
            <w:shd w:val="clear" w:color="auto" w:fill="FFFFFF"/>
            <w:vAlign w:val="center"/>
          </w:tcPr>
          <w:p w14:paraId="4C31C7D9">
            <w:pPr>
              <w:jc w:val="center"/>
              <w:rPr>
                <w:rFonts w:hint="default" w:ascii="Arial" w:hAnsi="Arial" w:eastAsia="宋体" w:cs="Arial"/>
                <w:szCs w:val="21"/>
                <w:lang w:val="en-US" w:eastAsia="zh-CN"/>
              </w:rPr>
            </w:pPr>
            <w:r>
              <w:rPr>
                <w:rFonts w:hint="default" w:ascii="Arial" w:hAnsi="Arial" w:eastAsia="宋体" w:cs="Arial"/>
                <w:i w:val="0"/>
                <w:iCs w:val="0"/>
                <w:color w:val="000000"/>
                <w:kern w:val="0"/>
                <w:sz w:val="20"/>
                <w:szCs w:val="20"/>
                <w:u w:val="none"/>
                <w:lang w:val="en-US" w:eastAsia="zh-CN" w:bidi="ar"/>
              </w:rPr>
              <w:t>六工位转盘式感应淬火回火成套设备</w:t>
            </w:r>
          </w:p>
        </w:tc>
        <w:tc>
          <w:tcPr>
            <w:tcW w:w="470" w:type="dxa"/>
            <w:shd w:val="clear" w:color="auto" w:fill="FFFFFF"/>
            <w:vAlign w:val="center"/>
          </w:tcPr>
          <w:p w14:paraId="09EFDF6A">
            <w:pPr>
              <w:jc w:val="center"/>
              <w:rPr>
                <w:rFonts w:hint="default" w:ascii="Arial" w:hAnsi="Arial" w:eastAsia="宋体" w:cs="Arial"/>
                <w:szCs w:val="21"/>
                <w:lang w:val="en-US" w:eastAsia="zh-CN"/>
              </w:rPr>
            </w:pPr>
            <w:r>
              <w:rPr>
                <w:rFonts w:hint="default" w:ascii="Arial" w:hAnsi="Arial" w:eastAsia="宋体" w:cs="Arial"/>
                <w:szCs w:val="21"/>
                <w:lang w:val="en-US" w:eastAsia="zh-CN"/>
              </w:rPr>
              <w:t>1</w:t>
            </w:r>
          </w:p>
        </w:tc>
        <w:tc>
          <w:tcPr>
            <w:tcW w:w="1438" w:type="dxa"/>
            <w:shd w:val="clear" w:color="auto" w:fill="FFFFFF"/>
            <w:vAlign w:val="center"/>
          </w:tcPr>
          <w:p w14:paraId="13BAB7DB">
            <w:pPr>
              <w:jc w:val="center"/>
              <w:rPr>
                <w:rFonts w:hint="default" w:ascii="Arial" w:hAnsi="Arial" w:eastAsia="宋体" w:cs="Arial"/>
                <w:szCs w:val="21"/>
                <w:lang w:val="en-US" w:eastAsia="zh-CN"/>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3E5535EB">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009E4FC2">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78.3</w:t>
            </w:r>
          </w:p>
        </w:tc>
        <w:tc>
          <w:tcPr>
            <w:tcW w:w="766" w:type="dxa"/>
            <w:shd w:val="clear" w:color="auto" w:fill="FFFFFF"/>
            <w:vAlign w:val="center"/>
          </w:tcPr>
          <w:p w14:paraId="760A613F">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98.0</w:t>
            </w:r>
          </w:p>
        </w:tc>
        <w:tc>
          <w:tcPr>
            <w:tcW w:w="438" w:type="dxa"/>
            <w:shd w:val="clear" w:color="auto" w:fill="FFFFFF"/>
            <w:vAlign w:val="center"/>
          </w:tcPr>
          <w:p w14:paraId="266A7017">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092D4702">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22.9~67.7</w:t>
            </w:r>
          </w:p>
        </w:tc>
        <w:tc>
          <w:tcPr>
            <w:tcW w:w="1173" w:type="dxa"/>
            <w:shd w:val="clear" w:color="auto" w:fill="FFFFFF"/>
            <w:vAlign w:val="center"/>
          </w:tcPr>
          <w:p w14:paraId="1B01F262">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69.4~69.4</w:t>
            </w:r>
          </w:p>
        </w:tc>
        <w:tc>
          <w:tcPr>
            <w:tcW w:w="1164" w:type="dxa"/>
            <w:shd w:val="clear" w:color="auto" w:fill="FFFFFF"/>
            <w:vAlign w:val="center"/>
          </w:tcPr>
          <w:p w14:paraId="7B78BDD3">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09234003">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15BA1B93">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53.4~53.4</w:t>
            </w:r>
          </w:p>
        </w:tc>
        <w:tc>
          <w:tcPr>
            <w:tcW w:w="692" w:type="dxa"/>
            <w:shd w:val="clear" w:color="auto" w:fill="FFFFFF"/>
            <w:vAlign w:val="center"/>
          </w:tcPr>
          <w:p w14:paraId="1F713D19">
            <w:pPr>
              <w:jc w:val="center"/>
              <w:rPr>
                <w:rFonts w:hint="default" w:ascii="Arial" w:hAnsi="Arial" w:eastAsia="宋体" w:cs="Arial"/>
                <w:szCs w:val="21"/>
              </w:rPr>
            </w:pPr>
            <w:r>
              <w:rPr>
                <w:rFonts w:hint="default" w:ascii="Arial" w:hAnsi="Arial" w:eastAsia="宋体" w:cs="Arial"/>
                <w:szCs w:val="21"/>
              </w:rPr>
              <w:t>1</w:t>
            </w:r>
          </w:p>
        </w:tc>
      </w:tr>
      <w:tr w14:paraId="3FD5A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4FC888F4">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14</w:t>
            </w:r>
          </w:p>
        </w:tc>
        <w:tc>
          <w:tcPr>
            <w:tcW w:w="468" w:type="dxa"/>
            <w:vMerge w:val="continue"/>
            <w:shd w:val="clear" w:color="auto" w:fill="FFFFFF"/>
            <w:vAlign w:val="center"/>
          </w:tcPr>
          <w:p w14:paraId="0AB257CE">
            <w:pPr>
              <w:jc w:val="center"/>
              <w:rPr>
                <w:rFonts w:hint="default" w:ascii="Arial" w:hAnsi="Arial" w:eastAsia="宋体" w:cs="Arial"/>
                <w:szCs w:val="21"/>
              </w:rPr>
            </w:pPr>
          </w:p>
        </w:tc>
        <w:tc>
          <w:tcPr>
            <w:tcW w:w="1898" w:type="dxa"/>
            <w:shd w:val="clear" w:color="auto" w:fill="FFFFFF"/>
            <w:vAlign w:val="center"/>
          </w:tcPr>
          <w:p w14:paraId="1B32AA03">
            <w:pPr>
              <w:jc w:val="center"/>
              <w:rPr>
                <w:rFonts w:hint="default" w:ascii="Arial" w:hAnsi="Arial" w:eastAsia="宋体" w:cs="Arial"/>
                <w:szCs w:val="21"/>
                <w:lang w:val="en-US" w:eastAsia="zh-CN"/>
              </w:rPr>
            </w:pPr>
            <w:r>
              <w:rPr>
                <w:rFonts w:hint="default" w:ascii="Arial" w:hAnsi="Arial" w:eastAsia="宋体" w:cs="Arial"/>
                <w:szCs w:val="21"/>
                <w:lang w:val="en-US" w:eastAsia="zh-CN"/>
              </w:rPr>
              <w:t>加工中心</w:t>
            </w:r>
          </w:p>
        </w:tc>
        <w:tc>
          <w:tcPr>
            <w:tcW w:w="470" w:type="dxa"/>
            <w:shd w:val="clear" w:color="auto" w:fill="FFFFFF"/>
            <w:vAlign w:val="center"/>
          </w:tcPr>
          <w:p w14:paraId="2B1C9161">
            <w:pPr>
              <w:jc w:val="center"/>
              <w:rPr>
                <w:rFonts w:hint="default" w:ascii="Arial" w:hAnsi="Arial" w:eastAsia="宋体" w:cs="Arial"/>
                <w:szCs w:val="21"/>
                <w:lang w:val="en-US" w:eastAsia="zh-CN"/>
              </w:rPr>
            </w:pPr>
            <w:r>
              <w:rPr>
                <w:rFonts w:hint="default" w:ascii="Arial" w:hAnsi="Arial" w:eastAsia="宋体" w:cs="Arial"/>
                <w:szCs w:val="21"/>
                <w:lang w:val="en-US" w:eastAsia="zh-CN"/>
              </w:rPr>
              <w:t>10</w:t>
            </w:r>
          </w:p>
        </w:tc>
        <w:tc>
          <w:tcPr>
            <w:tcW w:w="1438" w:type="dxa"/>
            <w:shd w:val="clear" w:color="auto" w:fill="FFFFFF"/>
            <w:vAlign w:val="center"/>
          </w:tcPr>
          <w:p w14:paraId="60BA6E01">
            <w:pPr>
              <w:jc w:val="center"/>
              <w:rPr>
                <w:rFonts w:hint="default" w:ascii="Arial" w:hAnsi="Arial" w:eastAsia="宋体" w:cs="Arial"/>
                <w:szCs w:val="21"/>
                <w:lang w:val="en-US" w:eastAsia="zh-CN"/>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57FA77F9">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3E4C87A7">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131.9</w:t>
            </w:r>
          </w:p>
        </w:tc>
        <w:tc>
          <w:tcPr>
            <w:tcW w:w="766" w:type="dxa"/>
            <w:shd w:val="clear" w:color="auto" w:fill="FFFFFF"/>
            <w:vAlign w:val="center"/>
          </w:tcPr>
          <w:p w14:paraId="6B46E208">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77.7</w:t>
            </w:r>
          </w:p>
        </w:tc>
        <w:tc>
          <w:tcPr>
            <w:tcW w:w="438" w:type="dxa"/>
            <w:shd w:val="clear" w:color="auto" w:fill="FFFFFF"/>
            <w:vAlign w:val="center"/>
          </w:tcPr>
          <w:p w14:paraId="1F3FFBB4">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1FD86EC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4.6~81.6</w:t>
            </w:r>
          </w:p>
        </w:tc>
        <w:tc>
          <w:tcPr>
            <w:tcW w:w="1173" w:type="dxa"/>
            <w:shd w:val="clear" w:color="auto" w:fill="FFFFFF"/>
            <w:vAlign w:val="center"/>
          </w:tcPr>
          <w:p w14:paraId="6955F593">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74.4~74.6</w:t>
            </w:r>
          </w:p>
        </w:tc>
        <w:tc>
          <w:tcPr>
            <w:tcW w:w="1164" w:type="dxa"/>
            <w:shd w:val="clear" w:color="auto" w:fill="FFFFFF"/>
            <w:vAlign w:val="center"/>
          </w:tcPr>
          <w:p w14:paraId="76BF383A">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7CC718CF">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675C3B3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58.4~58.6</w:t>
            </w:r>
          </w:p>
        </w:tc>
        <w:tc>
          <w:tcPr>
            <w:tcW w:w="692" w:type="dxa"/>
            <w:shd w:val="clear" w:color="auto" w:fill="FFFFFF"/>
            <w:vAlign w:val="center"/>
          </w:tcPr>
          <w:p w14:paraId="259518F5">
            <w:pPr>
              <w:jc w:val="center"/>
              <w:rPr>
                <w:rFonts w:hint="default" w:ascii="Arial" w:hAnsi="Arial" w:eastAsia="宋体" w:cs="Arial"/>
                <w:szCs w:val="21"/>
              </w:rPr>
            </w:pPr>
            <w:r>
              <w:rPr>
                <w:rFonts w:hint="default" w:ascii="Arial" w:hAnsi="Arial" w:eastAsia="宋体" w:cs="Arial"/>
                <w:szCs w:val="21"/>
              </w:rPr>
              <w:t>1</w:t>
            </w:r>
          </w:p>
        </w:tc>
      </w:tr>
      <w:tr w14:paraId="0F77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59653B6C">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15</w:t>
            </w:r>
          </w:p>
        </w:tc>
        <w:tc>
          <w:tcPr>
            <w:tcW w:w="468" w:type="dxa"/>
            <w:vMerge w:val="continue"/>
            <w:shd w:val="clear" w:color="auto" w:fill="FFFFFF"/>
            <w:vAlign w:val="center"/>
          </w:tcPr>
          <w:p w14:paraId="0210FA29">
            <w:pPr>
              <w:jc w:val="center"/>
              <w:rPr>
                <w:rFonts w:hint="default" w:ascii="Arial" w:hAnsi="Arial" w:eastAsia="宋体" w:cs="Arial"/>
                <w:szCs w:val="21"/>
              </w:rPr>
            </w:pPr>
          </w:p>
        </w:tc>
        <w:tc>
          <w:tcPr>
            <w:tcW w:w="1898" w:type="dxa"/>
            <w:shd w:val="clear" w:color="auto" w:fill="FFFFFF"/>
            <w:vAlign w:val="center"/>
          </w:tcPr>
          <w:p w14:paraId="4A5FC222">
            <w:pPr>
              <w:jc w:val="center"/>
              <w:rPr>
                <w:rFonts w:hint="default" w:ascii="Arial" w:hAnsi="Arial" w:eastAsia="宋体" w:cs="Arial"/>
                <w:szCs w:val="21"/>
                <w:lang w:val="en-US" w:eastAsia="zh-CN"/>
              </w:rPr>
            </w:pPr>
            <w:r>
              <w:rPr>
                <w:rFonts w:hint="default" w:ascii="Arial" w:hAnsi="Arial" w:eastAsia="宋体" w:cs="Arial"/>
                <w:szCs w:val="21"/>
                <w:lang w:val="en-US" w:eastAsia="zh-CN"/>
              </w:rPr>
              <w:t>深孔钻</w:t>
            </w:r>
          </w:p>
        </w:tc>
        <w:tc>
          <w:tcPr>
            <w:tcW w:w="470" w:type="dxa"/>
            <w:shd w:val="clear" w:color="auto" w:fill="FFFFFF"/>
            <w:vAlign w:val="center"/>
          </w:tcPr>
          <w:p w14:paraId="0CB05DF3">
            <w:pPr>
              <w:jc w:val="center"/>
              <w:rPr>
                <w:rFonts w:hint="default" w:ascii="Arial" w:hAnsi="Arial" w:eastAsia="宋体" w:cs="Arial"/>
                <w:szCs w:val="21"/>
                <w:lang w:val="en-US" w:eastAsia="zh-CN"/>
              </w:rPr>
            </w:pPr>
            <w:r>
              <w:rPr>
                <w:rFonts w:hint="default" w:ascii="Arial" w:hAnsi="Arial" w:eastAsia="宋体" w:cs="Arial"/>
                <w:szCs w:val="21"/>
                <w:lang w:val="en-US" w:eastAsia="zh-CN"/>
              </w:rPr>
              <w:t>15</w:t>
            </w:r>
          </w:p>
        </w:tc>
        <w:tc>
          <w:tcPr>
            <w:tcW w:w="1438" w:type="dxa"/>
            <w:shd w:val="clear" w:color="auto" w:fill="FFFFFF"/>
            <w:vAlign w:val="center"/>
          </w:tcPr>
          <w:p w14:paraId="0D4FF9C0">
            <w:pPr>
              <w:jc w:val="center"/>
              <w:rPr>
                <w:rFonts w:hint="default" w:ascii="Arial" w:hAnsi="Arial" w:eastAsia="宋体" w:cs="Arial"/>
                <w:szCs w:val="21"/>
                <w:lang w:val="en-US" w:eastAsia="zh-CN"/>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51F149A8">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3DFE3AE3">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165.5</w:t>
            </w:r>
          </w:p>
        </w:tc>
        <w:tc>
          <w:tcPr>
            <w:tcW w:w="766" w:type="dxa"/>
            <w:shd w:val="clear" w:color="auto" w:fill="FFFFFF"/>
            <w:vAlign w:val="center"/>
          </w:tcPr>
          <w:p w14:paraId="638C0CBE">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80.4</w:t>
            </w:r>
          </w:p>
        </w:tc>
        <w:tc>
          <w:tcPr>
            <w:tcW w:w="438" w:type="dxa"/>
            <w:shd w:val="clear" w:color="auto" w:fill="FFFFFF"/>
            <w:vAlign w:val="center"/>
          </w:tcPr>
          <w:p w14:paraId="28B99E6A">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08BDC79A">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4.1~89.1</w:t>
            </w:r>
          </w:p>
        </w:tc>
        <w:tc>
          <w:tcPr>
            <w:tcW w:w="1173" w:type="dxa"/>
            <w:shd w:val="clear" w:color="auto" w:fill="FFFFFF"/>
            <w:vAlign w:val="center"/>
          </w:tcPr>
          <w:p w14:paraId="12CBDFF1">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74.4~74.7</w:t>
            </w:r>
          </w:p>
        </w:tc>
        <w:tc>
          <w:tcPr>
            <w:tcW w:w="1164" w:type="dxa"/>
            <w:shd w:val="clear" w:color="auto" w:fill="FFFFFF"/>
            <w:vAlign w:val="center"/>
          </w:tcPr>
          <w:p w14:paraId="5E299A92">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3ECE2620">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4C6BD3B9">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58.4~58.7</w:t>
            </w:r>
          </w:p>
        </w:tc>
        <w:tc>
          <w:tcPr>
            <w:tcW w:w="692" w:type="dxa"/>
            <w:shd w:val="clear" w:color="auto" w:fill="FFFFFF"/>
            <w:vAlign w:val="center"/>
          </w:tcPr>
          <w:p w14:paraId="12D715C4">
            <w:pPr>
              <w:jc w:val="center"/>
              <w:rPr>
                <w:rFonts w:hint="default" w:ascii="Arial" w:hAnsi="Arial" w:eastAsia="宋体" w:cs="Arial"/>
                <w:szCs w:val="21"/>
              </w:rPr>
            </w:pPr>
            <w:r>
              <w:rPr>
                <w:rFonts w:hint="default" w:ascii="Arial" w:hAnsi="Arial" w:eastAsia="宋体" w:cs="Arial"/>
                <w:szCs w:val="21"/>
              </w:rPr>
              <w:t>1</w:t>
            </w:r>
          </w:p>
        </w:tc>
      </w:tr>
      <w:tr w14:paraId="59F6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49F45059">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16</w:t>
            </w:r>
          </w:p>
        </w:tc>
        <w:tc>
          <w:tcPr>
            <w:tcW w:w="468" w:type="dxa"/>
            <w:vMerge w:val="continue"/>
            <w:shd w:val="clear" w:color="auto" w:fill="FFFFFF"/>
            <w:vAlign w:val="center"/>
          </w:tcPr>
          <w:p w14:paraId="5A1D0F77">
            <w:pPr>
              <w:jc w:val="center"/>
              <w:rPr>
                <w:rFonts w:hint="default" w:ascii="Arial" w:hAnsi="Arial" w:eastAsia="宋体" w:cs="Arial"/>
                <w:szCs w:val="21"/>
              </w:rPr>
            </w:pPr>
          </w:p>
        </w:tc>
        <w:tc>
          <w:tcPr>
            <w:tcW w:w="1898" w:type="dxa"/>
            <w:shd w:val="clear" w:color="auto" w:fill="FFFFFF"/>
            <w:vAlign w:val="center"/>
          </w:tcPr>
          <w:p w14:paraId="5744B7A3">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数控车床</w:t>
            </w:r>
          </w:p>
        </w:tc>
        <w:tc>
          <w:tcPr>
            <w:tcW w:w="470" w:type="dxa"/>
            <w:shd w:val="clear" w:color="auto" w:fill="FFFFFF"/>
            <w:vAlign w:val="center"/>
          </w:tcPr>
          <w:p w14:paraId="533ABCF9">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58</w:t>
            </w:r>
          </w:p>
        </w:tc>
        <w:tc>
          <w:tcPr>
            <w:tcW w:w="1438" w:type="dxa"/>
            <w:shd w:val="clear" w:color="auto" w:fill="FFFFFF"/>
            <w:vAlign w:val="center"/>
          </w:tcPr>
          <w:p w14:paraId="46A3121B">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85</w:t>
            </w:r>
            <w:r>
              <w:rPr>
                <w:rFonts w:hint="default" w:ascii="Arial" w:hAnsi="Arial" w:eastAsia="宋体" w:cs="Arial"/>
                <w:color w:val="000000" w:themeColor="text1"/>
                <w:szCs w:val="21"/>
                <w14:textFill>
                  <w14:solidFill>
                    <w14:schemeClr w14:val="tx1"/>
                  </w14:solidFill>
                </w14:textFill>
              </w:rPr>
              <w:t>/1</w:t>
            </w:r>
          </w:p>
        </w:tc>
        <w:tc>
          <w:tcPr>
            <w:tcW w:w="613" w:type="dxa"/>
            <w:shd w:val="clear" w:color="auto" w:fill="FFFFFF"/>
            <w:vAlign w:val="center"/>
          </w:tcPr>
          <w:p w14:paraId="3DEE9932">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0B7ACEA3">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135.3</w:t>
            </w:r>
          </w:p>
        </w:tc>
        <w:tc>
          <w:tcPr>
            <w:tcW w:w="766" w:type="dxa"/>
            <w:shd w:val="clear" w:color="auto" w:fill="FFFFFF"/>
            <w:vAlign w:val="center"/>
          </w:tcPr>
          <w:p w14:paraId="1EA15DE0">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56.4</w:t>
            </w:r>
          </w:p>
        </w:tc>
        <w:tc>
          <w:tcPr>
            <w:tcW w:w="438" w:type="dxa"/>
            <w:shd w:val="clear" w:color="auto" w:fill="FFFFFF"/>
            <w:vAlign w:val="center"/>
          </w:tcPr>
          <w:p w14:paraId="68ADD856">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1F270EFE">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1.9~88.9</w:t>
            </w:r>
          </w:p>
        </w:tc>
        <w:tc>
          <w:tcPr>
            <w:tcW w:w="1173" w:type="dxa"/>
            <w:shd w:val="clear" w:color="auto" w:fill="FFFFFF"/>
            <w:vAlign w:val="center"/>
          </w:tcPr>
          <w:p w14:paraId="695756F9">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74.4~75.4</w:t>
            </w:r>
          </w:p>
        </w:tc>
        <w:tc>
          <w:tcPr>
            <w:tcW w:w="1164" w:type="dxa"/>
            <w:shd w:val="clear" w:color="auto" w:fill="FFFFFF"/>
            <w:vAlign w:val="center"/>
          </w:tcPr>
          <w:p w14:paraId="32FF5435">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5F3B4CA5">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39937FF2">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58.4~59.4</w:t>
            </w:r>
          </w:p>
        </w:tc>
        <w:tc>
          <w:tcPr>
            <w:tcW w:w="692" w:type="dxa"/>
            <w:shd w:val="clear" w:color="auto" w:fill="FFFFFF"/>
            <w:vAlign w:val="center"/>
          </w:tcPr>
          <w:p w14:paraId="7E16F2A6">
            <w:pPr>
              <w:jc w:val="center"/>
              <w:rPr>
                <w:rFonts w:hint="default" w:ascii="Arial" w:hAnsi="Arial" w:eastAsia="宋体" w:cs="Arial"/>
                <w:szCs w:val="21"/>
              </w:rPr>
            </w:pPr>
            <w:r>
              <w:rPr>
                <w:rFonts w:hint="default" w:ascii="Arial" w:hAnsi="Arial" w:eastAsia="宋体" w:cs="Arial"/>
                <w:szCs w:val="21"/>
              </w:rPr>
              <w:t>1</w:t>
            </w:r>
          </w:p>
        </w:tc>
      </w:tr>
      <w:tr w14:paraId="29505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199BAD79">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17</w:t>
            </w:r>
          </w:p>
        </w:tc>
        <w:tc>
          <w:tcPr>
            <w:tcW w:w="468" w:type="dxa"/>
            <w:vMerge w:val="continue"/>
            <w:shd w:val="clear" w:color="auto" w:fill="FFFFFF"/>
            <w:vAlign w:val="center"/>
          </w:tcPr>
          <w:p w14:paraId="3F33BAEC">
            <w:pPr>
              <w:jc w:val="center"/>
              <w:rPr>
                <w:rFonts w:hint="default" w:ascii="Arial" w:hAnsi="Arial" w:eastAsia="宋体" w:cs="Arial"/>
                <w:szCs w:val="21"/>
              </w:rPr>
            </w:pPr>
          </w:p>
        </w:tc>
        <w:tc>
          <w:tcPr>
            <w:tcW w:w="1898" w:type="dxa"/>
            <w:shd w:val="clear" w:color="auto" w:fill="FFFFFF"/>
            <w:vAlign w:val="center"/>
          </w:tcPr>
          <w:p w14:paraId="11556997">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退火设备</w:t>
            </w:r>
          </w:p>
        </w:tc>
        <w:tc>
          <w:tcPr>
            <w:tcW w:w="470" w:type="dxa"/>
            <w:shd w:val="clear" w:color="auto" w:fill="FFFFFF"/>
            <w:vAlign w:val="center"/>
          </w:tcPr>
          <w:p w14:paraId="4BBE39D1">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w:t>
            </w:r>
          </w:p>
        </w:tc>
        <w:tc>
          <w:tcPr>
            <w:tcW w:w="1438" w:type="dxa"/>
            <w:shd w:val="clear" w:color="auto" w:fill="FFFFFF"/>
            <w:vAlign w:val="center"/>
          </w:tcPr>
          <w:p w14:paraId="05BC661B">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80</w:t>
            </w:r>
            <w:r>
              <w:rPr>
                <w:rFonts w:hint="default" w:ascii="Arial" w:hAnsi="Arial" w:eastAsia="宋体" w:cs="Arial"/>
                <w:color w:val="000000" w:themeColor="text1"/>
                <w:szCs w:val="21"/>
                <w14:textFill>
                  <w14:solidFill>
                    <w14:schemeClr w14:val="tx1"/>
                  </w14:solidFill>
                </w14:textFill>
              </w:rPr>
              <w:t>/1</w:t>
            </w:r>
          </w:p>
        </w:tc>
        <w:tc>
          <w:tcPr>
            <w:tcW w:w="613" w:type="dxa"/>
            <w:shd w:val="clear" w:color="auto" w:fill="FFFFFF"/>
            <w:vAlign w:val="center"/>
          </w:tcPr>
          <w:p w14:paraId="799736E8">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3DFA9FC0">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111.5</w:t>
            </w:r>
          </w:p>
        </w:tc>
        <w:tc>
          <w:tcPr>
            <w:tcW w:w="766" w:type="dxa"/>
            <w:shd w:val="clear" w:color="auto" w:fill="FFFFFF"/>
            <w:vAlign w:val="center"/>
          </w:tcPr>
          <w:p w14:paraId="45EC3EC3">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53.8</w:t>
            </w:r>
          </w:p>
        </w:tc>
        <w:tc>
          <w:tcPr>
            <w:tcW w:w="438" w:type="dxa"/>
            <w:shd w:val="clear" w:color="auto" w:fill="FFFFFF"/>
            <w:vAlign w:val="center"/>
          </w:tcPr>
          <w:p w14:paraId="2D6D929A">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77E71C3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14.2~72.0</w:t>
            </w:r>
          </w:p>
        </w:tc>
        <w:tc>
          <w:tcPr>
            <w:tcW w:w="1173" w:type="dxa"/>
            <w:shd w:val="clear" w:color="auto" w:fill="FFFFFF"/>
            <w:vAlign w:val="center"/>
          </w:tcPr>
          <w:p w14:paraId="6D97026A">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64.4~64.5</w:t>
            </w:r>
          </w:p>
        </w:tc>
        <w:tc>
          <w:tcPr>
            <w:tcW w:w="1164" w:type="dxa"/>
            <w:shd w:val="clear" w:color="auto" w:fill="FFFFFF"/>
            <w:vAlign w:val="center"/>
          </w:tcPr>
          <w:p w14:paraId="58FC56E0">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6572368B">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610C0F7C">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48.4~48.5</w:t>
            </w:r>
          </w:p>
        </w:tc>
        <w:tc>
          <w:tcPr>
            <w:tcW w:w="692" w:type="dxa"/>
            <w:shd w:val="clear" w:color="auto" w:fill="FFFFFF"/>
            <w:vAlign w:val="center"/>
          </w:tcPr>
          <w:p w14:paraId="4DFB636A">
            <w:pPr>
              <w:jc w:val="center"/>
              <w:rPr>
                <w:rFonts w:hint="default" w:ascii="Arial" w:hAnsi="Arial" w:eastAsia="宋体" w:cs="Arial"/>
                <w:szCs w:val="21"/>
              </w:rPr>
            </w:pPr>
            <w:r>
              <w:rPr>
                <w:rFonts w:hint="default" w:ascii="Arial" w:hAnsi="Arial" w:eastAsia="宋体" w:cs="Arial"/>
                <w:szCs w:val="21"/>
              </w:rPr>
              <w:t>1</w:t>
            </w:r>
          </w:p>
        </w:tc>
      </w:tr>
      <w:tr w14:paraId="390D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5F6BFE51">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18</w:t>
            </w:r>
          </w:p>
        </w:tc>
        <w:tc>
          <w:tcPr>
            <w:tcW w:w="468" w:type="dxa"/>
            <w:vMerge w:val="continue"/>
            <w:shd w:val="clear" w:color="auto" w:fill="FFFFFF"/>
            <w:vAlign w:val="center"/>
          </w:tcPr>
          <w:p w14:paraId="67019FE9">
            <w:pPr>
              <w:jc w:val="center"/>
              <w:rPr>
                <w:rFonts w:hint="default" w:ascii="Arial" w:hAnsi="Arial" w:eastAsia="宋体" w:cs="Arial"/>
                <w:szCs w:val="21"/>
              </w:rPr>
            </w:pPr>
          </w:p>
        </w:tc>
        <w:tc>
          <w:tcPr>
            <w:tcW w:w="1898" w:type="dxa"/>
            <w:shd w:val="clear" w:color="auto" w:fill="FFFFFF"/>
            <w:vAlign w:val="center"/>
          </w:tcPr>
          <w:p w14:paraId="6F84F076">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无心磨床</w:t>
            </w:r>
          </w:p>
        </w:tc>
        <w:tc>
          <w:tcPr>
            <w:tcW w:w="470" w:type="dxa"/>
            <w:shd w:val="clear" w:color="auto" w:fill="FFFFFF"/>
            <w:vAlign w:val="center"/>
          </w:tcPr>
          <w:p w14:paraId="4883D188">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21</w:t>
            </w:r>
          </w:p>
        </w:tc>
        <w:tc>
          <w:tcPr>
            <w:tcW w:w="1438" w:type="dxa"/>
            <w:shd w:val="clear" w:color="auto" w:fill="FFFFFF"/>
            <w:vAlign w:val="center"/>
          </w:tcPr>
          <w:p w14:paraId="382FBD54">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85</w:t>
            </w:r>
            <w:r>
              <w:rPr>
                <w:rFonts w:hint="default" w:ascii="Arial" w:hAnsi="Arial" w:eastAsia="宋体" w:cs="Arial"/>
                <w:color w:val="000000" w:themeColor="text1"/>
                <w:szCs w:val="21"/>
                <w14:textFill>
                  <w14:solidFill>
                    <w14:schemeClr w14:val="tx1"/>
                  </w14:solidFill>
                </w14:textFill>
              </w:rPr>
              <w:t>/1</w:t>
            </w:r>
          </w:p>
        </w:tc>
        <w:tc>
          <w:tcPr>
            <w:tcW w:w="613" w:type="dxa"/>
            <w:shd w:val="clear" w:color="auto" w:fill="FFFFFF"/>
            <w:vAlign w:val="center"/>
          </w:tcPr>
          <w:p w14:paraId="507F84B4">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40EFE81C">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108.5</w:t>
            </w:r>
          </w:p>
        </w:tc>
        <w:tc>
          <w:tcPr>
            <w:tcW w:w="766" w:type="dxa"/>
            <w:shd w:val="clear" w:color="auto" w:fill="FFFFFF"/>
            <w:vAlign w:val="center"/>
          </w:tcPr>
          <w:p w14:paraId="5588011E">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120.</w:t>
            </w:r>
          </w:p>
        </w:tc>
        <w:tc>
          <w:tcPr>
            <w:tcW w:w="438" w:type="dxa"/>
            <w:shd w:val="clear" w:color="auto" w:fill="FFFFFF"/>
            <w:vAlign w:val="center"/>
          </w:tcPr>
          <w:p w14:paraId="44CB7D83">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29AFC38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1.2~89.4</w:t>
            </w:r>
          </w:p>
        </w:tc>
        <w:tc>
          <w:tcPr>
            <w:tcW w:w="1173" w:type="dxa"/>
            <w:shd w:val="clear" w:color="auto" w:fill="FFFFFF"/>
            <w:vAlign w:val="center"/>
          </w:tcPr>
          <w:p w14:paraId="31785C5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74.4~76.5</w:t>
            </w:r>
          </w:p>
        </w:tc>
        <w:tc>
          <w:tcPr>
            <w:tcW w:w="1164" w:type="dxa"/>
            <w:shd w:val="clear" w:color="auto" w:fill="FFFFFF"/>
            <w:vAlign w:val="center"/>
          </w:tcPr>
          <w:p w14:paraId="4F7D6891">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764DC27B">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47623E8F">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58.4~60.5</w:t>
            </w:r>
          </w:p>
        </w:tc>
        <w:tc>
          <w:tcPr>
            <w:tcW w:w="692" w:type="dxa"/>
            <w:shd w:val="clear" w:color="auto" w:fill="FFFFFF"/>
            <w:vAlign w:val="center"/>
          </w:tcPr>
          <w:p w14:paraId="3BF8202A">
            <w:pPr>
              <w:jc w:val="center"/>
              <w:rPr>
                <w:rFonts w:hint="default" w:ascii="Arial" w:hAnsi="Arial" w:eastAsia="宋体" w:cs="Arial"/>
                <w:szCs w:val="21"/>
              </w:rPr>
            </w:pPr>
            <w:r>
              <w:rPr>
                <w:rFonts w:hint="default" w:ascii="Arial" w:hAnsi="Arial" w:eastAsia="宋体" w:cs="Arial"/>
                <w:szCs w:val="21"/>
              </w:rPr>
              <w:t>1</w:t>
            </w:r>
          </w:p>
        </w:tc>
      </w:tr>
      <w:tr w14:paraId="230A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6A3233E4">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19</w:t>
            </w:r>
          </w:p>
        </w:tc>
        <w:tc>
          <w:tcPr>
            <w:tcW w:w="468" w:type="dxa"/>
            <w:vMerge w:val="continue"/>
            <w:shd w:val="clear" w:color="auto" w:fill="FFFFFF"/>
            <w:vAlign w:val="center"/>
          </w:tcPr>
          <w:p w14:paraId="670DD7F5">
            <w:pPr>
              <w:jc w:val="center"/>
              <w:rPr>
                <w:rFonts w:hint="default" w:ascii="Arial" w:hAnsi="Arial" w:eastAsia="宋体" w:cs="Arial"/>
                <w:szCs w:val="21"/>
              </w:rPr>
            </w:pPr>
          </w:p>
        </w:tc>
        <w:tc>
          <w:tcPr>
            <w:tcW w:w="1898" w:type="dxa"/>
            <w:shd w:val="clear" w:color="auto" w:fill="FFFFFF"/>
            <w:vAlign w:val="center"/>
          </w:tcPr>
          <w:p w14:paraId="6E89284B">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外圆磨床</w:t>
            </w:r>
          </w:p>
        </w:tc>
        <w:tc>
          <w:tcPr>
            <w:tcW w:w="470" w:type="dxa"/>
            <w:shd w:val="clear" w:color="auto" w:fill="FFFFFF"/>
            <w:vAlign w:val="center"/>
          </w:tcPr>
          <w:p w14:paraId="1B5D8D06">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11</w:t>
            </w:r>
          </w:p>
        </w:tc>
        <w:tc>
          <w:tcPr>
            <w:tcW w:w="1438" w:type="dxa"/>
            <w:shd w:val="clear" w:color="auto" w:fill="FFFFFF"/>
            <w:vAlign w:val="center"/>
          </w:tcPr>
          <w:p w14:paraId="1646805B">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85</w:t>
            </w:r>
            <w:r>
              <w:rPr>
                <w:rFonts w:hint="default" w:ascii="Arial" w:hAnsi="Arial" w:eastAsia="宋体" w:cs="Arial"/>
                <w:color w:val="000000" w:themeColor="text1"/>
                <w:szCs w:val="21"/>
                <w14:textFill>
                  <w14:solidFill>
                    <w14:schemeClr w14:val="tx1"/>
                  </w14:solidFill>
                </w14:textFill>
              </w:rPr>
              <w:t>/1</w:t>
            </w:r>
          </w:p>
        </w:tc>
        <w:tc>
          <w:tcPr>
            <w:tcW w:w="613" w:type="dxa"/>
            <w:shd w:val="clear" w:color="auto" w:fill="FFFFFF"/>
            <w:vAlign w:val="center"/>
          </w:tcPr>
          <w:p w14:paraId="7DC13568">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763C8D95">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115.5</w:t>
            </w:r>
          </w:p>
        </w:tc>
        <w:tc>
          <w:tcPr>
            <w:tcW w:w="766" w:type="dxa"/>
            <w:shd w:val="clear" w:color="auto" w:fill="FFFFFF"/>
            <w:vAlign w:val="center"/>
          </w:tcPr>
          <w:p w14:paraId="69F24323">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102.6</w:t>
            </w:r>
          </w:p>
        </w:tc>
        <w:tc>
          <w:tcPr>
            <w:tcW w:w="438" w:type="dxa"/>
            <w:shd w:val="clear" w:color="auto" w:fill="FFFFFF"/>
            <w:vAlign w:val="center"/>
          </w:tcPr>
          <w:p w14:paraId="58A413F6">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21069E1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2.5~88.7</w:t>
            </w:r>
          </w:p>
        </w:tc>
        <w:tc>
          <w:tcPr>
            <w:tcW w:w="1173" w:type="dxa"/>
            <w:shd w:val="clear" w:color="auto" w:fill="FFFFFF"/>
            <w:vAlign w:val="center"/>
          </w:tcPr>
          <w:p w14:paraId="420CD47A">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74.4~75.0</w:t>
            </w:r>
          </w:p>
        </w:tc>
        <w:tc>
          <w:tcPr>
            <w:tcW w:w="1164" w:type="dxa"/>
            <w:shd w:val="clear" w:color="auto" w:fill="FFFFFF"/>
            <w:vAlign w:val="center"/>
          </w:tcPr>
          <w:p w14:paraId="0369AA5E">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4D0839F8">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5953216C">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58.4~59.0</w:t>
            </w:r>
          </w:p>
        </w:tc>
        <w:tc>
          <w:tcPr>
            <w:tcW w:w="692" w:type="dxa"/>
            <w:shd w:val="clear" w:color="auto" w:fill="FFFFFF"/>
            <w:vAlign w:val="center"/>
          </w:tcPr>
          <w:p w14:paraId="151E9AEB">
            <w:pPr>
              <w:jc w:val="center"/>
              <w:rPr>
                <w:rFonts w:hint="default" w:ascii="Arial" w:hAnsi="Arial" w:eastAsia="宋体" w:cs="Arial"/>
                <w:szCs w:val="21"/>
              </w:rPr>
            </w:pPr>
            <w:r>
              <w:rPr>
                <w:rFonts w:hint="default" w:ascii="Arial" w:hAnsi="Arial" w:eastAsia="宋体" w:cs="Arial"/>
                <w:szCs w:val="21"/>
              </w:rPr>
              <w:t>1</w:t>
            </w:r>
          </w:p>
        </w:tc>
      </w:tr>
      <w:tr w14:paraId="1238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7" w:type="dxa"/>
            <w:shd w:val="clear" w:color="auto" w:fill="FFFFFF"/>
            <w:vAlign w:val="center"/>
          </w:tcPr>
          <w:p w14:paraId="1B911B26">
            <w:pPr>
              <w:keepNext w:val="0"/>
              <w:keepLines w:val="0"/>
              <w:widowControl/>
              <w:suppressLineNumbers w:val="0"/>
              <w:jc w:val="center"/>
              <w:textAlignment w:val="center"/>
              <w:rPr>
                <w:rFonts w:hint="default" w:ascii="Arial" w:hAnsi="Arial" w:eastAsia="宋体" w:cs="Arial"/>
                <w:szCs w:val="21"/>
                <w:lang w:val="en-US" w:eastAsia="zh-CN"/>
              </w:rPr>
            </w:pPr>
            <w:r>
              <w:rPr>
                <w:rFonts w:hint="default" w:ascii="Arial" w:hAnsi="Arial" w:eastAsia="宋体" w:cs="Arial"/>
                <w:i w:val="0"/>
                <w:iCs w:val="0"/>
                <w:color w:val="000000"/>
                <w:kern w:val="0"/>
                <w:sz w:val="22"/>
                <w:szCs w:val="22"/>
                <w:u w:val="none"/>
                <w:lang w:val="en-US" w:eastAsia="zh-CN" w:bidi="ar"/>
              </w:rPr>
              <w:t>20</w:t>
            </w:r>
          </w:p>
        </w:tc>
        <w:tc>
          <w:tcPr>
            <w:tcW w:w="468" w:type="dxa"/>
            <w:vMerge w:val="continue"/>
            <w:shd w:val="clear" w:color="auto" w:fill="FFFFFF"/>
            <w:vAlign w:val="center"/>
          </w:tcPr>
          <w:p w14:paraId="4F87B63F">
            <w:pPr>
              <w:jc w:val="center"/>
              <w:rPr>
                <w:rFonts w:hint="default" w:ascii="Arial" w:hAnsi="Arial" w:eastAsia="宋体" w:cs="Arial"/>
                <w:szCs w:val="21"/>
              </w:rPr>
            </w:pPr>
          </w:p>
        </w:tc>
        <w:tc>
          <w:tcPr>
            <w:tcW w:w="1898" w:type="dxa"/>
            <w:shd w:val="clear" w:color="auto" w:fill="FFFFFF"/>
            <w:vAlign w:val="center"/>
          </w:tcPr>
          <w:p w14:paraId="6ECB443B">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走心机</w:t>
            </w:r>
          </w:p>
        </w:tc>
        <w:tc>
          <w:tcPr>
            <w:tcW w:w="470" w:type="dxa"/>
            <w:shd w:val="clear" w:color="auto" w:fill="FFFFFF"/>
            <w:vAlign w:val="center"/>
          </w:tcPr>
          <w:p w14:paraId="05F9F8C5">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12</w:t>
            </w:r>
          </w:p>
        </w:tc>
        <w:tc>
          <w:tcPr>
            <w:tcW w:w="1438" w:type="dxa"/>
            <w:shd w:val="clear" w:color="auto" w:fill="FFFFFF"/>
            <w:vAlign w:val="center"/>
          </w:tcPr>
          <w:p w14:paraId="28CCE1BF">
            <w:pPr>
              <w:jc w:val="center"/>
              <w:rPr>
                <w:rFonts w:hint="default" w:ascii="Arial" w:hAnsi="Arial" w:eastAsia="宋体" w:cs="Arial"/>
                <w:szCs w:val="21"/>
                <w:lang w:val="en-US" w:eastAsia="zh-CN"/>
              </w:rPr>
            </w:pPr>
            <w:r>
              <w:rPr>
                <w:rFonts w:hint="default" w:ascii="Arial" w:hAnsi="Arial" w:eastAsia="宋体" w:cs="Arial"/>
                <w:szCs w:val="21"/>
                <w:lang w:val="en-US" w:eastAsia="zh-CN"/>
              </w:rPr>
              <w:t>85</w:t>
            </w:r>
            <w:r>
              <w:rPr>
                <w:rFonts w:hint="default" w:ascii="Arial" w:hAnsi="Arial" w:eastAsia="宋体" w:cs="Arial"/>
                <w:szCs w:val="21"/>
              </w:rPr>
              <w:t>/1</w:t>
            </w:r>
          </w:p>
        </w:tc>
        <w:tc>
          <w:tcPr>
            <w:tcW w:w="613" w:type="dxa"/>
            <w:shd w:val="clear" w:color="auto" w:fill="FFFFFF"/>
            <w:vAlign w:val="center"/>
          </w:tcPr>
          <w:p w14:paraId="77981E06">
            <w:pPr>
              <w:jc w:val="center"/>
              <w:rPr>
                <w:rFonts w:hint="default" w:ascii="Arial" w:hAnsi="Arial" w:eastAsia="宋体" w:cs="Arial"/>
                <w:szCs w:val="21"/>
              </w:rPr>
            </w:pPr>
            <w:r>
              <w:rPr>
                <w:rFonts w:hint="default" w:ascii="Arial" w:hAnsi="Arial" w:eastAsia="宋体" w:cs="Arial"/>
                <w:szCs w:val="21"/>
              </w:rPr>
              <w:t>-</w:t>
            </w:r>
          </w:p>
        </w:tc>
        <w:tc>
          <w:tcPr>
            <w:tcW w:w="826" w:type="dxa"/>
            <w:shd w:val="clear" w:color="auto" w:fill="FFFFFF"/>
            <w:vAlign w:val="center"/>
          </w:tcPr>
          <w:p w14:paraId="1E5C8F94">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75.65</w:t>
            </w:r>
          </w:p>
        </w:tc>
        <w:tc>
          <w:tcPr>
            <w:tcW w:w="766" w:type="dxa"/>
            <w:shd w:val="clear" w:color="auto" w:fill="FFFFFF"/>
            <w:vAlign w:val="center"/>
          </w:tcPr>
          <w:p w14:paraId="4E6CD42C">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2"/>
                <w:szCs w:val="22"/>
                <w:u w:val="none"/>
                <w:lang w:val="en-US" w:eastAsia="zh-CN" w:bidi="ar"/>
              </w:rPr>
              <w:t>117.4</w:t>
            </w:r>
          </w:p>
        </w:tc>
        <w:tc>
          <w:tcPr>
            <w:tcW w:w="438" w:type="dxa"/>
            <w:shd w:val="clear" w:color="auto" w:fill="FFFFFF"/>
            <w:vAlign w:val="center"/>
          </w:tcPr>
          <w:p w14:paraId="24A216D7">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1</w:t>
            </w:r>
          </w:p>
        </w:tc>
        <w:tc>
          <w:tcPr>
            <w:tcW w:w="1225" w:type="dxa"/>
            <w:shd w:val="clear" w:color="auto" w:fill="FFFFFF"/>
            <w:vAlign w:val="center"/>
          </w:tcPr>
          <w:p w14:paraId="7EBF0FA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0.7~89.7</w:t>
            </w:r>
          </w:p>
        </w:tc>
        <w:tc>
          <w:tcPr>
            <w:tcW w:w="1173" w:type="dxa"/>
            <w:shd w:val="clear" w:color="auto" w:fill="FFFFFF"/>
            <w:vAlign w:val="center"/>
          </w:tcPr>
          <w:p w14:paraId="0A6993D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74.4~78.3</w:t>
            </w:r>
          </w:p>
        </w:tc>
        <w:tc>
          <w:tcPr>
            <w:tcW w:w="1164" w:type="dxa"/>
            <w:shd w:val="clear" w:color="auto" w:fill="FFFFFF"/>
            <w:vAlign w:val="center"/>
          </w:tcPr>
          <w:p w14:paraId="56817B55">
            <w:pPr>
              <w:jc w:val="center"/>
              <w:rPr>
                <w:rFonts w:hint="default" w:ascii="Arial" w:hAnsi="Arial" w:eastAsia="宋体" w:cs="Arial"/>
                <w:szCs w:val="21"/>
                <w:lang w:val="en-US" w:eastAsia="zh-CN"/>
              </w:rPr>
            </w:pPr>
            <w:r>
              <w:rPr>
                <w:rFonts w:hint="default" w:ascii="Arial" w:hAnsi="Arial" w:eastAsia="宋体" w:cs="Arial"/>
                <w:szCs w:val="21"/>
                <w:lang w:val="en-US" w:eastAsia="zh-CN"/>
              </w:rPr>
              <w:t>昼夜</w:t>
            </w:r>
          </w:p>
        </w:tc>
        <w:tc>
          <w:tcPr>
            <w:tcW w:w="734" w:type="dxa"/>
            <w:shd w:val="clear" w:color="auto" w:fill="FFFFFF"/>
            <w:vAlign w:val="center"/>
          </w:tcPr>
          <w:p w14:paraId="094A55DD">
            <w:pPr>
              <w:jc w:val="center"/>
              <w:rPr>
                <w:rFonts w:hint="default" w:ascii="Arial" w:hAnsi="Arial" w:eastAsia="宋体" w:cs="Arial"/>
                <w:szCs w:val="21"/>
              </w:rPr>
            </w:pPr>
            <w:r>
              <w:rPr>
                <w:rFonts w:hint="default" w:ascii="Arial" w:hAnsi="Arial" w:eastAsia="宋体" w:cs="Arial"/>
                <w:szCs w:val="21"/>
              </w:rPr>
              <w:t>1</w:t>
            </w:r>
            <w:r>
              <w:rPr>
                <w:rFonts w:hint="default" w:ascii="Arial" w:hAnsi="Arial" w:eastAsia="宋体" w:cs="Arial"/>
                <w:szCs w:val="21"/>
                <w:lang w:val="en-US" w:eastAsia="zh-CN"/>
              </w:rPr>
              <w:t>6</w:t>
            </w:r>
          </w:p>
        </w:tc>
        <w:tc>
          <w:tcPr>
            <w:tcW w:w="1214" w:type="dxa"/>
            <w:shd w:val="clear" w:color="auto" w:fill="FFFFFF"/>
            <w:vAlign w:val="center"/>
          </w:tcPr>
          <w:p w14:paraId="2939E295">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58.4~62.3</w:t>
            </w:r>
          </w:p>
        </w:tc>
        <w:tc>
          <w:tcPr>
            <w:tcW w:w="692" w:type="dxa"/>
            <w:shd w:val="clear" w:color="auto" w:fill="FFFFFF"/>
            <w:vAlign w:val="center"/>
          </w:tcPr>
          <w:p w14:paraId="5DE1462B">
            <w:pPr>
              <w:jc w:val="center"/>
              <w:rPr>
                <w:rFonts w:hint="default" w:ascii="Arial" w:hAnsi="Arial" w:eastAsia="宋体" w:cs="Arial"/>
                <w:szCs w:val="21"/>
              </w:rPr>
            </w:pPr>
            <w:r>
              <w:rPr>
                <w:rFonts w:hint="default" w:ascii="Arial" w:hAnsi="Arial" w:eastAsia="宋体" w:cs="Arial"/>
                <w:szCs w:val="21"/>
              </w:rPr>
              <w:t>1</w:t>
            </w:r>
          </w:p>
        </w:tc>
      </w:tr>
    </w:tbl>
    <w:p w14:paraId="7EC06DCF">
      <w:pPr>
        <w:spacing w:line="360" w:lineRule="auto"/>
        <w:rPr>
          <w:rFonts w:hint="default" w:ascii="Arial" w:hAnsi="Arial" w:eastAsia="宋体" w:cs="Arial"/>
          <w:bCs/>
          <w:sz w:val="24"/>
          <w:szCs w:val="24"/>
          <w:lang w:val="en-GB"/>
        </w:rPr>
      </w:pPr>
      <w:r>
        <w:rPr>
          <w:rFonts w:hint="default" w:ascii="Arial" w:hAnsi="Arial" w:eastAsia="宋体" w:cs="Arial"/>
          <w:bCs/>
          <w:szCs w:val="21"/>
        </w:rPr>
        <w:t>注：以</w:t>
      </w:r>
      <w:r>
        <w:rPr>
          <w:rFonts w:hint="default" w:ascii="Arial" w:hAnsi="Arial" w:eastAsia="宋体" w:cs="Arial"/>
          <w:bCs/>
          <w:szCs w:val="21"/>
          <w:lang w:val="en-US" w:eastAsia="zh-CN"/>
        </w:rPr>
        <w:t>南厂界最东点</w:t>
      </w:r>
      <w:r>
        <w:rPr>
          <w:rFonts w:hint="default" w:ascii="Arial" w:hAnsi="Arial" w:eastAsia="宋体" w:cs="Arial"/>
          <w:bCs/>
          <w:szCs w:val="21"/>
        </w:rPr>
        <w:t>坐标为X、Y、Z（0,0,0）</w:t>
      </w:r>
    </w:p>
    <w:p w14:paraId="6FC2301D">
      <w:pPr>
        <w:spacing w:line="360" w:lineRule="auto"/>
        <w:rPr>
          <w:rFonts w:hint="default" w:ascii="Arial" w:hAnsi="Arial" w:eastAsia="宋体" w:cs="Arial"/>
          <w:b/>
          <w:bCs/>
          <w:sz w:val="24"/>
          <w:szCs w:val="24"/>
        </w:rPr>
        <w:sectPr>
          <w:headerReference r:id="rId26" w:type="default"/>
          <w:pgSz w:w="16838" w:h="11906" w:orient="landscape"/>
          <w:pgMar w:top="1287" w:right="1440" w:bottom="2381" w:left="1440" w:header="851" w:footer="992" w:gutter="0"/>
          <w:pgBorders>
            <w:top w:val="single" w:color="auto" w:sz="4" w:space="1"/>
            <w:left w:val="single" w:color="auto" w:sz="4" w:space="4"/>
            <w:bottom w:val="single" w:color="auto" w:sz="4" w:space="1"/>
            <w:right w:val="single" w:color="auto" w:sz="4" w:space="4"/>
          </w:pgBorders>
          <w:cols w:space="425" w:num="1"/>
          <w:docGrid w:type="lines" w:linePitch="340" w:charSpace="0"/>
        </w:sectPr>
      </w:pPr>
    </w:p>
    <w:p w14:paraId="7577C891">
      <w:pPr>
        <w:pStyle w:val="76"/>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4.2.3.2噪声环境影响分析</w:t>
      </w:r>
    </w:p>
    <w:p w14:paraId="1A7584AF">
      <w:pPr>
        <w:spacing w:line="360" w:lineRule="auto"/>
        <w:ind w:firstLine="480" w:firstLineChars="200"/>
        <w:rPr>
          <w:rFonts w:hint="default" w:ascii="Arial" w:hAnsi="Arial" w:eastAsia="宋体" w:cs="Arial"/>
          <w:bCs/>
          <w:sz w:val="24"/>
        </w:rPr>
      </w:pPr>
      <w:r>
        <w:rPr>
          <w:rFonts w:hint="default" w:ascii="Arial" w:hAnsi="Arial" w:eastAsia="宋体" w:cs="Arial"/>
          <w:bCs/>
          <w:sz w:val="24"/>
        </w:rPr>
        <w:t>本次评价采用《环境影响评价技术导则声环境》（HJ 2.4—2021）中的工业噪声预测计算模式，预测内容主要为厂界噪声预测值、分析厂界噪声达标情况。</w:t>
      </w:r>
    </w:p>
    <w:p w14:paraId="6052E7F5">
      <w:pPr>
        <w:spacing w:line="360" w:lineRule="auto"/>
        <w:ind w:firstLine="480" w:firstLineChars="200"/>
        <w:rPr>
          <w:rFonts w:hint="default" w:ascii="Arial" w:hAnsi="Arial" w:eastAsia="宋体" w:cs="Arial"/>
          <w:bCs/>
          <w:sz w:val="24"/>
        </w:rPr>
      </w:pPr>
      <w:r>
        <w:rPr>
          <w:rFonts w:hint="default" w:ascii="Arial" w:hAnsi="Arial" w:eastAsia="宋体" w:cs="Arial"/>
          <w:bCs/>
          <w:sz w:val="24"/>
        </w:rPr>
        <w:t>（1）室外声源</w:t>
      </w:r>
    </w:p>
    <w:p w14:paraId="2702549C">
      <w:pPr>
        <w:spacing w:line="360" w:lineRule="auto"/>
        <w:ind w:firstLine="480" w:firstLineChars="200"/>
        <w:rPr>
          <w:rFonts w:hint="default" w:ascii="Arial" w:hAnsi="Arial" w:eastAsia="宋体" w:cs="Arial"/>
          <w:bCs/>
          <w:sz w:val="24"/>
        </w:rPr>
      </w:pPr>
      <w:r>
        <w:rPr>
          <w:rFonts w:hint="default" w:ascii="Arial" w:hAnsi="Arial" w:eastAsia="宋体" w:cs="Arial"/>
          <w:bCs/>
          <w:sz w:val="24"/>
        </w:rPr>
        <w:t>已知声源的倍频带声功率级（从63Hz到8KHz标称频带中心频率的8个倍频带），预测点位置的倍频带声压级可按下式计算：</w:t>
      </w:r>
    </w:p>
    <w:p w14:paraId="35C57B58">
      <w:pPr>
        <w:spacing w:line="360" w:lineRule="auto"/>
        <w:ind w:firstLine="480" w:firstLineChars="200"/>
        <w:jc w:val="center"/>
        <w:rPr>
          <w:rFonts w:hint="default" w:ascii="Arial" w:hAnsi="Arial" w:eastAsia="宋体" w:cs="Arial"/>
          <w:sz w:val="24"/>
        </w:rPr>
      </w:pPr>
      <w:r>
        <w:rPr>
          <w:rFonts w:hint="default" w:ascii="Arial" w:hAnsi="Arial" w:eastAsia="宋体" w:cs="Arial"/>
          <w:position w:val="-12"/>
          <w:sz w:val="24"/>
        </w:rPr>
        <w:object>
          <v:shape id="_x0000_i1031" o:spt="75" type="#_x0000_t75" style="height:13.4pt;width:100.45pt;" o:ole="t" filled="f" coordsize="21600,21600">
            <v:path/>
            <v:fill on="f" focussize="0,0"/>
            <v:stroke/>
            <v:imagedata r:id="rId50" o:title=""/>
            <o:lock v:ext="edit" aspectratio="t"/>
            <w10:wrap type="none"/>
            <w10:anchorlock/>
          </v:shape>
          <o:OLEObject Type="Embed" ProgID="Equation.3" ShapeID="_x0000_i1031" DrawAspect="Content" ObjectID="_1468075731" r:id="rId49">
            <o:LockedField>false</o:LockedField>
          </o:OLEObject>
        </w:object>
      </w:r>
    </w:p>
    <w:p w14:paraId="313ADAC5">
      <w:pPr>
        <w:spacing w:line="360" w:lineRule="auto"/>
        <w:ind w:firstLine="1920" w:firstLineChars="800"/>
        <w:rPr>
          <w:rFonts w:hint="default" w:ascii="Arial" w:hAnsi="Arial" w:eastAsia="宋体" w:cs="Arial"/>
          <w:sz w:val="24"/>
        </w:rPr>
      </w:pPr>
      <w:r>
        <w:rPr>
          <w:rFonts w:hint="default" w:ascii="Arial" w:hAnsi="Arial" w:eastAsia="宋体" w:cs="Arial"/>
          <w:position w:val="-14"/>
          <w:sz w:val="24"/>
        </w:rPr>
        <w:object>
          <v:shape id="_x0000_i1032" o:spt="75" type="#_x0000_t75" style="height:13.4pt;width:165.75pt;" o:ole="t" filled="f" coordsize="21600,21600">
            <v:path/>
            <v:fill on="f" focussize="0,0"/>
            <v:stroke/>
            <v:imagedata r:id="rId52" o:title=""/>
            <o:lock v:ext="edit" aspectratio="t"/>
            <w10:wrap type="none"/>
            <w10:anchorlock/>
          </v:shape>
          <o:OLEObject Type="Embed" ProgID="Equation.3" ShapeID="_x0000_i1032" DrawAspect="Content" ObjectID="_1468075732" r:id="rId51">
            <o:LockedField>false</o:LockedField>
          </o:OLEObject>
        </w:object>
      </w:r>
    </w:p>
    <w:p w14:paraId="1534C860">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w:t>
      </w:r>
      <w:r>
        <w:rPr>
          <w:rFonts w:hint="default" w:ascii="Arial" w:hAnsi="Arial" w:eastAsia="宋体" w:cs="Arial"/>
          <w:i/>
          <w:sz w:val="24"/>
        </w:rPr>
        <w:t>(r)</w:t>
      </w:r>
      <w:r>
        <w:rPr>
          <w:rFonts w:hint="default" w:ascii="Arial" w:hAnsi="Arial" w:eastAsia="宋体" w:cs="Arial"/>
          <w:sz w:val="24"/>
        </w:rPr>
        <w:t xml:space="preserve"> ——预测点的倍频带声压级，dB；</w:t>
      </w:r>
    </w:p>
    <w:p w14:paraId="13126C7F">
      <w:pPr>
        <w:spacing w:line="360" w:lineRule="auto"/>
        <w:ind w:firstLine="1200" w:firstLineChars="500"/>
        <w:rPr>
          <w:rFonts w:hint="default" w:ascii="Arial" w:hAnsi="Arial" w:eastAsia="宋体" w:cs="Arial"/>
          <w:sz w:val="24"/>
        </w:rPr>
      </w:pPr>
      <w:r>
        <w:rPr>
          <w:rFonts w:hint="default" w:ascii="Arial" w:hAnsi="Arial" w:eastAsia="宋体" w:cs="Arial"/>
          <w:i/>
          <w:sz w:val="24"/>
        </w:rPr>
        <w:t>L</w:t>
      </w:r>
      <w:r>
        <w:rPr>
          <w:rFonts w:hint="default" w:ascii="Arial" w:hAnsi="Arial" w:eastAsia="宋体" w:cs="Arial"/>
          <w:i/>
          <w:sz w:val="24"/>
          <w:vertAlign w:val="subscript"/>
        </w:rPr>
        <w:t>w</w:t>
      </w:r>
      <w:r>
        <w:rPr>
          <w:rFonts w:hint="default" w:ascii="Arial" w:hAnsi="Arial" w:eastAsia="宋体" w:cs="Arial"/>
          <w:sz w:val="24"/>
        </w:rPr>
        <w:t>——倍频带声功率级，dB；</w:t>
      </w:r>
    </w:p>
    <w:p w14:paraId="5F663E2B">
      <w:pPr>
        <w:spacing w:line="360" w:lineRule="auto"/>
        <w:ind w:firstLine="1200" w:firstLineChars="500"/>
        <w:rPr>
          <w:rFonts w:hint="default" w:ascii="Arial" w:hAnsi="Arial" w:eastAsia="宋体" w:cs="Arial"/>
          <w:sz w:val="24"/>
        </w:rPr>
      </w:pPr>
      <w:r>
        <w:rPr>
          <w:rFonts w:hint="default" w:ascii="Arial" w:hAnsi="Arial" w:eastAsia="宋体" w:cs="Arial"/>
          <w:i/>
          <w:sz w:val="24"/>
        </w:rPr>
        <w:t>Dc</w:t>
      </w:r>
      <w:r>
        <w:rPr>
          <w:rFonts w:hint="default" w:ascii="Arial" w:hAnsi="Arial" w:eastAsia="宋体" w:cs="Arial"/>
          <w:sz w:val="24"/>
        </w:rPr>
        <w:t>——指向性校正，dB；</w:t>
      </w:r>
    </w:p>
    <w:p w14:paraId="0ADC4659">
      <w:pPr>
        <w:spacing w:line="360" w:lineRule="auto"/>
        <w:ind w:firstLine="1200" w:firstLineChars="500"/>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sz w:val="24"/>
        </w:rPr>
        <w:t>——倍频带衰减，dB；</w:t>
      </w:r>
    </w:p>
    <w:p w14:paraId="052586BD">
      <w:pPr>
        <w:spacing w:line="360" w:lineRule="auto"/>
        <w:ind w:firstLine="1200" w:firstLineChars="500"/>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div</w:t>
      </w:r>
      <w:r>
        <w:rPr>
          <w:rFonts w:hint="default" w:ascii="Arial" w:hAnsi="Arial" w:eastAsia="宋体" w:cs="Arial"/>
          <w:sz w:val="24"/>
        </w:rPr>
        <w:t>——几何发散引起的倍频带衰减，dB；</w:t>
      </w:r>
    </w:p>
    <w:p w14:paraId="561AD4B0">
      <w:pPr>
        <w:spacing w:line="360" w:lineRule="auto"/>
        <w:ind w:firstLine="1200" w:firstLineChars="500"/>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atm</w:t>
      </w:r>
      <w:r>
        <w:rPr>
          <w:rFonts w:hint="default" w:ascii="Arial" w:hAnsi="Arial" w:eastAsia="宋体" w:cs="Arial"/>
          <w:sz w:val="24"/>
        </w:rPr>
        <w:t>——大气吸收引起的倍频带衰减，dB；</w:t>
      </w:r>
    </w:p>
    <w:p w14:paraId="783C401D">
      <w:pPr>
        <w:spacing w:line="360" w:lineRule="auto"/>
        <w:ind w:firstLine="1200" w:firstLineChars="500"/>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gr</w:t>
      </w:r>
      <w:r>
        <w:rPr>
          <w:rFonts w:hint="default" w:ascii="Arial" w:hAnsi="Arial" w:eastAsia="宋体" w:cs="Arial"/>
          <w:sz w:val="24"/>
        </w:rPr>
        <w:t>——地面效应引起的倍频带衰减，dB；</w:t>
      </w:r>
    </w:p>
    <w:p w14:paraId="661D13BC">
      <w:pPr>
        <w:spacing w:line="360" w:lineRule="auto"/>
        <w:ind w:firstLine="1080" w:firstLineChars="450"/>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bar</w:t>
      </w:r>
      <w:r>
        <w:rPr>
          <w:rFonts w:hint="default" w:ascii="Arial" w:hAnsi="Arial" w:eastAsia="宋体" w:cs="Arial"/>
          <w:sz w:val="24"/>
        </w:rPr>
        <w:t>——声屏障引起的倍频带衰减，dB；</w:t>
      </w:r>
    </w:p>
    <w:p w14:paraId="6C8E1F19">
      <w:pPr>
        <w:spacing w:line="360" w:lineRule="auto"/>
        <w:ind w:firstLine="1080" w:firstLineChars="450"/>
        <w:rPr>
          <w:rFonts w:hint="default" w:ascii="Arial" w:hAnsi="Arial" w:eastAsia="宋体" w:cs="Arial"/>
          <w:sz w:val="24"/>
        </w:rPr>
      </w:pPr>
      <w:r>
        <w:rPr>
          <w:rFonts w:hint="default" w:ascii="Arial" w:hAnsi="Arial" w:eastAsia="宋体" w:cs="Arial"/>
          <w:i/>
          <w:sz w:val="24"/>
        </w:rPr>
        <w:t>A</w:t>
      </w:r>
      <w:r>
        <w:rPr>
          <w:rFonts w:hint="default" w:ascii="Arial" w:hAnsi="Arial" w:eastAsia="宋体" w:cs="Arial"/>
          <w:i/>
          <w:sz w:val="24"/>
          <w:vertAlign w:val="subscript"/>
        </w:rPr>
        <w:t>misc</w:t>
      </w:r>
      <w:r>
        <w:rPr>
          <w:rFonts w:hint="default" w:ascii="Arial" w:hAnsi="Arial" w:eastAsia="宋体" w:cs="Arial"/>
          <w:sz w:val="24"/>
        </w:rPr>
        <w:t>——其他多方面效应引起的倍频带衰减，dB</w:t>
      </w:r>
    </w:p>
    <w:p w14:paraId="49B62CA3">
      <w:pPr>
        <w:spacing w:line="360" w:lineRule="auto"/>
        <w:ind w:firstLine="480" w:firstLineChars="200"/>
        <w:rPr>
          <w:rFonts w:hint="default" w:ascii="Arial" w:hAnsi="Arial" w:eastAsia="宋体" w:cs="Arial"/>
          <w:sz w:val="24"/>
        </w:rPr>
      </w:pPr>
      <w:r>
        <w:rPr>
          <w:rFonts w:hint="default" w:ascii="Arial" w:hAnsi="Arial" w:eastAsia="宋体" w:cs="Arial"/>
          <w:sz w:val="24"/>
        </w:rPr>
        <w:t>1）几何发散衰减</w:t>
      </w:r>
    </w:p>
    <w:p w14:paraId="62FBC094">
      <w:pPr>
        <w:spacing w:line="360" w:lineRule="auto"/>
        <w:ind w:firstLine="480" w:firstLineChars="200"/>
        <w:rPr>
          <w:rFonts w:hint="default" w:ascii="Arial" w:hAnsi="Arial" w:eastAsia="宋体" w:cs="Arial"/>
          <w:sz w:val="24"/>
        </w:rPr>
      </w:pPr>
      <w:r>
        <w:rPr>
          <w:rFonts w:hint="default" w:ascii="Arial" w:hAnsi="Arial" w:eastAsia="宋体" w:cs="Arial"/>
          <w:sz w:val="24"/>
        </w:rPr>
        <w:t>无指向性点声源的几何发散衰减：</w:t>
      </w:r>
    </w:p>
    <w:p w14:paraId="1409D2CC">
      <w:pPr>
        <w:spacing w:line="360" w:lineRule="auto"/>
        <w:ind w:firstLine="480" w:firstLineChars="200"/>
        <w:jc w:val="center"/>
        <w:rPr>
          <w:rFonts w:hint="default" w:ascii="Arial" w:hAnsi="Arial" w:eastAsia="宋体" w:cs="Arial"/>
          <w:sz w:val="24"/>
        </w:rPr>
      </w:pPr>
      <w:r>
        <w:rPr>
          <w:rFonts w:hint="default" w:ascii="Arial" w:hAnsi="Arial" w:eastAsia="宋体" w:cs="Arial"/>
          <w:position w:val="-12"/>
          <w:sz w:val="24"/>
        </w:rPr>
        <w:object>
          <v:shape id="_x0000_i1033" o:spt="75" type="#_x0000_t75" style="height:13.4pt;width:85.4pt;" o:ole="t" filled="f" coordsize="21600,21600">
            <v:path/>
            <v:fill on="f" focussize="0,0"/>
            <v:stroke/>
            <v:imagedata r:id="rId54" o:title=""/>
            <o:lock v:ext="edit" aspectratio="t"/>
            <w10:wrap type="none"/>
            <w10:anchorlock/>
          </v:shape>
          <o:OLEObject Type="Embed" ProgID="Equation.3" ShapeID="_x0000_i1033" DrawAspect="Content" ObjectID="_1468075733" r:id="rId53">
            <o:LockedField>false</o:LockedField>
          </o:OLEObject>
        </w:object>
      </w:r>
    </w:p>
    <w:p w14:paraId="4D708A36">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r</w:t>
      </w:r>
      <w:r>
        <w:rPr>
          <w:rFonts w:hint="default" w:ascii="Arial" w:hAnsi="Arial" w:eastAsia="宋体" w:cs="Arial"/>
          <w:sz w:val="24"/>
        </w:rPr>
        <w:t>——预测点与点声源之间的距离，m；</w:t>
      </w:r>
    </w:p>
    <w:p w14:paraId="161C3E01">
      <w:pPr>
        <w:spacing w:line="360" w:lineRule="auto"/>
        <w:ind w:firstLine="1200" w:firstLineChars="500"/>
        <w:rPr>
          <w:rFonts w:hint="default" w:ascii="Arial" w:hAnsi="Arial" w:eastAsia="宋体" w:cs="Arial"/>
          <w:sz w:val="24"/>
        </w:rPr>
      </w:pPr>
      <w:r>
        <w:rPr>
          <w:rFonts w:hint="default" w:ascii="Arial" w:hAnsi="Arial" w:eastAsia="宋体" w:cs="Arial"/>
          <w:i/>
          <w:sz w:val="24"/>
        </w:rPr>
        <w:t>r</w:t>
      </w:r>
      <w:r>
        <w:rPr>
          <w:rFonts w:hint="default" w:ascii="Arial" w:hAnsi="Arial" w:eastAsia="宋体" w:cs="Arial"/>
          <w:i/>
          <w:sz w:val="24"/>
          <w:vertAlign w:val="subscript"/>
        </w:rPr>
        <w:t>0</w:t>
      </w:r>
      <w:r>
        <w:rPr>
          <w:rFonts w:hint="default" w:ascii="Arial" w:hAnsi="Arial" w:eastAsia="宋体" w:cs="Arial"/>
          <w:sz w:val="24"/>
        </w:rPr>
        <w:t>——参考声处与点声源之间的距离，m。</w:t>
      </w:r>
    </w:p>
    <w:p w14:paraId="06CC2AA8">
      <w:pPr>
        <w:spacing w:line="360" w:lineRule="auto"/>
        <w:ind w:firstLine="480" w:firstLineChars="200"/>
        <w:rPr>
          <w:rFonts w:hint="default" w:ascii="Arial" w:hAnsi="Arial" w:eastAsia="宋体" w:cs="Arial"/>
          <w:sz w:val="24"/>
        </w:rPr>
      </w:pPr>
      <w:r>
        <w:rPr>
          <w:rFonts w:hint="default" w:ascii="Arial" w:hAnsi="Arial" w:eastAsia="宋体" w:cs="Arial"/>
          <w:sz w:val="24"/>
        </w:rPr>
        <w:t>2）空气吸收引起的衰减</w:t>
      </w:r>
    </w:p>
    <w:p w14:paraId="241F37E6">
      <w:pPr>
        <w:spacing w:line="360" w:lineRule="auto"/>
        <w:ind w:firstLine="480" w:firstLineChars="200"/>
        <w:jc w:val="center"/>
        <w:rPr>
          <w:rFonts w:hint="default" w:ascii="Arial" w:hAnsi="Arial" w:eastAsia="宋体" w:cs="Arial"/>
          <w:position w:val="-24"/>
          <w:sz w:val="24"/>
        </w:rPr>
      </w:pPr>
      <w:r>
        <w:rPr>
          <w:rFonts w:hint="default" w:ascii="Arial" w:hAnsi="Arial" w:eastAsia="宋体" w:cs="Arial"/>
          <w:position w:val="-24"/>
          <w:sz w:val="24"/>
        </w:rPr>
        <w:object>
          <v:shape id="_x0000_i1034" o:spt="75" type="#_x0000_t75" style="height:28.45pt;width:79.55pt;" o:ole="t" fillcolor="#6D6D6D" filled="t" coordsize="21600,21600">
            <v:path/>
            <v:fill on="t" focussize="0,0"/>
            <v:stroke/>
            <v:imagedata r:id="rId56" o:title=""/>
            <o:lock v:ext="edit" aspectratio="t"/>
            <w10:wrap type="none"/>
            <w10:anchorlock/>
          </v:shape>
          <o:OLEObject Type="Embed" ProgID="Equation.3" ShapeID="_x0000_i1034" DrawAspect="Content" ObjectID="_1468075734" r:id="rId55">
            <o:LockedField>false</o:LockedField>
          </o:OLEObject>
        </w:object>
      </w:r>
    </w:p>
    <w:p w14:paraId="2D53E3D0">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a</w:t>
      </w:r>
      <w:r>
        <w:rPr>
          <w:rFonts w:hint="default" w:ascii="Arial" w:hAnsi="Arial" w:eastAsia="宋体" w:cs="Arial"/>
          <w:sz w:val="24"/>
        </w:rPr>
        <w:t>——为每100m空气吸收系数，dB。</w:t>
      </w:r>
    </w:p>
    <w:p w14:paraId="2C9D3385">
      <w:pPr>
        <w:spacing w:line="360" w:lineRule="auto"/>
        <w:ind w:firstLine="480" w:firstLineChars="200"/>
        <w:rPr>
          <w:rFonts w:hint="default" w:ascii="Arial" w:hAnsi="Arial" w:eastAsia="宋体" w:cs="Arial"/>
          <w:sz w:val="24"/>
        </w:rPr>
      </w:pPr>
      <w:r>
        <w:rPr>
          <w:rFonts w:hint="default" w:ascii="Arial" w:hAnsi="Arial" w:eastAsia="宋体" w:cs="Arial"/>
          <w:sz w:val="24"/>
        </w:rPr>
        <w:t>3）地面效应衰减</w:t>
      </w:r>
    </w:p>
    <w:p w14:paraId="3C499D43">
      <w:pPr>
        <w:spacing w:line="360" w:lineRule="auto"/>
        <w:ind w:firstLine="480" w:firstLineChars="200"/>
        <w:jc w:val="center"/>
        <w:rPr>
          <w:rFonts w:hint="default" w:ascii="Arial" w:hAnsi="Arial" w:eastAsia="宋体" w:cs="Arial"/>
          <w:sz w:val="24"/>
        </w:rPr>
      </w:pPr>
      <w:r>
        <w:rPr>
          <w:rFonts w:hint="default" w:ascii="Arial" w:hAnsi="Arial" w:eastAsia="宋体" w:cs="Arial"/>
          <w:position w:val="-28"/>
          <w:sz w:val="24"/>
        </w:rPr>
        <w:object>
          <v:shape id="_x0000_i1035" o:spt="75" type="#_x0000_t75" style="height:28.45pt;width:136.45pt;" o:ole="t" filled="f" coordsize="21600,21600">
            <v:path/>
            <v:fill on="f" focussize="0,0"/>
            <v:stroke/>
            <v:imagedata r:id="rId58" o:title=""/>
            <o:lock v:ext="edit" aspectratio="t"/>
            <w10:wrap type="none"/>
            <w10:anchorlock/>
          </v:shape>
          <o:OLEObject Type="Embed" ProgID="Equation.3" ShapeID="_x0000_i1035" DrawAspect="Content" ObjectID="_1468075735" r:id="rId57">
            <o:LockedField>false</o:LockedField>
          </o:OLEObject>
        </w:object>
      </w:r>
    </w:p>
    <w:p w14:paraId="2EA49C72">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h</w:t>
      </w:r>
      <w:r>
        <w:rPr>
          <w:rFonts w:hint="default" w:ascii="Arial" w:hAnsi="Arial" w:eastAsia="宋体" w:cs="Arial"/>
          <w:i/>
          <w:sz w:val="24"/>
          <w:vertAlign w:val="subscript"/>
        </w:rPr>
        <w:t>m</w:t>
      </w:r>
      <w:r>
        <w:rPr>
          <w:rFonts w:hint="default" w:ascii="Arial" w:hAnsi="Arial" w:eastAsia="宋体" w:cs="Arial"/>
          <w:sz w:val="24"/>
        </w:rPr>
        <w:t>——传播路径的平均离地高度，m。</w:t>
      </w:r>
    </w:p>
    <w:p w14:paraId="4444CEC6">
      <w:pPr>
        <w:spacing w:line="360" w:lineRule="auto"/>
        <w:ind w:firstLine="480" w:firstLineChars="200"/>
        <w:rPr>
          <w:rFonts w:hint="default" w:ascii="Arial" w:hAnsi="Arial" w:eastAsia="宋体" w:cs="Arial"/>
          <w:sz w:val="24"/>
        </w:rPr>
      </w:pPr>
      <w:r>
        <w:rPr>
          <w:rFonts w:hint="default" w:ascii="Arial" w:hAnsi="Arial" w:eastAsia="宋体" w:cs="Arial"/>
          <w:sz w:val="24"/>
        </w:rPr>
        <w:t>4）声屏障衰减</w:t>
      </w:r>
    </w:p>
    <w:p w14:paraId="7B796220">
      <w:pPr>
        <w:spacing w:line="360" w:lineRule="auto"/>
        <w:ind w:firstLine="480" w:firstLineChars="200"/>
        <w:rPr>
          <w:rFonts w:hint="default" w:ascii="Arial" w:hAnsi="Arial" w:eastAsia="宋体" w:cs="Arial"/>
          <w:sz w:val="24"/>
        </w:rPr>
      </w:pPr>
      <w:r>
        <w:rPr>
          <w:rFonts w:hint="default" w:ascii="Arial" w:hAnsi="Arial" w:eastAsia="宋体" w:cs="Arial"/>
          <w:sz w:val="24"/>
        </w:rPr>
        <w:t>有限长声屏障引起的衰减：</w:t>
      </w:r>
    </w:p>
    <w:p w14:paraId="70A9461D">
      <w:pPr>
        <w:spacing w:line="360" w:lineRule="auto"/>
        <w:ind w:firstLine="480" w:firstLineChars="200"/>
        <w:jc w:val="center"/>
        <w:rPr>
          <w:rFonts w:hint="default" w:ascii="Arial" w:hAnsi="Arial" w:eastAsia="宋体" w:cs="Arial"/>
          <w:sz w:val="24"/>
        </w:rPr>
      </w:pPr>
      <w:r>
        <w:rPr>
          <w:rFonts w:hint="default" w:ascii="Arial" w:hAnsi="Arial" w:eastAsia="宋体" w:cs="Arial"/>
          <w:position w:val="-32"/>
          <w:sz w:val="24"/>
        </w:rPr>
        <w:object>
          <v:shape id="_x0000_i1036" o:spt="75" type="#_x0000_t75" style="height:43.55pt;width:229.4pt;" o:ole="t" filled="f" coordsize="21600,21600">
            <v:path/>
            <v:fill on="f" focussize="0,0"/>
            <v:stroke/>
            <v:imagedata r:id="rId60" o:title=""/>
            <o:lock v:ext="edit" aspectratio="t"/>
            <w10:wrap type="none"/>
            <w10:anchorlock/>
          </v:shape>
          <o:OLEObject Type="Embed" ProgID="Equation.3" ShapeID="_x0000_i1036" DrawAspect="Content" ObjectID="_1468075736" r:id="rId59">
            <o:LockedField>false</o:LockedField>
          </o:OLEObject>
        </w:object>
      </w:r>
    </w:p>
    <w:p w14:paraId="284DB935">
      <w:pPr>
        <w:spacing w:line="360" w:lineRule="auto"/>
        <w:ind w:firstLine="480" w:firstLineChars="200"/>
        <w:rPr>
          <w:rFonts w:hint="default" w:ascii="Arial" w:hAnsi="Arial" w:eastAsia="宋体" w:cs="Arial"/>
          <w:sz w:val="24"/>
        </w:rPr>
      </w:pPr>
      <w:r>
        <w:rPr>
          <w:rFonts w:hint="default" w:ascii="Arial" w:hAnsi="Arial" w:eastAsia="宋体" w:cs="Arial"/>
          <w:sz w:val="24"/>
        </w:rPr>
        <w:t>无限长声屏障引起的衰减：</w:t>
      </w:r>
    </w:p>
    <w:p w14:paraId="77FC486D">
      <w:pPr>
        <w:spacing w:line="360" w:lineRule="auto"/>
        <w:ind w:firstLine="480" w:firstLineChars="200"/>
        <w:jc w:val="center"/>
        <w:rPr>
          <w:rFonts w:hint="default" w:ascii="Arial" w:hAnsi="Arial" w:eastAsia="宋体" w:cs="Arial"/>
          <w:sz w:val="24"/>
        </w:rPr>
      </w:pPr>
      <w:r>
        <w:rPr>
          <w:rFonts w:hint="default" w:ascii="Arial" w:hAnsi="Arial" w:eastAsia="宋体" w:cs="Arial"/>
          <w:position w:val="-32"/>
          <w:sz w:val="24"/>
        </w:rPr>
        <w:object>
          <v:shape id="_x0000_i1037" o:spt="75" type="#_x0000_t75" style="height:43.55pt;width:122.25pt;" o:ole="t" filled="f" coordsize="21600,21600">
            <v:path/>
            <v:fill on="f" focussize="0,0"/>
            <v:stroke/>
            <v:imagedata r:id="rId62" o:title=""/>
            <o:lock v:ext="edit" aspectratio="t"/>
            <w10:wrap type="none"/>
            <w10:anchorlock/>
          </v:shape>
          <o:OLEObject Type="Embed" ProgID="Equation.3" ShapeID="_x0000_i1037" DrawAspect="Content" ObjectID="_1468075737" r:id="rId61">
            <o:LockedField>false</o:LockedField>
          </o:OLEObject>
        </w:object>
      </w:r>
    </w:p>
    <w:p w14:paraId="0980BC51">
      <w:pPr>
        <w:spacing w:line="360" w:lineRule="auto"/>
        <w:ind w:firstLine="480" w:firstLineChars="200"/>
        <w:rPr>
          <w:rFonts w:hint="default" w:ascii="Arial" w:hAnsi="Arial" w:eastAsia="宋体" w:cs="Arial"/>
          <w:sz w:val="24"/>
        </w:rPr>
      </w:pPr>
      <w:r>
        <w:rPr>
          <w:rFonts w:hint="default" w:ascii="Arial" w:hAnsi="Arial" w:eastAsia="宋体" w:cs="Arial"/>
          <w:sz w:val="24"/>
        </w:rPr>
        <w:t>已知靠近声源处某点的倍频带声压级时，相同方向预测点位置的倍频带声压级可按下式计算：</w:t>
      </w:r>
    </w:p>
    <w:p w14:paraId="15618F12">
      <w:pPr>
        <w:spacing w:line="360" w:lineRule="auto"/>
        <w:ind w:firstLine="480" w:firstLineChars="200"/>
        <w:jc w:val="center"/>
        <w:rPr>
          <w:rFonts w:hint="default" w:ascii="Arial" w:hAnsi="Arial" w:eastAsia="宋体" w:cs="Arial"/>
          <w:sz w:val="24"/>
        </w:rPr>
      </w:pPr>
      <w:r>
        <w:rPr>
          <w:rFonts w:hint="default" w:ascii="Arial" w:hAnsi="Arial" w:eastAsia="宋体" w:cs="Arial"/>
          <w:position w:val="-12"/>
          <w:sz w:val="24"/>
        </w:rPr>
        <w:object>
          <v:shape id="_x0000_i1038" o:spt="75" type="#_x0000_t75" style="height:13.4pt;width:92.95pt;" o:ole="t" filled="f" coordsize="21600,21600">
            <v:path/>
            <v:fill on="f" focussize="0,0"/>
            <v:stroke/>
            <v:imagedata r:id="rId64" o:title=""/>
            <o:lock v:ext="edit" aspectratio="t"/>
            <w10:wrap type="none"/>
            <w10:anchorlock/>
          </v:shape>
          <o:OLEObject Type="Embed" ProgID="Equation.3" ShapeID="_x0000_i1038" DrawAspect="Content" ObjectID="_1468075738" r:id="rId63">
            <o:LockedField>false</o:LockedField>
          </o:OLEObject>
        </w:object>
      </w:r>
    </w:p>
    <w:p w14:paraId="65026262">
      <w:pPr>
        <w:spacing w:line="360" w:lineRule="auto"/>
        <w:ind w:firstLine="480" w:firstLineChars="200"/>
        <w:rPr>
          <w:rFonts w:hint="default" w:ascii="Arial" w:hAnsi="Arial" w:eastAsia="宋体" w:cs="Arial"/>
          <w:sz w:val="24"/>
        </w:rPr>
      </w:pPr>
      <w:r>
        <w:rPr>
          <w:rFonts w:hint="default" w:ascii="Arial" w:hAnsi="Arial" w:eastAsia="宋体" w:cs="Arial"/>
          <w:sz w:val="24"/>
        </w:rPr>
        <w:t>预测点的A声级，可利用8个倍频带的声压级按下式计算：</w:t>
      </w:r>
    </w:p>
    <w:p w14:paraId="6F99B7A4">
      <w:pPr>
        <w:spacing w:line="360" w:lineRule="auto"/>
        <w:ind w:firstLine="480" w:firstLineChars="200"/>
        <w:jc w:val="center"/>
        <w:rPr>
          <w:rFonts w:hint="default" w:ascii="Arial" w:hAnsi="Arial" w:eastAsia="宋体" w:cs="Arial"/>
          <w:sz w:val="24"/>
        </w:rPr>
      </w:pPr>
      <w:r>
        <w:rPr>
          <w:rFonts w:hint="default" w:ascii="Arial" w:hAnsi="Arial" w:eastAsia="宋体" w:cs="Arial"/>
          <w:position w:val="-30"/>
          <w:sz w:val="24"/>
        </w:rPr>
        <w:object>
          <v:shape id="_x0000_i1039" o:spt="75" type="#_x0000_t75" style="height:36pt;width:151.55pt;" o:ole="t" filled="f" coordsize="21600,21600">
            <v:path/>
            <v:fill on="f" focussize="0,0"/>
            <v:stroke/>
            <v:imagedata r:id="rId66" o:title=""/>
            <o:lock v:ext="edit" aspectratio="t"/>
            <w10:wrap type="none"/>
            <w10:anchorlock/>
          </v:shape>
          <o:OLEObject Type="Embed" ProgID="Equation.3" ShapeID="_x0000_i1039" DrawAspect="Content" ObjectID="_1468075739" r:id="rId65">
            <o:LockedField>false</o:LockedField>
          </o:OLEObject>
        </w:object>
      </w:r>
    </w:p>
    <w:p w14:paraId="24F09C8D">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Pi</w:t>
      </w:r>
      <w:r>
        <w:rPr>
          <w:rFonts w:hint="default" w:ascii="Arial" w:hAnsi="Arial" w:eastAsia="宋体" w:cs="Arial"/>
          <w:i/>
          <w:sz w:val="24"/>
        </w:rPr>
        <w:t>(r)</w:t>
      </w:r>
      <w:r>
        <w:rPr>
          <w:rFonts w:hint="default" w:ascii="Arial" w:hAnsi="Arial" w:eastAsia="宋体" w:cs="Arial"/>
          <w:sz w:val="24"/>
        </w:rPr>
        <w:t xml:space="preserve"> ——预测点（r）处，第i倍频带声压级，dB；</w:t>
      </w:r>
    </w:p>
    <w:p w14:paraId="2E5627B4">
      <w:pPr>
        <w:spacing w:line="360" w:lineRule="auto"/>
        <w:ind w:firstLine="1200" w:firstLineChars="500"/>
        <w:rPr>
          <w:rFonts w:hint="default" w:ascii="Arial" w:hAnsi="Arial" w:eastAsia="宋体" w:cs="Arial"/>
          <w:sz w:val="24"/>
        </w:rPr>
      </w:pPr>
      <w:r>
        <w:rPr>
          <w:rFonts w:hint="default" w:ascii="Arial" w:hAnsi="Arial" w:eastAsia="宋体" w:cs="Arial"/>
          <w:i/>
          <w:sz w:val="24"/>
        </w:rPr>
        <w:t>ΔL</w:t>
      </w:r>
      <w:r>
        <w:rPr>
          <w:rFonts w:hint="default" w:ascii="Arial" w:hAnsi="Arial" w:eastAsia="宋体" w:cs="Arial"/>
          <w:i/>
          <w:sz w:val="24"/>
          <w:vertAlign w:val="subscript"/>
        </w:rPr>
        <w:t>i</w:t>
      </w:r>
      <w:r>
        <w:rPr>
          <w:rFonts w:hint="default" w:ascii="Arial" w:hAnsi="Arial" w:eastAsia="宋体" w:cs="Arial"/>
          <w:sz w:val="24"/>
        </w:rPr>
        <w:t xml:space="preserve"> ——i倍频带A计权网络修正值，dB。</w:t>
      </w:r>
    </w:p>
    <w:p w14:paraId="6A11A1B3">
      <w:pPr>
        <w:spacing w:line="360" w:lineRule="auto"/>
        <w:ind w:firstLine="480" w:firstLineChars="200"/>
        <w:rPr>
          <w:rFonts w:hint="default" w:ascii="Arial" w:hAnsi="Arial" w:eastAsia="宋体" w:cs="Arial"/>
          <w:sz w:val="24"/>
        </w:rPr>
      </w:pPr>
      <w:r>
        <w:rPr>
          <w:rFonts w:hint="default" w:ascii="Arial" w:hAnsi="Arial" w:eastAsia="宋体" w:cs="Arial"/>
          <w:sz w:val="24"/>
        </w:rPr>
        <w:t>在不能取得声源倍频带声功率级或倍频带声压级，只能获得A声功率级或某点的A声级时，可按下面两个公示作近似计算：</w:t>
      </w:r>
    </w:p>
    <w:p w14:paraId="4B9A6F0D">
      <w:pPr>
        <w:spacing w:line="360" w:lineRule="auto"/>
        <w:ind w:firstLine="480" w:firstLineChars="200"/>
        <w:jc w:val="center"/>
        <w:rPr>
          <w:rFonts w:hint="default" w:ascii="Arial" w:hAnsi="Arial" w:eastAsia="宋体" w:cs="Arial"/>
          <w:sz w:val="24"/>
        </w:rPr>
      </w:pPr>
      <w:r>
        <w:rPr>
          <w:rFonts w:hint="default" w:ascii="Arial" w:hAnsi="Arial" w:eastAsia="宋体" w:cs="Arial"/>
          <w:position w:val="-12"/>
          <w:sz w:val="24"/>
        </w:rPr>
        <w:object>
          <v:shape id="_x0000_i1040" o:spt="75" type="#_x0000_t75" style="height:13.4pt;width:108pt;" o:ole="t" filled="f" coordsize="21600,21600">
            <v:path/>
            <v:fill on="f" focussize="0,0"/>
            <v:stroke/>
            <v:imagedata r:id="rId68" o:title=""/>
            <o:lock v:ext="edit" aspectratio="t"/>
            <w10:wrap type="none"/>
            <w10:anchorlock/>
          </v:shape>
          <o:OLEObject Type="Embed" ProgID="Equation.3" ShapeID="_x0000_i1040" DrawAspect="Content" ObjectID="_1468075740" r:id="rId67">
            <o:LockedField>false</o:LockedField>
          </o:OLEObject>
        </w:object>
      </w:r>
    </w:p>
    <w:p w14:paraId="3E15C98C">
      <w:pPr>
        <w:spacing w:line="360" w:lineRule="auto"/>
        <w:ind w:firstLine="480" w:firstLineChars="200"/>
        <w:rPr>
          <w:rFonts w:hint="default" w:ascii="Arial" w:hAnsi="Arial" w:eastAsia="宋体" w:cs="Arial"/>
          <w:sz w:val="24"/>
        </w:rPr>
      </w:pPr>
      <w:r>
        <w:rPr>
          <w:rFonts w:hint="default" w:ascii="Arial" w:hAnsi="Arial" w:eastAsia="宋体" w:cs="Arial"/>
          <w:sz w:val="24"/>
        </w:rPr>
        <w:t xml:space="preserve">或                                            </w:t>
      </w:r>
      <w:r>
        <w:rPr>
          <w:rFonts w:hint="default" w:ascii="Arial" w:hAnsi="Arial" w:eastAsia="宋体" w:cs="Arial"/>
          <w:position w:val="-12"/>
          <w:sz w:val="24"/>
        </w:rPr>
        <w:object>
          <v:shape id="_x0000_i1041" o:spt="75" type="#_x0000_t75" style="height:13.4pt;width:92.95pt;" o:ole="t" filled="f" coordsize="21600,21600">
            <v:path/>
            <v:fill on="f" focussize="0,0"/>
            <v:stroke/>
            <v:imagedata r:id="rId70" o:title=""/>
            <o:lock v:ext="edit" aspectratio="t"/>
            <w10:wrap type="none"/>
            <w10:anchorlock/>
          </v:shape>
          <o:OLEObject Type="Embed" ProgID="Equation.3" ShapeID="_x0000_i1041" DrawAspect="Content" ObjectID="_1468075741" r:id="rId69">
            <o:LockedField>false</o:LockedField>
          </o:OLEObject>
        </w:object>
      </w:r>
    </w:p>
    <w:p w14:paraId="44237858">
      <w:pPr>
        <w:spacing w:line="360" w:lineRule="auto"/>
        <w:ind w:firstLine="480" w:firstLineChars="200"/>
        <w:rPr>
          <w:rFonts w:hint="default" w:ascii="Arial" w:hAnsi="Arial" w:eastAsia="宋体" w:cs="Arial"/>
          <w:sz w:val="24"/>
        </w:rPr>
      </w:pPr>
      <w:r>
        <w:rPr>
          <w:rFonts w:hint="default" w:ascii="Arial" w:hAnsi="Arial" w:eastAsia="宋体" w:cs="Arial"/>
          <w:sz w:val="24"/>
        </w:rPr>
        <w:t>（2）室内声源</w:t>
      </w:r>
    </w:p>
    <w:p w14:paraId="6E3AF596">
      <w:pPr>
        <w:spacing w:line="360" w:lineRule="auto"/>
        <w:ind w:firstLine="480" w:firstLineChars="200"/>
        <w:rPr>
          <w:rFonts w:hint="default" w:ascii="Arial" w:hAnsi="Arial" w:eastAsia="宋体" w:cs="Arial"/>
          <w:sz w:val="24"/>
        </w:rPr>
      </w:pPr>
      <w:r>
        <w:rPr>
          <w:rFonts w:hint="default" w:ascii="Arial" w:hAnsi="Arial" w:eastAsia="宋体" w:cs="Arial"/>
          <w:sz w:val="24"/>
        </w:rPr>
        <w:t>声源位于室内，室内声源可采用等效室外声源声功率级法进行计算。</w:t>
      </w:r>
    </w:p>
    <w:p w14:paraId="653D9458">
      <w:pPr>
        <w:spacing w:line="360" w:lineRule="auto"/>
        <w:ind w:firstLine="480" w:firstLineChars="200"/>
        <w:rPr>
          <w:rFonts w:hint="default" w:ascii="Arial" w:hAnsi="Arial" w:eastAsia="宋体" w:cs="Arial"/>
          <w:sz w:val="24"/>
        </w:rPr>
      </w:pPr>
      <w:r>
        <w:rPr>
          <w:rFonts w:hint="default" w:ascii="Arial" w:hAnsi="Arial" w:eastAsia="宋体" w:cs="Arial"/>
          <w:sz w:val="24"/>
        </w:rPr>
        <w:t>某一室内声源靠近围护结构处产生的倍频带声压级：</w:t>
      </w:r>
    </w:p>
    <w:p w14:paraId="1D8B4619">
      <w:pPr>
        <w:spacing w:line="360" w:lineRule="auto"/>
        <w:ind w:firstLine="480" w:firstLineChars="200"/>
        <w:jc w:val="center"/>
        <w:rPr>
          <w:rFonts w:hint="default" w:ascii="Arial" w:hAnsi="Arial" w:eastAsia="宋体" w:cs="Arial"/>
          <w:sz w:val="24"/>
        </w:rPr>
      </w:pPr>
      <w:r>
        <w:rPr>
          <w:rFonts w:hint="default" w:ascii="Arial" w:hAnsi="Arial" w:eastAsia="宋体" w:cs="Arial"/>
          <w:position w:val="-24"/>
          <w:sz w:val="24"/>
        </w:rPr>
        <w:object>
          <v:shape id="_x0000_i1042" o:spt="75" type="#_x0000_t75" style="height:28.45pt;width:129.75pt;" o:ole="t" filled="f" coordsize="21600,21600">
            <v:path/>
            <v:fill on="f" focussize="0,0"/>
            <v:stroke/>
            <v:imagedata r:id="rId72" o:title=""/>
            <o:lock v:ext="edit" aspectratio="t"/>
            <w10:wrap type="none"/>
            <w10:anchorlock/>
          </v:shape>
          <o:OLEObject Type="Embed" ProgID="Equation.3" ShapeID="_x0000_i1042" DrawAspect="Content" ObjectID="_1468075742" r:id="rId71">
            <o:LockedField>false</o:LockedField>
          </o:OLEObject>
        </w:object>
      </w:r>
    </w:p>
    <w:p w14:paraId="4F7C1D6E">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Q</w:t>
      </w:r>
      <w:r>
        <w:rPr>
          <w:rFonts w:hint="default" w:ascii="Arial" w:hAnsi="Arial" w:eastAsia="宋体" w:cs="Arial"/>
          <w:sz w:val="24"/>
        </w:rPr>
        <w:t>——指向性因数；</w:t>
      </w:r>
    </w:p>
    <w:p w14:paraId="545226A1">
      <w:pPr>
        <w:spacing w:line="360" w:lineRule="auto"/>
        <w:ind w:firstLine="1200" w:firstLineChars="500"/>
        <w:rPr>
          <w:rFonts w:hint="default" w:ascii="Arial" w:hAnsi="Arial" w:eastAsia="宋体" w:cs="Arial"/>
          <w:sz w:val="24"/>
        </w:rPr>
      </w:pPr>
      <w:r>
        <w:rPr>
          <w:rFonts w:hint="default" w:ascii="Arial" w:hAnsi="Arial" w:eastAsia="宋体" w:cs="Arial"/>
          <w:i/>
          <w:sz w:val="24"/>
        </w:rPr>
        <w:t>R</w:t>
      </w:r>
      <w:r>
        <w:rPr>
          <w:rFonts w:hint="default" w:ascii="Arial" w:hAnsi="Arial" w:eastAsia="宋体" w:cs="Arial"/>
          <w:sz w:val="24"/>
        </w:rPr>
        <w:t>——房间常数；</w:t>
      </w:r>
      <w:r>
        <w:rPr>
          <w:rFonts w:hint="default" w:ascii="Arial" w:hAnsi="Arial" w:eastAsia="宋体" w:cs="Arial"/>
          <w:position w:val="-10"/>
          <w:sz w:val="24"/>
        </w:rPr>
        <w:object>
          <v:shape id="_x0000_i1043" o:spt="75" type="#_x0000_t75" style="height:13.4pt;width:72pt;" o:ole="t" filled="f" coordsize="21600,21600">
            <v:path/>
            <v:fill on="f" focussize="0,0"/>
            <v:stroke/>
            <v:imagedata r:id="rId74" o:title=""/>
            <o:lock v:ext="edit" aspectratio="t"/>
            <w10:wrap type="none"/>
            <w10:anchorlock/>
          </v:shape>
          <o:OLEObject Type="Embed" ProgID="Equation.3" ShapeID="_x0000_i1043" DrawAspect="Content" ObjectID="_1468075743" r:id="rId73">
            <o:LockedField>false</o:LockedField>
          </o:OLEObject>
        </w:object>
      </w:r>
      <w:r>
        <w:rPr>
          <w:rFonts w:hint="default" w:ascii="Arial" w:hAnsi="Arial" w:eastAsia="宋体" w:cs="Arial"/>
          <w:sz w:val="24"/>
        </w:rPr>
        <w:t>，其中：</w:t>
      </w:r>
      <w:r>
        <w:rPr>
          <w:rFonts w:hint="default" w:ascii="Arial" w:hAnsi="Arial" w:eastAsia="宋体" w:cs="Arial"/>
          <w:i/>
          <w:sz w:val="24"/>
        </w:rPr>
        <w:t>S</w:t>
      </w:r>
      <w:r>
        <w:rPr>
          <w:rFonts w:hint="default" w:ascii="Arial" w:hAnsi="Arial" w:eastAsia="宋体" w:cs="Arial"/>
          <w:sz w:val="24"/>
        </w:rPr>
        <w:t>为房间内表面面积，m</w:t>
      </w:r>
      <w:r>
        <w:rPr>
          <w:rFonts w:hint="default" w:ascii="Arial" w:hAnsi="Arial" w:eastAsia="宋体" w:cs="Arial"/>
          <w:sz w:val="24"/>
          <w:vertAlign w:val="superscript"/>
        </w:rPr>
        <w:t>2</w:t>
      </w:r>
      <w:r>
        <w:rPr>
          <w:rFonts w:hint="default" w:ascii="Arial" w:hAnsi="Arial" w:eastAsia="宋体" w:cs="Arial"/>
          <w:sz w:val="24"/>
        </w:rPr>
        <w:t>；</w:t>
      </w:r>
      <w:r>
        <w:rPr>
          <w:rFonts w:hint="default" w:ascii="Arial" w:hAnsi="Arial" w:eastAsia="宋体" w:cs="Arial"/>
          <w:i/>
          <w:sz w:val="24"/>
        </w:rPr>
        <w:t>α</w:t>
      </w:r>
      <w:r>
        <w:rPr>
          <w:rFonts w:hint="default" w:ascii="Arial" w:hAnsi="Arial" w:eastAsia="宋体" w:cs="Arial"/>
          <w:sz w:val="24"/>
        </w:rPr>
        <w:t>为平均吸声系数。</w:t>
      </w:r>
    </w:p>
    <w:p w14:paraId="48DC747C">
      <w:pPr>
        <w:spacing w:line="360" w:lineRule="auto"/>
        <w:ind w:firstLine="1200" w:firstLineChars="500"/>
        <w:rPr>
          <w:rFonts w:hint="default" w:ascii="Arial" w:hAnsi="Arial" w:eastAsia="宋体" w:cs="Arial"/>
          <w:sz w:val="24"/>
        </w:rPr>
      </w:pPr>
      <w:r>
        <w:rPr>
          <w:rFonts w:hint="default" w:ascii="Arial" w:hAnsi="Arial" w:eastAsia="宋体" w:cs="Arial"/>
          <w:i/>
          <w:sz w:val="24"/>
        </w:rPr>
        <w:t>r</w:t>
      </w:r>
      <w:r>
        <w:rPr>
          <w:rFonts w:hint="default" w:ascii="Arial" w:hAnsi="Arial" w:eastAsia="宋体" w:cs="Arial"/>
          <w:sz w:val="24"/>
        </w:rPr>
        <w:t>——声源到靠近围护结构某点处的距离，m。</w:t>
      </w:r>
    </w:p>
    <w:p w14:paraId="4B205B8A">
      <w:pPr>
        <w:spacing w:line="360" w:lineRule="auto"/>
        <w:ind w:firstLine="480" w:firstLineChars="200"/>
        <w:rPr>
          <w:rFonts w:hint="default" w:ascii="Arial" w:hAnsi="Arial" w:eastAsia="宋体" w:cs="Arial"/>
          <w:sz w:val="24"/>
        </w:rPr>
      </w:pPr>
      <w:r>
        <w:rPr>
          <w:rFonts w:hint="default" w:ascii="Arial" w:hAnsi="Arial" w:eastAsia="宋体" w:cs="Arial"/>
          <w:sz w:val="24"/>
        </w:rPr>
        <w:t>所有室内声源在围护结构处产生的i倍频带叠加声压级：</w:t>
      </w:r>
    </w:p>
    <w:p w14:paraId="678A1AA1">
      <w:pPr>
        <w:spacing w:line="360" w:lineRule="auto"/>
        <w:ind w:firstLine="480" w:firstLineChars="200"/>
        <w:jc w:val="center"/>
        <w:rPr>
          <w:rFonts w:hint="default" w:ascii="Arial" w:hAnsi="Arial" w:eastAsia="宋体" w:cs="Arial"/>
          <w:sz w:val="24"/>
        </w:rPr>
      </w:pPr>
      <w:r>
        <w:rPr>
          <w:rFonts w:hint="default" w:ascii="Arial" w:hAnsi="Arial" w:eastAsia="宋体" w:cs="Arial"/>
          <w:position w:val="-30"/>
          <w:sz w:val="24"/>
        </w:rPr>
        <w:object>
          <v:shape id="_x0000_i1044" o:spt="75" type="#_x0000_t75" style="height:36pt;width:129.75pt;" o:ole="t" filled="f" coordsize="21600,21600">
            <v:path/>
            <v:fill on="f" focussize="0,0"/>
            <v:stroke/>
            <v:imagedata r:id="rId76" o:title=""/>
            <o:lock v:ext="edit" aspectratio="t"/>
            <w10:wrap type="none"/>
            <w10:anchorlock/>
          </v:shape>
          <o:OLEObject Type="Embed" ProgID="Equation.3" ShapeID="_x0000_i1044" DrawAspect="Content" ObjectID="_1468075744" r:id="rId75">
            <o:LockedField>false</o:LockedField>
          </o:OLEObject>
        </w:object>
      </w:r>
    </w:p>
    <w:p w14:paraId="081C1446">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Pli</w:t>
      </w:r>
      <w:r>
        <w:rPr>
          <w:rFonts w:hint="default" w:ascii="Arial" w:hAnsi="Arial" w:eastAsia="宋体" w:cs="Arial"/>
          <w:i/>
          <w:sz w:val="24"/>
        </w:rPr>
        <w:t>(T)</w:t>
      </w:r>
      <w:r>
        <w:rPr>
          <w:rFonts w:hint="default" w:ascii="Arial" w:hAnsi="Arial" w:eastAsia="宋体" w:cs="Arial"/>
          <w:sz w:val="24"/>
        </w:rPr>
        <w:t>——靠近围护结构处室内N个声源i倍频带的叠加声压级，dB；</w:t>
      </w:r>
    </w:p>
    <w:p w14:paraId="07DBAD43">
      <w:pPr>
        <w:spacing w:line="360" w:lineRule="auto"/>
        <w:ind w:firstLine="1320" w:firstLineChars="550"/>
        <w:rPr>
          <w:rFonts w:hint="default" w:ascii="Arial" w:hAnsi="Arial" w:eastAsia="宋体" w:cs="Arial"/>
          <w:sz w:val="24"/>
        </w:rPr>
      </w:pPr>
      <w:r>
        <w:rPr>
          <w:rFonts w:hint="default" w:ascii="Arial" w:hAnsi="Arial" w:eastAsia="宋体" w:cs="Arial"/>
          <w:i/>
          <w:sz w:val="24"/>
        </w:rPr>
        <w:t>L</w:t>
      </w:r>
      <w:r>
        <w:rPr>
          <w:rFonts w:hint="default" w:ascii="Arial" w:hAnsi="Arial" w:eastAsia="宋体" w:cs="Arial"/>
          <w:i/>
          <w:sz w:val="24"/>
          <w:vertAlign w:val="subscript"/>
        </w:rPr>
        <w:t>Plj</w:t>
      </w:r>
      <w:r>
        <w:rPr>
          <w:rFonts w:hint="default" w:ascii="Arial" w:hAnsi="Arial" w:eastAsia="宋体" w:cs="Arial"/>
          <w:sz w:val="24"/>
        </w:rPr>
        <w:t>——室内j声源i倍频带的声压级，dB；</w:t>
      </w:r>
    </w:p>
    <w:p w14:paraId="47BACB5C">
      <w:pPr>
        <w:spacing w:line="360" w:lineRule="auto"/>
        <w:ind w:firstLine="1320" w:firstLineChars="550"/>
        <w:rPr>
          <w:rFonts w:hint="default" w:ascii="Arial" w:hAnsi="Arial" w:eastAsia="宋体" w:cs="Arial"/>
          <w:sz w:val="24"/>
        </w:rPr>
      </w:pPr>
      <w:r>
        <w:rPr>
          <w:rFonts w:hint="default" w:ascii="Arial" w:hAnsi="Arial" w:eastAsia="宋体" w:cs="Arial"/>
          <w:i/>
          <w:sz w:val="24"/>
        </w:rPr>
        <w:t>N</w:t>
      </w:r>
      <w:r>
        <w:rPr>
          <w:rFonts w:hint="default" w:ascii="Arial" w:hAnsi="Arial" w:eastAsia="宋体" w:cs="Arial"/>
          <w:sz w:val="24"/>
        </w:rPr>
        <w:t>——室内声源总数。</w:t>
      </w:r>
    </w:p>
    <w:p w14:paraId="20E6D241">
      <w:pPr>
        <w:spacing w:line="360" w:lineRule="auto"/>
        <w:ind w:firstLine="480" w:firstLineChars="200"/>
        <w:rPr>
          <w:rFonts w:hint="default" w:ascii="Arial" w:hAnsi="Arial" w:eastAsia="宋体" w:cs="Arial"/>
          <w:sz w:val="24"/>
        </w:rPr>
      </w:pPr>
      <w:r>
        <w:rPr>
          <w:rFonts w:hint="default" w:ascii="Arial" w:hAnsi="Arial" w:eastAsia="宋体" w:cs="Arial"/>
          <w:sz w:val="24"/>
        </w:rPr>
        <w:t>若声源所在室内声场为近似扩散声场，则室外的等效倍频带声压级：</w:t>
      </w:r>
    </w:p>
    <w:p w14:paraId="64B48A92">
      <w:pPr>
        <w:spacing w:line="360" w:lineRule="auto"/>
        <w:ind w:firstLine="480" w:firstLineChars="200"/>
        <w:jc w:val="center"/>
        <w:rPr>
          <w:rFonts w:hint="default" w:ascii="Arial" w:hAnsi="Arial" w:eastAsia="宋体" w:cs="Arial"/>
          <w:sz w:val="24"/>
        </w:rPr>
      </w:pPr>
      <w:r>
        <w:rPr>
          <w:rFonts w:hint="default" w:ascii="Arial" w:hAnsi="Arial" w:eastAsia="宋体" w:cs="Arial"/>
          <w:position w:val="-10"/>
          <w:sz w:val="24"/>
        </w:rPr>
        <w:object>
          <v:shape id="_x0000_i1045" o:spt="75" type="#_x0000_t75" style="height:13.4pt;width:100.45pt;" o:ole="t" filled="f" coordsize="21600,21600">
            <v:path/>
            <v:fill on="f" focussize="0,0"/>
            <v:stroke/>
            <v:imagedata r:id="rId78" o:title=""/>
            <o:lock v:ext="edit" aspectratio="t"/>
            <w10:wrap type="none"/>
            <w10:anchorlock/>
          </v:shape>
          <o:OLEObject Type="Embed" ProgID="Equation.3" ShapeID="_x0000_i1045" DrawAspect="Content" ObjectID="_1468075745" r:id="rId77">
            <o:LockedField>false</o:LockedField>
          </o:OLEObject>
        </w:object>
      </w:r>
    </w:p>
    <w:p w14:paraId="325552FD">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P2</w:t>
      </w:r>
      <w:r>
        <w:rPr>
          <w:rFonts w:hint="default" w:ascii="Arial" w:hAnsi="Arial" w:eastAsia="宋体" w:cs="Arial"/>
          <w:sz w:val="24"/>
        </w:rPr>
        <w:t>——等效室外倍频带的声压级，dB；</w:t>
      </w:r>
    </w:p>
    <w:p w14:paraId="1D78B572">
      <w:pPr>
        <w:spacing w:line="360" w:lineRule="auto"/>
        <w:ind w:firstLine="1200" w:firstLineChars="500"/>
        <w:rPr>
          <w:rFonts w:hint="default" w:ascii="Arial" w:hAnsi="Arial" w:eastAsia="宋体" w:cs="Arial"/>
          <w:sz w:val="24"/>
        </w:rPr>
      </w:pPr>
      <w:r>
        <w:rPr>
          <w:rFonts w:hint="default" w:ascii="Arial" w:hAnsi="Arial" w:eastAsia="宋体" w:cs="Arial"/>
          <w:i/>
          <w:sz w:val="24"/>
        </w:rPr>
        <w:t>L</w:t>
      </w:r>
      <w:r>
        <w:rPr>
          <w:rFonts w:hint="default" w:ascii="Arial" w:hAnsi="Arial" w:eastAsia="宋体" w:cs="Arial"/>
          <w:i/>
          <w:sz w:val="24"/>
          <w:vertAlign w:val="subscript"/>
        </w:rPr>
        <w:t>P1</w:t>
      </w:r>
      <w:r>
        <w:rPr>
          <w:rFonts w:hint="default" w:ascii="Arial" w:hAnsi="Arial" w:eastAsia="宋体" w:cs="Arial"/>
          <w:sz w:val="24"/>
        </w:rPr>
        <w:t>——室内倍频带的声压级，dB；</w:t>
      </w:r>
    </w:p>
    <w:p w14:paraId="607CDA76">
      <w:pPr>
        <w:spacing w:line="360" w:lineRule="auto"/>
        <w:ind w:firstLine="1200" w:firstLineChars="500"/>
        <w:rPr>
          <w:rFonts w:hint="default" w:ascii="Arial" w:hAnsi="Arial" w:eastAsia="宋体" w:cs="Arial"/>
          <w:sz w:val="24"/>
        </w:rPr>
      </w:pPr>
      <w:r>
        <w:rPr>
          <w:rFonts w:hint="default" w:ascii="Arial" w:hAnsi="Arial" w:eastAsia="宋体" w:cs="Arial"/>
          <w:i/>
          <w:iCs/>
          <w:sz w:val="24"/>
        </w:rPr>
        <w:t>TL</w:t>
      </w:r>
      <w:r>
        <w:rPr>
          <w:rFonts w:hint="default" w:ascii="Arial" w:hAnsi="Arial" w:eastAsia="宋体" w:cs="Arial"/>
          <w:sz w:val="24"/>
        </w:rPr>
        <w:t>——隔墙（或窗户）倍频带的隔声量，dB。</w:t>
      </w:r>
    </w:p>
    <w:p w14:paraId="74D1D5CF">
      <w:pPr>
        <w:spacing w:line="360" w:lineRule="auto"/>
        <w:ind w:firstLine="480" w:firstLineChars="200"/>
        <w:rPr>
          <w:rFonts w:hint="default" w:ascii="Arial" w:hAnsi="Arial" w:eastAsia="宋体" w:cs="Arial"/>
          <w:sz w:val="24"/>
        </w:rPr>
      </w:pPr>
      <w:r>
        <w:rPr>
          <w:rFonts w:hint="default" w:ascii="Arial" w:hAnsi="Arial" w:eastAsia="宋体" w:cs="Arial"/>
          <w:sz w:val="24"/>
        </w:rPr>
        <w:t>在室内近似为扩散声场时，靠近室外围护结构处的声压级：</w:t>
      </w:r>
    </w:p>
    <w:p w14:paraId="0F5C11F0">
      <w:pPr>
        <w:spacing w:line="360" w:lineRule="auto"/>
        <w:ind w:firstLine="480" w:firstLineChars="200"/>
        <w:jc w:val="center"/>
        <w:rPr>
          <w:rFonts w:hint="default" w:ascii="Arial" w:hAnsi="Arial" w:eastAsia="宋体" w:cs="Arial"/>
          <w:sz w:val="24"/>
        </w:rPr>
      </w:pPr>
      <w:r>
        <w:rPr>
          <w:rFonts w:hint="default" w:ascii="Arial" w:hAnsi="Arial" w:eastAsia="宋体" w:cs="Arial"/>
          <w:position w:val="-12"/>
          <w:sz w:val="24"/>
        </w:rPr>
        <w:object>
          <v:shape id="_x0000_i1046" o:spt="75" type="#_x0000_t75" style="height:13.4pt;width:136.45pt;" o:ole="t" filled="f" coordsize="21600,21600">
            <v:path/>
            <v:fill on="f" focussize="0,0"/>
            <v:stroke/>
            <v:imagedata r:id="rId80" o:title=""/>
            <o:lock v:ext="edit" aspectratio="t"/>
            <w10:wrap type="none"/>
            <w10:anchorlock/>
          </v:shape>
          <o:OLEObject Type="Embed" ProgID="Equation.3" ShapeID="_x0000_i1046" DrawAspect="Content" ObjectID="_1468075746" r:id="rId79">
            <o:LockedField>false</o:LockedField>
          </o:OLEObject>
        </w:object>
      </w:r>
    </w:p>
    <w:p w14:paraId="519B74C4">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Pli</w:t>
      </w:r>
      <w:r>
        <w:rPr>
          <w:rFonts w:hint="default" w:ascii="Arial" w:hAnsi="Arial" w:eastAsia="宋体" w:cs="Arial"/>
          <w:i/>
          <w:sz w:val="24"/>
        </w:rPr>
        <w:t>(T)</w:t>
      </w:r>
      <w:r>
        <w:rPr>
          <w:rFonts w:hint="default" w:ascii="Arial" w:hAnsi="Arial" w:eastAsia="宋体" w:cs="Arial"/>
          <w:sz w:val="24"/>
        </w:rPr>
        <w:t>——靠近围护结构处室外N个声源i倍频带的叠加声压级，dB；</w:t>
      </w:r>
    </w:p>
    <w:p w14:paraId="58095982">
      <w:pPr>
        <w:spacing w:line="360" w:lineRule="auto"/>
        <w:ind w:firstLine="1080" w:firstLineChars="450"/>
        <w:rPr>
          <w:rFonts w:hint="default" w:ascii="Arial" w:hAnsi="Arial" w:eastAsia="宋体" w:cs="Arial"/>
          <w:sz w:val="24"/>
        </w:rPr>
      </w:pPr>
      <w:r>
        <w:rPr>
          <w:rFonts w:hint="default" w:ascii="Arial" w:hAnsi="Arial" w:eastAsia="宋体" w:cs="Arial"/>
          <w:i/>
          <w:sz w:val="24"/>
        </w:rPr>
        <w:t>TL</w:t>
      </w:r>
      <w:r>
        <w:rPr>
          <w:rFonts w:hint="default" w:ascii="Arial" w:hAnsi="Arial" w:eastAsia="宋体" w:cs="Arial"/>
          <w:i/>
          <w:sz w:val="24"/>
          <w:vertAlign w:val="subscript"/>
        </w:rPr>
        <w:t>i</w:t>
      </w:r>
      <w:r>
        <w:rPr>
          <w:rFonts w:hint="default" w:ascii="Arial" w:hAnsi="Arial" w:eastAsia="宋体" w:cs="Arial"/>
          <w:sz w:val="24"/>
        </w:rPr>
        <w:t>——围护结构i倍频带的隔声量，dB。</w:t>
      </w:r>
    </w:p>
    <w:p w14:paraId="4F8C4BD0">
      <w:pPr>
        <w:spacing w:line="360" w:lineRule="auto"/>
        <w:ind w:firstLine="480" w:firstLineChars="200"/>
        <w:rPr>
          <w:rFonts w:hint="default" w:ascii="Arial" w:hAnsi="Arial" w:eastAsia="宋体" w:cs="Arial"/>
          <w:sz w:val="24"/>
        </w:rPr>
      </w:pPr>
      <w:r>
        <w:rPr>
          <w:rFonts w:hint="default" w:ascii="Arial" w:hAnsi="Arial" w:eastAsia="宋体" w:cs="Arial"/>
          <w:sz w:val="24"/>
        </w:rPr>
        <w:t>等效室外声源的倍频带声功率级：</w:t>
      </w:r>
    </w:p>
    <w:p w14:paraId="6ACA0D85">
      <w:pPr>
        <w:spacing w:line="360" w:lineRule="auto"/>
        <w:ind w:firstLine="480" w:firstLineChars="200"/>
        <w:jc w:val="center"/>
        <w:rPr>
          <w:rFonts w:hint="default" w:ascii="Arial" w:hAnsi="Arial" w:eastAsia="宋体" w:cs="Arial"/>
          <w:sz w:val="24"/>
        </w:rPr>
      </w:pPr>
      <w:r>
        <w:rPr>
          <w:rFonts w:hint="default" w:ascii="Arial" w:hAnsi="Arial" w:eastAsia="宋体" w:cs="Arial"/>
          <w:position w:val="-12"/>
          <w:sz w:val="24"/>
        </w:rPr>
        <w:object>
          <v:shape id="_x0000_i1047" o:spt="75" type="#_x0000_t75" style="height:13.4pt;width:108pt;" o:ole="t" filled="f" coordsize="21600,21600">
            <v:path/>
            <v:fill on="f" focussize="0,0"/>
            <v:stroke/>
            <v:imagedata r:id="rId82" o:title=""/>
            <o:lock v:ext="edit" aspectratio="t"/>
            <w10:wrap type="none"/>
            <w10:anchorlock/>
          </v:shape>
          <o:OLEObject Type="Embed" ProgID="Equation.3" ShapeID="_x0000_i1047" DrawAspect="Content" ObjectID="_1468075747" r:id="rId81">
            <o:LockedField>false</o:LockedField>
          </o:OLEObject>
        </w:object>
      </w:r>
    </w:p>
    <w:p w14:paraId="5228314C">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P2</w:t>
      </w:r>
      <w:r>
        <w:rPr>
          <w:rFonts w:hint="default" w:ascii="Arial" w:hAnsi="Arial" w:eastAsia="宋体" w:cs="Arial"/>
          <w:i/>
          <w:sz w:val="24"/>
        </w:rPr>
        <w:t>(T)</w:t>
      </w:r>
      <w:r>
        <w:rPr>
          <w:rFonts w:hint="default" w:ascii="Arial" w:hAnsi="Arial" w:eastAsia="宋体" w:cs="Arial"/>
          <w:sz w:val="24"/>
        </w:rPr>
        <w:t xml:space="preserve"> ——室外声源倍频带声压级，dB；</w:t>
      </w:r>
    </w:p>
    <w:p w14:paraId="74C92E21">
      <w:pPr>
        <w:spacing w:line="360" w:lineRule="auto"/>
        <w:ind w:firstLine="1200" w:firstLineChars="500"/>
        <w:rPr>
          <w:rFonts w:hint="default" w:ascii="Arial" w:hAnsi="Arial" w:eastAsia="宋体" w:cs="Arial"/>
          <w:sz w:val="24"/>
        </w:rPr>
      </w:pPr>
      <w:r>
        <w:rPr>
          <w:rFonts w:hint="default" w:ascii="Arial" w:hAnsi="Arial" w:eastAsia="宋体" w:cs="Arial"/>
          <w:i/>
          <w:sz w:val="24"/>
        </w:rPr>
        <w:t>S</w:t>
      </w:r>
      <w:r>
        <w:rPr>
          <w:rFonts w:hint="default" w:ascii="Arial" w:hAnsi="Arial" w:eastAsia="宋体" w:cs="Arial"/>
          <w:sz w:val="24"/>
        </w:rPr>
        <w:t>——透声面积，m</w:t>
      </w:r>
      <w:r>
        <w:rPr>
          <w:rFonts w:hint="default" w:ascii="Arial" w:hAnsi="Arial" w:eastAsia="宋体" w:cs="Arial"/>
          <w:sz w:val="24"/>
          <w:vertAlign w:val="superscript"/>
        </w:rPr>
        <w:t>2</w:t>
      </w:r>
      <w:r>
        <w:rPr>
          <w:rFonts w:hint="default" w:ascii="Arial" w:hAnsi="Arial" w:eastAsia="宋体" w:cs="Arial"/>
          <w:sz w:val="24"/>
        </w:rPr>
        <w:t>。</w:t>
      </w:r>
    </w:p>
    <w:p w14:paraId="0584887C">
      <w:pPr>
        <w:spacing w:line="360" w:lineRule="auto"/>
        <w:ind w:firstLine="480" w:firstLineChars="200"/>
        <w:rPr>
          <w:rFonts w:hint="default" w:ascii="Arial" w:hAnsi="Arial" w:eastAsia="宋体" w:cs="Arial"/>
          <w:sz w:val="24"/>
        </w:rPr>
      </w:pPr>
      <w:r>
        <w:rPr>
          <w:rFonts w:hint="default" w:ascii="Arial" w:hAnsi="Arial" w:eastAsia="宋体" w:cs="Arial"/>
          <w:sz w:val="24"/>
        </w:rPr>
        <w:t>（3）噪声贡献值</w:t>
      </w:r>
    </w:p>
    <w:p w14:paraId="523149ED">
      <w:pPr>
        <w:spacing w:line="360" w:lineRule="auto"/>
        <w:ind w:firstLine="480" w:firstLineChars="200"/>
        <w:rPr>
          <w:rFonts w:hint="default" w:ascii="Arial" w:hAnsi="Arial" w:eastAsia="宋体" w:cs="Arial"/>
          <w:sz w:val="24"/>
        </w:rPr>
      </w:pPr>
      <w:r>
        <w:rPr>
          <w:rFonts w:hint="default" w:ascii="Arial" w:hAnsi="Arial" w:eastAsia="宋体" w:cs="Arial"/>
          <w:sz w:val="24"/>
        </w:rPr>
        <w:t>设第i个室外声源在预测点产生的A声级为</w:t>
      </w:r>
      <w:r>
        <w:rPr>
          <w:rFonts w:hint="default" w:ascii="Arial" w:hAnsi="Arial" w:eastAsia="宋体" w:cs="Arial"/>
          <w:i/>
          <w:sz w:val="24"/>
        </w:rPr>
        <w:t>L</w:t>
      </w:r>
      <w:r>
        <w:rPr>
          <w:rFonts w:hint="default" w:ascii="Arial" w:hAnsi="Arial" w:eastAsia="宋体" w:cs="Arial"/>
          <w:i/>
          <w:sz w:val="24"/>
          <w:vertAlign w:val="subscript"/>
        </w:rPr>
        <w:t>Ai</w:t>
      </w:r>
      <w:r>
        <w:rPr>
          <w:rFonts w:hint="default" w:ascii="Arial" w:hAnsi="Arial" w:eastAsia="宋体" w:cs="Arial"/>
          <w:sz w:val="24"/>
        </w:rPr>
        <w:t>，在T时间内该声源工作时间为；第j个等效室外声源在预测点产生的A声级为</w:t>
      </w:r>
      <w:r>
        <w:rPr>
          <w:rFonts w:hint="default" w:ascii="Arial" w:hAnsi="Arial" w:eastAsia="宋体" w:cs="Arial"/>
          <w:i/>
          <w:sz w:val="24"/>
        </w:rPr>
        <w:t>L</w:t>
      </w:r>
      <w:r>
        <w:rPr>
          <w:rFonts w:hint="default" w:ascii="Arial" w:hAnsi="Arial" w:eastAsia="宋体" w:cs="Arial"/>
          <w:i/>
          <w:sz w:val="24"/>
          <w:vertAlign w:val="subscript"/>
        </w:rPr>
        <w:t>Aj</w:t>
      </w:r>
      <w:r>
        <w:rPr>
          <w:rFonts w:hint="default" w:ascii="Arial" w:hAnsi="Arial" w:eastAsia="宋体" w:cs="Arial"/>
          <w:sz w:val="24"/>
        </w:rPr>
        <w:t>，在T时间内该声源工作时间为</w:t>
      </w:r>
      <w:r>
        <w:rPr>
          <w:rFonts w:hint="default" w:ascii="Arial" w:hAnsi="Arial" w:eastAsia="宋体" w:cs="Arial"/>
          <w:i/>
          <w:sz w:val="24"/>
        </w:rPr>
        <w:t>t</w:t>
      </w:r>
      <w:r>
        <w:rPr>
          <w:rFonts w:hint="default" w:ascii="Arial" w:hAnsi="Arial" w:eastAsia="宋体" w:cs="Arial"/>
          <w:i/>
          <w:sz w:val="24"/>
          <w:vertAlign w:val="subscript"/>
        </w:rPr>
        <w:t>j</w:t>
      </w:r>
      <w:r>
        <w:rPr>
          <w:rFonts w:hint="default" w:ascii="Arial" w:hAnsi="Arial" w:eastAsia="宋体" w:cs="Arial"/>
          <w:sz w:val="24"/>
        </w:rPr>
        <w:t>，则拟建工程声源对预测点产生的贡献值（</w:t>
      </w:r>
      <w:r>
        <w:rPr>
          <w:rFonts w:hint="default" w:ascii="Arial" w:hAnsi="Arial" w:eastAsia="宋体" w:cs="Arial"/>
          <w:i/>
          <w:sz w:val="24"/>
        </w:rPr>
        <w:t>L</w:t>
      </w:r>
      <w:r>
        <w:rPr>
          <w:rFonts w:hint="default" w:ascii="Arial" w:hAnsi="Arial" w:eastAsia="宋体" w:cs="Arial"/>
          <w:i/>
          <w:sz w:val="24"/>
          <w:vertAlign w:val="subscript"/>
        </w:rPr>
        <w:t>eqg</w:t>
      </w:r>
      <w:r>
        <w:rPr>
          <w:rFonts w:hint="default" w:ascii="Arial" w:hAnsi="Arial" w:eastAsia="宋体" w:cs="Arial"/>
          <w:sz w:val="24"/>
        </w:rPr>
        <w:t>）为：</w:t>
      </w:r>
    </w:p>
    <w:p w14:paraId="4900B295">
      <w:pPr>
        <w:spacing w:line="360" w:lineRule="auto"/>
        <w:ind w:firstLine="480" w:firstLineChars="200"/>
        <w:jc w:val="center"/>
        <w:rPr>
          <w:rFonts w:hint="default" w:ascii="Arial" w:hAnsi="Arial" w:eastAsia="宋体" w:cs="Arial"/>
          <w:sz w:val="24"/>
        </w:rPr>
      </w:pPr>
      <w:r>
        <w:rPr>
          <w:rFonts w:hint="default" w:ascii="Arial" w:hAnsi="Arial" w:eastAsia="宋体" w:cs="Arial"/>
          <w:position w:val="-34"/>
          <w:sz w:val="24"/>
        </w:rPr>
        <w:object>
          <v:shape id="_x0000_i1048" o:spt="75" type="#_x0000_t75" style="height:43.55pt;width:210.15pt;" o:ole="t" filled="f" coordsize="21600,21600">
            <v:path/>
            <v:fill on="f" focussize="0,0"/>
            <v:stroke/>
            <v:imagedata r:id="rId84" o:title=""/>
            <o:lock v:ext="edit" aspectratio="t"/>
            <w10:wrap type="none"/>
            <w10:anchorlock/>
          </v:shape>
          <o:OLEObject Type="Embed" ProgID="Equation.3" ShapeID="_x0000_i1048" DrawAspect="Content" ObjectID="_1468075748" r:id="rId83">
            <o:LockedField>false</o:LockedField>
          </o:OLEObject>
        </w:object>
      </w:r>
    </w:p>
    <w:p w14:paraId="49C255B0">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t</w:t>
      </w:r>
      <w:r>
        <w:rPr>
          <w:rFonts w:hint="default" w:ascii="Arial" w:hAnsi="Arial" w:eastAsia="宋体" w:cs="Arial"/>
          <w:i/>
          <w:sz w:val="24"/>
          <w:vertAlign w:val="subscript"/>
        </w:rPr>
        <w:t>j</w:t>
      </w:r>
      <w:r>
        <w:rPr>
          <w:rFonts w:hint="default" w:ascii="Arial" w:hAnsi="Arial" w:eastAsia="宋体" w:cs="Arial"/>
          <w:sz w:val="24"/>
        </w:rPr>
        <w:t>——在T时间内j声源工作时间，s；</w:t>
      </w:r>
    </w:p>
    <w:p w14:paraId="1DD54FA7">
      <w:pPr>
        <w:spacing w:line="360" w:lineRule="auto"/>
        <w:ind w:firstLine="1200" w:firstLineChars="500"/>
        <w:rPr>
          <w:rFonts w:hint="default" w:ascii="Arial" w:hAnsi="Arial" w:eastAsia="宋体" w:cs="Arial"/>
          <w:sz w:val="24"/>
        </w:rPr>
      </w:pPr>
      <w:r>
        <w:rPr>
          <w:rFonts w:hint="default" w:ascii="Arial" w:hAnsi="Arial" w:eastAsia="宋体" w:cs="Arial"/>
          <w:i/>
          <w:sz w:val="24"/>
        </w:rPr>
        <w:t>t</w:t>
      </w:r>
      <w:r>
        <w:rPr>
          <w:rFonts w:hint="default" w:ascii="Arial" w:hAnsi="Arial" w:eastAsia="宋体" w:cs="Arial"/>
          <w:i/>
          <w:sz w:val="24"/>
          <w:vertAlign w:val="subscript"/>
        </w:rPr>
        <w:t>i</w:t>
      </w:r>
      <w:r>
        <w:rPr>
          <w:rFonts w:hint="default" w:ascii="Arial" w:hAnsi="Arial" w:eastAsia="宋体" w:cs="Arial"/>
          <w:sz w:val="24"/>
        </w:rPr>
        <w:t>——在T时间内i声源工作时间，s；</w:t>
      </w:r>
    </w:p>
    <w:p w14:paraId="1D2600DF">
      <w:pPr>
        <w:spacing w:line="360" w:lineRule="auto"/>
        <w:ind w:firstLine="1200" w:firstLineChars="500"/>
        <w:rPr>
          <w:rFonts w:hint="default" w:ascii="Arial" w:hAnsi="Arial" w:eastAsia="宋体" w:cs="Arial"/>
          <w:sz w:val="24"/>
        </w:rPr>
      </w:pPr>
      <w:r>
        <w:rPr>
          <w:rFonts w:hint="default" w:ascii="Arial" w:hAnsi="Arial" w:eastAsia="宋体" w:cs="Arial"/>
          <w:i/>
          <w:sz w:val="24"/>
        </w:rPr>
        <w:t>T</w:t>
      </w:r>
      <w:r>
        <w:rPr>
          <w:rFonts w:hint="default" w:ascii="Arial" w:hAnsi="Arial" w:eastAsia="宋体" w:cs="Arial"/>
          <w:sz w:val="24"/>
        </w:rPr>
        <w:t>——用于计算等效声级的时间，s；</w:t>
      </w:r>
    </w:p>
    <w:p w14:paraId="0D965297">
      <w:pPr>
        <w:spacing w:line="360" w:lineRule="auto"/>
        <w:ind w:firstLine="1200" w:firstLineChars="500"/>
        <w:rPr>
          <w:rFonts w:hint="default" w:ascii="Arial" w:hAnsi="Arial" w:eastAsia="宋体" w:cs="Arial"/>
          <w:sz w:val="24"/>
        </w:rPr>
      </w:pPr>
      <w:r>
        <w:rPr>
          <w:rFonts w:hint="default" w:ascii="Arial" w:hAnsi="Arial" w:eastAsia="宋体" w:cs="Arial"/>
          <w:i/>
          <w:sz w:val="24"/>
        </w:rPr>
        <w:t>N</w:t>
      </w:r>
      <w:r>
        <w:rPr>
          <w:rFonts w:hint="default" w:ascii="Arial" w:hAnsi="Arial" w:eastAsia="宋体" w:cs="Arial"/>
          <w:sz w:val="24"/>
        </w:rPr>
        <w:t>——室外声源个数；</w:t>
      </w:r>
    </w:p>
    <w:p w14:paraId="0F114184">
      <w:pPr>
        <w:spacing w:line="360" w:lineRule="auto"/>
        <w:ind w:firstLine="1200" w:firstLineChars="500"/>
        <w:rPr>
          <w:rFonts w:hint="default" w:ascii="Arial" w:hAnsi="Arial" w:eastAsia="宋体" w:cs="Arial"/>
          <w:sz w:val="24"/>
        </w:rPr>
      </w:pPr>
      <w:r>
        <w:rPr>
          <w:rFonts w:hint="default" w:ascii="Arial" w:hAnsi="Arial" w:eastAsia="宋体" w:cs="Arial"/>
          <w:i/>
          <w:sz w:val="24"/>
        </w:rPr>
        <w:t>M</w:t>
      </w:r>
      <w:r>
        <w:rPr>
          <w:rFonts w:hint="default" w:ascii="Arial" w:hAnsi="Arial" w:eastAsia="宋体" w:cs="Arial"/>
          <w:sz w:val="24"/>
        </w:rPr>
        <w:t>——等效室外声源个数。</w:t>
      </w:r>
    </w:p>
    <w:p w14:paraId="47F06681">
      <w:pPr>
        <w:spacing w:line="360" w:lineRule="auto"/>
        <w:ind w:firstLine="480" w:firstLineChars="200"/>
        <w:rPr>
          <w:rFonts w:hint="default" w:ascii="Arial" w:hAnsi="Arial" w:eastAsia="宋体" w:cs="Arial"/>
          <w:sz w:val="24"/>
        </w:rPr>
      </w:pPr>
      <w:r>
        <w:rPr>
          <w:rFonts w:hint="default" w:ascii="Arial" w:hAnsi="Arial" w:eastAsia="宋体" w:cs="Arial"/>
          <w:sz w:val="24"/>
        </w:rPr>
        <w:t>项目声源在预测点产生的等效声级贡献值(</w:t>
      </w:r>
      <w:r>
        <w:rPr>
          <w:rFonts w:hint="default" w:ascii="Arial" w:hAnsi="Arial" w:eastAsia="宋体" w:cs="Arial"/>
          <w:i/>
          <w:sz w:val="24"/>
        </w:rPr>
        <w:t>L</w:t>
      </w:r>
      <w:r>
        <w:rPr>
          <w:rFonts w:hint="default" w:ascii="Arial" w:hAnsi="Arial" w:eastAsia="宋体" w:cs="Arial"/>
          <w:i/>
          <w:sz w:val="24"/>
          <w:vertAlign w:val="subscript"/>
        </w:rPr>
        <w:t>eqg</w:t>
      </w:r>
      <w:r>
        <w:rPr>
          <w:rFonts w:hint="default" w:ascii="Arial" w:hAnsi="Arial" w:eastAsia="宋体" w:cs="Arial"/>
          <w:sz w:val="24"/>
        </w:rPr>
        <w:t>)计算公式为：</w:t>
      </w:r>
    </w:p>
    <w:p w14:paraId="381AF6F1">
      <w:pPr>
        <w:spacing w:line="360" w:lineRule="auto"/>
        <w:ind w:firstLine="480" w:firstLineChars="200"/>
        <w:jc w:val="center"/>
        <w:rPr>
          <w:rFonts w:hint="default" w:ascii="Arial" w:hAnsi="Arial" w:eastAsia="宋体" w:cs="Arial"/>
          <w:sz w:val="24"/>
        </w:rPr>
      </w:pPr>
      <w:r>
        <w:rPr>
          <w:rFonts w:hint="default" w:ascii="Arial" w:hAnsi="Arial" w:eastAsia="宋体" w:cs="Arial"/>
          <w:position w:val="-28"/>
          <w:sz w:val="24"/>
        </w:rPr>
        <w:object>
          <v:shape id="_x0000_i1049" o:spt="75" type="#_x0000_t75" style="height:28.45pt;width:129.75pt;" o:ole="t" filled="f" coordsize="21600,21600">
            <v:path/>
            <v:fill on="f" focussize="0,0"/>
            <v:stroke/>
            <v:imagedata r:id="rId86" o:title=""/>
            <o:lock v:ext="edit" aspectratio="t"/>
            <w10:wrap type="none"/>
            <w10:anchorlock/>
          </v:shape>
          <o:OLEObject Type="Embed" ProgID="PBrush" ShapeID="_x0000_i1049" DrawAspect="Content" ObjectID="_1468075749" r:id="rId85">
            <o:LockedField>false</o:LockedField>
          </o:OLEObject>
        </w:object>
      </w:r>
    </w:p>
    <w:p w14:paraId="470F34BB">
      <w:pPr>
        <w:spacing w:line="360" w:lineRule="auto"/>
        <w:ind w:firstLine="480" w:firstLineChars="200"/>
        <w:rPr>
          <w:rFonts w:hint="default" w:ascii="Arial" w:hAnsi="Arial" w:eastAsia="宋体" w:cs="Arial"/>
          <w:sz w:val="24"/>
        </w:rPr>
      </w:pPr>
      <w:r>
        <w:rPr>
          <w:rFonts w:hint="default" w:ascii="Arial" w:hAnsi="Arial" w:eastAsia="宋体" w:cs="Arial"/>
          <w:sz w:val="24"/>
        </w:rPr>
        <w:t>式中：</w:t>
      </w:r>
      <w:r>
        <w:rPr>
          <w:rFonts w:hint="default" w:ascii="Arial" w:hAnsi="Arial" w:eastAsia="宋体" w:cs="Arial"/>
          <w:i/>
          <w:sz w:val="24"/>
        </w:rPr>
        <w:t>L</w:t>
      </w:r>
      <w:r>
        <w:rPr>
          <w:rFonts w:hint="default" w:ascii="Arial" w:hAnsi="Arial" w:eastAsia="宋体" w:cs="Arial"/>
          <w:i/>
          <w:sz w:val="24"/>
          <w:vertAlign w:val="subscript"/>
        </w:rPr>
        <w:t>eqg</w:t>
      </w:r>
      <w:r>
        <w:rPr>
          <w:rFonts w:hint="default" w:ascii="Arial" w:hAnsi="Arial" w:eastAsia="宋体" w:cs="Arial"/>
          <w:sz w:val="24"/>
        </w:rPr>
        <w:t>——项目声源在预测点的等效声级贡献值，dB(A)；</w:t>
      </w:r>
    </w:p>
    <w:p w14:paraId="37C57DB4">
      <w:pPr>
        <w:spacing w:line="360" w:lineRule="auto"/>
        <w:ind w:firstLine="1200" w:firstLineChars="500"/>
        <w:rPr>
          <w:rFonts w:hint="default" w:ascii="Arial" w:hAnsi="Arial" w:eastAsia="宋体" w:cs="Arial"/>
          <w:sz w:val="24"/>
        </w:rPr>
      </w:pPr>
      <w:r>
        <w:rPr>
          <w:rFonts w:hint="default" w:ascii="Arial" w:hAnsi="Arial" w:eastAsia="宋体" w:cs="Arial"/>
          <w:i/>
          <w:sz w:val="24"/>
        </w:rPr>
        <w:t>L</w:t>
      </w:r>
      <w:r>
        <w:rPr>
          <w:rFonts w:hint="default" w:ascii="Arial" w:hAnsi="Arial" w:eastAsia="宋体" w:cs="Arial"/>
          <w:i/>
          <w:sz w:val="24"/>
          <w:vertAlign w:val="subscript"/>
        </w:rPr>
        <w:t>Ai</w:t>
      </w:r>
      <w:r>
        <w:rPr>
          <w:rFonts w:hint="default" w:ascii="Arial" w:hAnsi="Arial" w:eastAsia="宋体" w:cs="Arial"/>
          <w:sz w:val="24"/>
        </w:rPr>
        <w:t>——声源在预测点产生的A声级，dB(A)；</w:t>
      </w:r>
    </w:p>
    <w:p w14:paraId="182763B0">
      <w:pPr>
        <w:spacing w:line="360" w:lineRule="auto"/>
        <w:ind w:firstLine="1200" w:firstLineChars="500"/>
        <w:rPr>
          <w:rFonts w:hint="default" w:ascii="Arial" w:hAnsi="Arial" w:eastAsia="宋体" w:cs="Arial"/>
          <w:sz w:val="24"/>
        </w:rPr>
      </w:pPr>
      <w:r>
        <w:rPr>
          <w:rFonts w:hint="default" w:ascii="Arial" w:hAnsi="Arial" w:eastAsia="宋体" w:cs="Arial"/>
          <w:i/>
          <w:sz w:val="24"/>
        </w:rPr>
        <w:t>T</w:t>
      </w:r>
      <w:r>
        <w:rPr>
          <w:rFonts w:hint="default" w:ascii="Arial" w:hAnsi="Arial" w:eastAsia="宋体" w:cs="Arial"/>
          <w:sz w:val="24"/>
        </w:rPr>
        <w:t>——预测计算的时间段，s；</w:t>
      </w:r>
    </w:p>
    <w:p w14:paraId="797897ED">
      <w:pPr>
        <w:spacing w:line="360" w:lineRule="auto"/>
        <w:ind w:firstLine="1200" w:firstLineChars="500"/>
        <w:rPr>
          <w:rFonts w:hint="default" w:ascii="Arial" w:hAnsi="Arial" w:eastAsia="宋体" w:cs="Arial"/>
          <w:sz w:val="24"/>
        </w:rPr>
      </w:pPr>
      <w:r>
        <w:rPr>
          <w:rFonts w:hint="default" w:ascii="Arial" w:hAnsi="Arial" w:eastAsia="宋体" w:cs="Arial"/>
          <w:i/>
          <w:sz w:val="24"/>
        </w:rPr>
        <w:t>t</w:t>
      </w:r>
      <w:r>
        <w:rPr>
          <w:rFonts w:hint="default" w:ascii="Arial" w:hAnsi="Arial" w:eastAsia="宋体" w:cs="Arial"/>
          <w:i/>
          <w:sz w:val="24"/>
          <w:vertAlign w:val="subscript"/>
        </w:rPr>
        <w:t>i</w:t>
      </w:r>
      <w:r>
        <w:rPr>
          <w:rFonts w:hint="default" w:ascii="Arial" w:hAnsi="Arial" w:eastAsia="宋体" w:cs="Arial"/>
          <w:sz w:val="24"/>
        </w:rPr>
        <w:t>——i声源在T时段内的运行时间，s。</w:t>
      </w:r>
    </w:p>
    <w:p w14:paraId="2BA8467F">
      <w:pPr>
        <w:pStyle w:val="76"/>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4.2.3.3预测参数与条件</w:t>
      </w:r>
    </w:p>
    <w:p w14:paraId="0CA8A5DD">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（1）声波在传播过程中能量衰减的因素较多。本评价预测时仅考虑几何发散和声屏障引起的衰减，其他因素的衰减，如地面效应、大气吸收等均作为预测计算的安全系数而不计。</w:t>
      </w:r>
    </w:p>
    <w:p w14:paraId="077B2D93">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2）房子的隔声量由墙、门窗等综合而成，一般在10~15dB（A），本项目车间房屋隔声量取15dB（A）。声屏障衰减主要考虑厂房围墙衰减及降噪措施，本评价按一排厂房降3dB（A）计算，基础减震降噪措施，降噪量约3~5dB，本次取4dB。</w:t>
      </w:r>
    </w:p>
    <w:p w14:paraId="45BDBFB7">
      <w:pPr>
        <w:pStyle w:val="76"/>
        <w:keepNext/>
        <w:keepLines w:val="0"/>
        <w:pageBreakBefore w:val="0"/>
        <w:widowControl w:val="0"/>
        <w:kinsoku/>
        <w:wordWrap/>
        <w:overflowPunct/>
        <w:topLinePunct w:val="0"/>
        <w:autoSpaceDE/>
        <w:autoSpaceDN/>
        <w:bidi w:val="0"/>
        <w:adjustRightInd/>
        <w:snapToGrid/>
        <w:spacing w:line="360" w:lineRule="auto"/>
        <w:textAlignment w:val="auto"/>
        <w:outlineLvl w:val="3"/>
        <w:rPr>
          <w:rFonts w:hint="default" w:ascii="Arial" w:hAnsi="Arial" w:eastAsia="宋体" w:cs="Arial"/>
          <w:b/>
          <w:bCs/>
          <w:sz w:val="24"/>
          <w:szCs w:val="24"/>
        </w:rPr>
      </w:pPr>
      <w:r>
        <w:rPr>
          <w:rFonts w:hint="default" w:ascii="Arial" w:hAnsi="Arial" w:eastAsia="宋体" w:cs="Arial"/>
          <w:b/>
          <w:bCs/>
          <w:sz w:val="24"/>
          <w:szCs w:val="24"/>
        </w:rPr>
        <w:t>4.2.3.4预测结果</w:t>
      </w:r>
    </w:p>
    <w:p w14:paraId="1E432F8D">
      <w:pPr>
        <w:keepNext/>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color w:val="000000" w:themeColor="text1"/>
          <w:sz w:val="24"/>
          <w14:textFill>
            <w14:solidFill>
              <w14:schemeClr w14:val="tx1"/>
            </w14:solidFill>
          </w14:textFill>
        </w:rPr>
      </w:pPr>
      <w:r>
        <w:rPr>
          <w:rFonts w:hint="default" w:ascii="Arial" w:hAnsi="Arial" w:eastAsia="宋体" w:cs="Arial"/>
          <w:bCs/>
          <w:sz w:val="24"/>
        </w:rPr>
        <w:t>噪声预测结果见</w:t>
      </w:r>
      <w:r>
        <w:rPr>
          <w:rFonts w:hint="default" w:ascii="Arial" w:hAnsi="Arial" w:eastAsia="宋体" w:cs="Arial"/>
          <w:bCs/>
          <w:color w:val="000000" w:themeColor="text1"/>
          <w:sz w:val="24"/>
          <w14:textFill>
            <w14:solidFill>
              <w14:schemeClr w14:val="tx1"/>
            </w14:solidFill>
          </w14:textFill>
        </w:rPr>
        <w:t>表4-</w:t>
      </w:r>
      <w:r>
        <w:rPr>
          <w:rFonts w:hint="default" w:ascii="Arial" w:hAnsi="Arial" w:eastAsia="宋体" w:cs="Arial"/>
          <w:bCs/>
          <w:color w:val="000000" w:themeColor="text1"/>
          <w:sz w:val="24"/>
          <w:lang w:val="en-US" w:eastAsia="zh-CN"/>
          <w14:textFill>
            <w14:solidFill>
              <w14:schemeClr w14:val="tx1"/>
            </w14:solidFill>
          </w14:textFill>
        </w:rPr>
        <w:t>1</w:t>
      </w:r>
      <w:r>
        <w:rPr>
          <w:rFonts w:hint="eastAsia" w:ascii="Arial" w:hAnsi="Arial" w:eastAsia="宋体" w:cs="Arial"/>
          <w:bCs/>
          <w:color w:val="000000" w:themeColor="text1"/>
          <w:sz w:val="24"/>
          <w:lang w:val="en-US" w:eastAsia="zh-CN"/>
          <w14:textFill>
            <w14:solidFill>
              <w14:schemeClr w14:val="tx1"/>
            </w14:solidFill>
          </w14:textFill>
        </w:rPr>
        <w:t>2</w:t>
      </w:r>
      <w:r>
        <w:rPr>
          <w:rFonts w:hint="default" w:ascii="Arial" w:hAnsi="Arial" w:eastAsia="宋体" w:cs="Arial"/>
          <w:bCs/>
          <w:color w:val="000000" w:themeColor="text1"/>
          <w:sz w:val="24"/>
          <w14:textFill>
            <w14:solidFill>
              <w14:schemeClr w14:val="tx1"/>
            </w14:solidFill>
          </w14:textFill>
        </w:rPr>
        <w:t>。</w:t>
      </w:r>
    </w:p>
    <w:p w14:paraId="37E15D1F">
      <w:pPr>
        <w:pStyle w:val="76"/>
        <w:keepNext/>
        <w:keepLines w:val="0"/>
        <w:pageBreakBefore w:val="0"/>
        <w:widowControl w:val="0"/>
        <w:numPr>
          <w:ilvl w:val="3"/>
          <w:numId w:val="4"/>
        </w:numPr>
        <w:kinsoku/>
        <w:wordWrap/>
        <w:overflowPunct/>
        <w:topLinePunct w:val="0"/>
        <w:autoSpaceDE/>
        <w:autoSpaceDN/>
        <w:bidi w:val="0"/>
        <w:adjustRightInd/>
        <w:snapToGrid/>
        <w:ind w:left="777" w:leftChars="0" w:firstLineChars="0"/>
        <w:jc w:val="center"/>
        <w:textAlignment w:val="auto"/>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 xml:space="preserve">  预测结果  单位dB（A）</w:t>
      </w:r>
    </w:p>
    <w:tbl>
      <w:tblPr>
        <w:tblStyle w:val="52"/>
        <w:tblpPr w:leftFromText="180" w:rightFromText="180" w:vertAnchor="text" w:horzAnchor="margin" w:tblpXSpec="center" w:tblpY="7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7"/>
        <w:gridCol w:w="1472"/>
        <w:gridCol w:w="1472"/>
        <w:gridCol w:w="1473"/>
        <w:gridCol w:w="1473"/>
      </w:tblGrid>
      <w:tr w14:paraId="6AEF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Align w:val="center"/>
          </w:tcPr>
          <w:p w14:paraId="43131766">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预测点序号</w:t>
            </w:r>
          </w:p>
        </w:tc>
        <w:tc>
          <w:tcPr>
            <w:tcW w:w="0" w:type="auto"/>
            <w:vAlign w:val="center"/>
          </w:tcPr>
          <w:p w14:paraId="78940DF1">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1#</w:t>
            </w:r>
          </w:p>
        </w:tc>
        <w:tc>
          <w:tcPr>
            <w:tcW w:w="0" w:type="auto"/>
            <w:vAlign w:val="center"/>
          </w:tcPr>
          <w:p w14:paraId="403312EF">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2#</w:t>
            </w:r>
          </w:p>
        </w:tc>
        <w:tc>
          <w:tcPr>
            <w:tcW w:w="0" w:type="auto"/>
            <w:vAlign w:val="center"/>
          </w:tcPr>
          <w:p w14:paraId="184CB4B9">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3#</w:t>
            </w:r>
          </w:p>
        </w:tc>
        <w:tc>
          <w:tcPr>
            <w:tcW w:w="0" w:type="auto"/>
            <w:vAlign w:val="center"/>
          </w:tcPr>
          <w:p w14:paraId="1BD51A0B">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4#</w:t>
            </w:r>
          </w:p>
        </w:tc>
      </w:tr>
      <w:tr w14:paraId="2A9A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Align w:val="center"/>
          </w:tcPr>
          <w:p w14:paraId="21D834D4">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预测点位置</w:t>
            </w:r>
          </w:p>
        </w:tc>
        <w:tc>
          <w:tcPr>
            <w:tcW w:w="0" w:type="auto"/>
            <w:vAlign w:val="center"/>
          </w:tcPr>
          <w:p w14:paraId="2D9A8FE2">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东厂界</w:t>
            </w:r>
          </w:p>
        </w:tc>
        <w:tc>
          <w:tcPr>
            <w:tcW w:w="0" w:type="auto"/>
            <w:vAlign w:val="center"/>
          </w:tcPr>
          <w:p w14:paraId="003C3F07">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南厂界</w:t>
            </w:r>
          </w:p>
        </w:tc>
        <w:tc>
          <w:tcPr>
            <w:tcW w:w="0" w:type="auto"/>
            <w:vAlign w:val="center"/>
          </w:tcPr>
          <w:p w14:paraId="58873883">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西厂界</w:t>
            </w:r>
          </w:p>
        </w:tc>
        <w:tc>
          <w:tcPr>
            <w:tcW w:w="0" w:type="auto"/>
            <w:vAlign w:val="center"/>
          </w:tcPr>
          <w:p w14:paraId="3012244F">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北厂界</w:t>
            </w:r>
          </w:p>
        </w:tc>
      </w:tr>
      <w:tr w14:paraId="0A45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shd w:val="clear" w:color="auto" w:fill="auto"/>
            <w:vAlign w:val="center"/>
          </w:tcPr>
          <w:p w14:paraId="21A8697B">
            <w:pPr>
              <w:snapToGrid w:val="0"/>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贡献值</w:t>
            </w:r>
          </w:p>
        </w:tc>
        <w:tc>
          <w:tcPr>
            <w:tcW w:w="1472" w:type="dxa"/>
            <w:shd w:val="clear" w:color="auto" w:fill="auto"/>
            <w:vAlign w:val="center"/>
          </w:tcPr>
          <w:p w14:paraId="7DB02F9D">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54.5</w:t>
            </w:r>
          </w:p>
        </w:tc>
        <w:tc>
          <w:tcPr>
            <w:tcW w:w="1472" w:type="dxa"/>
            <w:shd w:val="clear" w:color="auto" w:fill="auto"/>
            <w:vAlign w:val="center"/>
          </w:tcPr>
          <w:p w14:paraId="414C3965">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50.9</w:t>
            </w:r>
          </w:p>
        </w:tc>
        <w:tc>
          <w:tcPr>
            <w:tcW w:w="1473" w:type="dxa"/>
            <w:shd w:val="clear" w:color="auto" w:fill="auto"/>
            <w:vAlign w:val="center"/>
          </w:tcPr>
          <w:p w14:paraId="64E3E706">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50.9</w:t>
            </w:r>
          </w:p>
        </w:tc>
        <w:tc>
          <w:tcPr>
            <w:tcW w:w="1473" w:type="dxa"/>
            <w:shd w:val="clear" w:color="auto" w:fill="auto"/>
            <w:vAlign w:val="center"/>
          </w:tcPr>
          <w:p w14:paraId="1EE65D03">
            <w:pPr>
              <w:jc w:val="center"/>
              <w:rPr>
                <w:rFonts w:hint="default" w:ascii="Arial" w:hAnsi="Arial" w:eastAsia="宋体" w:cs="Arial"/>
                <w:color w:val="000000" w:themeColor="text1"/>
                <w:kern w:val="2"/>
                <w:sz w:val="21"/>
                <w:szCs w:val="21"/>
                <w:lang w:val="en-US" w:eastAsia="zh-CN" w:bidi="ar-SA"/>
                <w14:textFill>
                  <w14:solidFill>
                    <w14:schemeClr w14:val="tx1"/>
                  </w14:solidFill>
                </w14:textFill>
              </w:rPr>
            </w:pPr>
            <w:r>
              <w:rPr>
                <w:rFonts w:hint="default" w:ascii="Arial" w:hAnsi="Arial" w:eastAsia="宋体" w:cs="Arial"/>
                <w:color w:val="000000" w:themeColor="text1"/>
                <w:kern w:val="2"/>
                <w:sz w:val="21"/>
                <w:szCs w:val="21"/>
                <w:lang w:val="en-US" w:eastAsia="zh-CN" w:bidi="ar-SA"/>
                <w14:textFill>
                  <w14:solidFill>
                    <w14:schemeClr w14:val="tx1"/>
                  </w14:solidFill>
                </w14:textFill>
              </w:rPr>
              <w:t>50.9</w:t>
            </w:r>
          </w:p>
        </w:tc>
      </w:tr>
      <w:tr w14:paraId="49BB9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Align w:val="center"/>
          </w:tcPr>
          <w:p w14:paraId="339CCC60">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昼/夜间标准值</w:t>
            </w:r>
          </w:p>
        </w:tc>
        <w:tc>
          <w:tcPr>
            <w:tcW w:w="0" w:type="auto"/>
            <w:vAlign w:val="center"/>
          </w:tcPr>
          <w:p w14:paraId="3BD17E41">
            <w:pPr>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65（55）</w:t>
            </w:r>
          </w:p>
        </w:tc>
        <w:tc>
          <w:tcPr>
            <w:tcW w:w="0" w:type="auto"/>
            <w:vAlign w:val="center"/>
          </w:tcPr>
          <w:p w14:paraId="39DE1687">
            <w:pPr>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65（55）</w:t>
            </w:r>
          </w:p>
        </w:tc>
        <w:tc>
          <w:tcPr>
            <w:tcW w:w="0" w:type="auto"/>
            <w:vAlign w:val="center"/>
          </w:tcPr>
          <w:p w14:paraId="727C2F0C">
            <w:pPr>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65（55）</w:t>
            </w:r>
          </w:p>
        </w:tc>
        <w:tc>
          <w:tcPr>
            <w:tcW w:w="0" w:type="auto"/>
            <w:vAlign w:val="center"/>
          </w:tcPr>
          <w:p w14:paraId="7F1A3F4E">
            <w:pPr>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65（55）</w:t>
            </w:r>
          </w:p>
        </w:tc>
      </w:tr>
      <w:tr w14:paraId="3640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0" w:type="auto"/>
            <w:vAlign w:val="center"/>
          </w:tcPr>
          <w:p w14:paraId="50152B81">
            <w:pPr>
              <w:snapToGrid w:val="0"/>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达标情况</w:t>
            </w:r>
          </w:p>
        </w:tc>
        <w:tc>
          <w:tcPr>
            <w:tcW w:w="0" w:type="auto"/>
            <w:vAlign w:val="center"/>
          </w:tcPr>
          <w:p w14:paraId="7C3D6EAB">
            <w:pPr>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w:t>
            </w:r>
          </w:p>
        </w:tc>
        <w:tc>
          <w:tcPr>
            <w:tcW w:w="0" w:type="auto"/>
            <w:vAlign w:val="center"/>
          </w:tcPr>
          <w:p w14:paraId="796794F6">
            <w:pPr>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w:t>
            </w:r>
          </w:p>
        </w:tc>
        <w:tc>
          <w:tcPr>
            <w:tcW w:w="0" w:type="auto"/>
            <w:vAlign w:val="center"/>
          </w:tcPr>
          <w:p w14:paraId="4C7037B0">
            <w:pPr>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w:t>
            </w:r>
          </w:p>
        </w:tc>
        <w:tc>
          <w:tcPr>
            <w:tcW w:w="0" w:type="auto"/>
            <w:vAlign w:val="center"/>
          </w:tcPr>
          <w:p w14:paraId="31241C98">
            <w:pPr>
              <w:jc w:val="center"/>
              <w:rPr>
                <w:rFonts w:hint="default" w:ascii="Arial" w:hAnsi="Arial" w:eastAsia="宋体" w:cs="Arial"/>
                <w:color w:val="000000" w:themeColor="text1"/>
                <w:szCs w:val="21"/>
                <w14:textFill>
                  <w14:solidFill>
                    <w14:schemeClr w14:val="tx1"/>
                  </w14:solidFill>
                </w14:textFill>
              </w:rPr>
            </w:pPr>
            <w:r>
              <w:rPr>
                <w:rFonts w:hint="default" w:ascii="Arial" w:hAnsi="Arial" w:eastAsia="宋体" w:cs="Arial"/>
                <w:color w:val="000000" w:themeColor="text1"/>
                <w:szCs w:val="21"/>
                <w14:textFill>
                  <w14:solidFill>
                    <w14:schemeClr w14:val="tx1"/>
                  </w14:solidFill>
                </w14:textFill>
              </w:rPr>
              <w:t>达标</w:t>
            </w:r>
          </w:p>
        </w:tc>
      </w:tr>
    </w:tbl>
    <w:p w14:paraId="516D1D53">
      <w:pPr>
        <w:spacing w:line="360" w:lineRule="auto"/>
        <w:ind w:firstLine="480" w:firstLineChars="200"/>
        <w:rPr>
          <w:rFonts w:hint="default" w:ascii="Arial" w:hAnsi="Arial" w:eastAsia="宋体" w:cs="Arial"/>
          <w:sz w:val="24"/>
          <w:szCs w:val="20"/>
        </w:rPr>
      </w:pPr>
      <w:r>
        <w:rPr>
          <w:rFonts w:hint="default" w:ascii="Arial" w:hAnsi="Arial" w:eastAsia="宋体" w:cs="Arial"/>
          <w:color w:val="000000" w:themeColor="text1"/>
          <w:sz w:val="24"/>
          <w:szCs w:val="20"/>
          <w14:textFill>
            <w14:solidFill>
              <w14:schemeClr w14:val="tx1"/>
            </w14:solidFill>
          </w14:textFill>
        </w:rPr>
        <w:t>从表4-</w:t>
      </w:r>
      <w:r>
        <w:rPr>
          <w:rFonts w:hint="default" w:ascii="Arial" w:hAnsi="Arial" w:eastAsia="宋体" w:cs="Arial"/>
          <w:color w:val="000000" w:themeColor="text1"/>
          <w:sz w:val="24"/>
          <w:szCs w:val="20"/>
          <w:lang w:val="en-US" w:eastAsia="zh-CN"/>
          <w14:textFill>
            <w14:solidFill>
              <w14:schemeClr w14:val="tx1"/>
            </w14:solidFill>
          </w14:textFill>
        </w:rPr>
        <w:t>1</w:t>
      </w:r>
      <w:r>
        <w:rPr>
          <w:rFonts w:hint="eastAsia" w:ascii="Arial" w:hAnsi="Arial" w:eastAsia="宋体" w:cs="Arial"/>
          <w:color w:val="000000" w:themeColor="text1"/>
          <w:sz w:val="24"/>
          <w:szCs w:val="20"/>
          <w:lang w:val="en-US" w:eastAsia="zh-CN"/>
          <w14:textFill>
            <w14:solidFill>
              <w14:schemeClr w14:val="tx1"/>
            </w14:solidFill>
          </w14:textFill>
        </w:rPr>
        <w:t>2</w:t>
      </w:r>
      <w:r>
        <w:rPr>
          <w:rFonts w:hint="default" w:ascii="Arial" w:hAnsi="Arial" w:eastAsia="宋体" w:cs="Arial"/>
          <w:color w:val="000000" w:themeColor="text1"/>
          <w:sz w:val="24"/>
          <w:szCs w:val="20"/>
          <w14:textFill>
            <w14:solidFill>
              <w14:schemeClr w14:val="tx1"/>
            </w14:solidFill>
          </w14:textFill>
        </w:rPr>
        <w:t>可知，在考虑噪声治理的情况下，项目厂界噪声昼夜间叠加值符合3类功能区标准。由此可见，只要</w:t>
      </w:r>
      <w:r>
        <w:rPr>
          <w:rFonts w:hint="default" w:ascii="Arial" w:hAnsi="Arial" w:eastAsia="宋体" w:cs="Arial"/>
          <w:sz w:val="24"/>
          <w:szCs w:val="20"/>
        </w:rPr>
        <w:t>采取行之有效的措施，对设备运行噪声进行科学的防治，不会对项目周边环境和敏感目标造成不良影响。综上所述，项目建成投产后，项目噪声能实现厂界达标排放，可维持周围声环境现状。</w:t>
      </w:r>
    </w:p>
    <w:p w14:paraId="5259CFAB">
      <w:pPr>
        <w:pStyle w:val="76"/>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4.2.3.3声环境监测计划</w:t>
      </w:r>
    </w:p>
    <w:p w14:paraId="54237B25">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声环境监测计划</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992"/>
        <w:gridCol w:w="1231"/>
        <w:gridCol w:w="895"/>
        <w:gridCol w:w="3727"/>
      </w:tblGrid>
      <w:tr w14:paraId="5E99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shd w:val="clear" w:color="auto" w:fill="auto"/>
            <w:vAlign w:val="center"/>
          </w:tcPr>
          <w:p w14:paraId="7D495359">
            <w:pPr>
              <w:spacing w:line="280" w:lineRule="exact"/>
              <w:jc w:val="center"/>
              <w:rPr>
                <w:rFonts w:hint="default" w:ascii="Arial" w:hAnsi="Arial" w:eastAsia="宋体" w:cs="Arial"/>
                <w:szCs w:val="21"/>
              </w:rPr>
            </w:pPr>
            <w:r>
              <w:rPr>
                <w:rFonts w:hint="default" w:ascii="Arial" w:hAnsi="Arial" w:eastAsia="宋体" w:cs="Arial"/>
                <w:szCs w:val="21"/>
              </w:rPr>
              <w:t>项目</w:t>
            </w:r>
          </w:p>
        </w:tc>
        <w:tc>
          <w:tcPr>
            <w:tcW w:w="992" w:type="dxa"/>
            <w:shd w:val="clear" w:color="auto" w:fill="auto"/>
            <w:vAlign w:val="center"/>
          </w:tcPr>
          <w:p w14:paraId="12ABA8BE">
            <w:pPr>
              <w:spacing w:line="280" w:lineRule="exact"/>
              <w:jc w:val="center"/>
              <w:rPr>
                <w:rFonts w:hint="default" w:ascii="Arial" w:hAnsi="Arial" w:eastAsia="宋体" w:cs="Arial"/>
                <w:szCs w:val="21"/>
              </w:rPr>
            </w:pPr>
            <w:r>
              <w:rPr>
                <w:rFonts w:hint="default" w:ascii="Arial" w:hAnsi="Arial" w:eastAsia="宋体" w:cs="Arial"/>
                <w:szCs w:val="21"/>
              </w:rPr>
              <w:t>监测点位</w:t>
            </w:r>
          </w:p>
        </w:tc>
        <w:tc>
          <w:tcPr>
            <w:tcW w:w="1231" w:type="dxa"/>
            <w:shd w:val="clear" w:color="auto" w:fill="auto"/>
            <w:vAlign w:val="center"/>
          </w:tcPr>
          <w:p w14:paraId="57EBF702">
            <w:pPr>
              <w:spacing w:line="280" w:lineRule="exact"/>
              <w:jc w:val="center"/>
              <w:rPr>
                <w:rFonts w:hint="default" w:ascii="Arial" w:hAnsi="Arial" w:eastAsia="宋体" w:cs="Arial"/>
                <w:szCs w:val="21"/>
              </w:rPr>
            </w:pPr>
            <w:r>
              <w:rPr>
                <w:rFonts w:hint="default" w:ascii="Arial" w:hAnsi="Arial" w:eastAsia="宋体" w:cs="Arial"/>
                <w:szCs w:val="21"/>
              </w:rPr>
              <w:t>监测指标</w:t>
            </w:r>
          </w:p>
        </w:tc>
        <w:tc>
          <w:tcPr>
            <w:tcW w:w="895" w:type="dxa"/>
            <w:shd w:val="clear" w:color="auto" w:fill="auto"/>
            <w:vAlign w:val="center"/>
          </w:tcPr>
          <w:p w14:paraId="627939FA">
            <w:pPr>
              <w:spacing w:line="280" w:lineRule="exact"/>
              <w:jc w:val="center"/>
              <w:rPr>
                <w:rFonts w:hint="default" w:ascii="Arial" w:hAnsi="Arial" w:eastAsia="宋体" w:cs="Arial"/>
                <w:szCs w:val="21"/>
              </w:rPr>
            </w:pPr>
            <w:r>
              <w:rPr>
                <w:rFonts w:hint="default" w:ascii="Arial" w:hAnsi="Arial" w:eastAsia="宋体" w:cs="Arial"/>
                <w:szCs w:val="21"/>
              </w:rPr>
              <w:t>监测频次</w:t>
            </w:r>
          </w:p>
        </w:tc>
        <w:tc>
          <w:tcPr>
            <w:tcW w:w="3727" w:type="dxa"/>
            <w:shd w:val="clear" w:color="auto" w:fill="auto"/>
            <w:vAlign w:val="center"/>
          </w:tcPr>
          <w:p w14:paraId="06BFC358">
            <w:pPr>
              <w:spacing w:line="280" w:lineRule="exact"/>
              <w:jc w:val="center"/>
              <w:rPr>
                <w:rFonts w:hint="default" w:ascii="Arial" w:hAnsi="Arial" w:eastAsia="宋体" w:cs="Arial"/>
                <w:szCs w:val="21"/>
              </w:rPr>
            </w:pPr>
            <w:r>
              <w:rPr>
                <w:rFonts w:hint="default" w:ascii="Arial" w:hAnsi="Arial" w:eastAsia="宋体" w:cs="Arial"/>
                <w:szCs w:val="21"/>
              </w:rPr>
              <w:t>执行排放标准</w:t>
            </w:r>
          </w:p>
        </w:tc>
      </w:tr>
      <w:tr w14:paraId="7CF8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shd w:val="clear" w:color="auto" w:fill="auto"/>
            <w:vAlign w:val="center"/>
          </w:tcPr>
          <w:p w14:paraId="02B84E31">
            <w:pPr>
              <w:spacing w:line="280" w:lineRule="exact"/>
              <w:jc w:val="center"/>
              <w:rPr>
                <w:rFonts w:hint="default" w:ascii="Arial" w:hAnsi="Arial" w:eastAsia="宋体" w:cs="Arial"/>
                <w:szCs w:val="21"/>
              </w:rPr>
            </w:pPr>
            <w:r>
              <w:rPr>
                <w:rFonts w:hint="default" w:ascii="Arial" w:hAnsi="Arial" w:eastAsia="宋体" w:cs="Arial"/>
                <w:szCs w:val="21"/>
              </w:rPr>
              <w:t>声环境</w:t>
            </w:r>
          </w:p>
        </w:tc>
        <w:tc>
          <w:tcPr>
            <w:tcW w:w="992" w:type="dxa"/>
            <w:shd w:val="clear" w:color="auto" w:fill="auto"/>
            <w:vAlign w:val="center"/>
          </w:tcPr>
          <w:p w14:paraId="5A40B6B2">
            <w:pPr>
              <w:spacing w:line="280" w:lineRule="exact"/>
              <w:jc w:val="center"/>
              <w:rPr>
                <w:rFonts w:hint="default" w:ascii="Arial" w:hAnsi="Arial" w:eastAsia="宋体" w:cs="Arial"/>
                <w:szCs w:val="21"/>
              </w:rPr>
            </w:pPr>
            <w:r>
              <w:rPr>
                <w:rFonts w:hint="default" w:ascii="Arial" w:hAnsi="Arial" w:eastAsia="宋体" w:cs="Arial"/>
                <w:szCs w:val="21"/>
              </w:rPr>
              <w:t>厂界</w:t>
            </w:r>
          </w:p>
        </w:tc>
        <w:tc>
          <w:tcPr>
            <w:tcW w:w="1231" w:type="dxa"/>
            <w:shd w:val="clear" w:color="auto" w:fill="auto"/>
            <w:vAlign w:val="center"/>
          </w:tcPr>
          <w:p w14:paraId="17CB4A63">
            <w:pPr>
              <w:spacing w:line="280" w:lineRule="exact"/>
              <w:jc w:val="center"/>
              <w:rPr>
                <w:rFonts w:hint="default" w:ascii="Arial" w:hAnsi="Arial" w:eastAsia="宋体" w:cs="Arial"/>
                <w:szCs w:val="21"/>
              </w:rPr>
            </w:pPr>
            <w:r>
              <w:rPr>
                <w:rFonts w:hint="default" w:ascii="Arial" w:hAnsi="Arial" w:eastAsia="宋体" w:cs="Arial"/>
                <w:szCs w:val="21"/>
              </w:rPr>
              <w:t>L</w:t>
            </w:r>
            <w:r>
              <w:rPr>
                <w:rFonts w:hint="default" w:ascii="Arial" w:hAnsi="Arial" w:eastAsia="宋体" w:cs="Arial"/>
                <w:szCs w:val="21"/>
                <w:vertAlign w:val="subscript"/>
              </w:rPr>
              <w:t>Aeq</w:t>
            </w:r>
          </w:p>
        </w:tc>
        <w:tc>
          <w:tcPr>
            <w:tcW w:w="895" w:type="dxa"/>
            <w:shd w:val="clear" w:color="auto" w:fill="auto"/>
            <w:vAlign w:val="center"/>
          </w:tcPr>
          <w:p w14:paraId="65A8B7E0">
            <w:pPr>
              <w:spacing w:line="280" w:lineRule="exact"/>
              <w:jc w:val="center"/>
              <w:rPr>
                <w:rFonts w:hint="default" w:ascii="Arial" w:hAnsi="Arial" w:eastAsia="宋体" w:cs="Arial"/>
                <w:szCs w:val="21"/>
              </w:rPr>
            </w:pPr>
            <w:r>
              <w:rPr>
                <w:rFonts w:hint="default" w:ascii="Arial" w:hAnsi="Arial" w:eastAsia="宋体" w:cs="Arial"/>
                <w:szCs w:val="21"/>
              </w:rPr>
              <w:t>1次/季</w:t>
            </w:r>
          </w:p>
        </w:tc>
        <w:tc>
          <w:tcPr>
            <w:tcW w:w="3727" w:type="dxa"/>
            <w:shd w:val="clear" w:color="auto" w:fill="auto"/>
            <w:vAlign w:val="center"/>
          </w:tcPr>
          <w:p w14:paraId="59A6C18E">
            <w:pPr>
              <w:spacing w:line="280" w:lineRule="exact"/>
              <w:jc w:val="center"/>
              <w:rPr>
                <w:rFonts w:hint="default" w:ascii="Arial" w:hAnsi="Arial" w:eastAsia="宋体" w:cs="Arial"/>
                <w:szCs w:val="21"/>
              </w:rPr>
            </w:pPr>
            <w:r>
              <w:rPr>
                <w:rFonts w:hint="default" w:ascii="Arial" w:hAnsi="Arial" w:eastAsia="宋体" w:cs="Arial"/>
                <w:szCs w:val="21"/>
              </w:rPr>
              <w:t>厂界昼夜间噪声执行《工业企业厂界噪声排放标准》（GB 12348—2008）中3类标准</w:t>
            </w:r>
          </w:p>
        </w:tc>
      </w:tr>
    </w:tbl>
    <w:p w14:paraId="753C3FC1">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固体废物环境影响和保护措施</w:t>
      </w:r>
    </w:p>
    <w:p w14:paraId="1924257E">
      <w:pPr>
        <w:pStyle w:val="76"/>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4.2.4.1固体废物产生情况</w:t>
      </w:r>
    </w:p>
    <w:p w14:paraId="41A88C23">
      <w:pPr>
        <w:pStyle w:val="76"/>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废一般包装材料</w:t>
      </w:r>
    </w:p>
    <w:p w14:paraId="0557C662">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项目原材料使用过程中会产生少量废一般包装材料，产生量约为4t/a，属于一般固废。</w:t>
      </w:r>
    </w:p>
    <w:p w14:paraId="5018DC0F">
      <w:pPr>
        <w:pStyle w:val="76"/>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废金属边角料</w:t>
      </w:r>
    </w:p>
    <w:p w14:paraId="4C35381B">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本项目机加工、检验等工序会产生废金属，根据建设单位提供的资料。本项目废金属产生量约为2500t/a。</w:t>
      </w:r>
    </w:p>
    <w:p w14:paraId="686C2FC6">
      <w:pPr>
        <w:pStyle w:val="76"/>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eastAsia" w:ascii="Arial" w:hAnsi="Arial" w:eastAsia="宋体" w:cs="Arial"/>
          <w:bCs/>
          <w:sz w:val="24"/>
          <w:szCs w:val="24"/>
          <w:lang w:val="en-US" w:eastAsia="zh-CN"/>
        </w:rPr>
        <w:t>不合格品</w:t>
      </w:r>
    </w:p>
    <w:p w14:paraId="6FE2E618">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eastAsia" w:ascii="Arial" w:hAnsi="Arial" w:eastAsia="宋体" w:cs="Arial"/>
          <w:bCs/>
          <w:sz w:val="24"/>
          <w:szCs w:val="24"/>
          <w:lang w:val="en-US" w:eastAsia="zh-CN"/>
        </w:rPr>
        <w:t>本项目原材料入场检验、半成品探伤、成品检验等阶段均产生一定量的不合格品。不合格品产生量约为10t/a。</w:t>
      </w:r>
    </w:p>
    <w:p w14:paraId="0579B436">
      <w:pPr>
        <w:pStyle w:val="76"/>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废含油金属屑</w:t>
      </w:r>
    </w:p>
    <w:p w14:paraId="6CD9AC77">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本项目机加工的过程中会产生含油金属屑，根据建设单位提供的资料，本项目含油金属屑产生量约为5t/a。</w:t>
      </w:r>
    </w:p>
    <w:p w14:paraId="42543A3F">
      <w:pPr>
        <w:pStyle w:val="76"/>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磨搓泥</w:t>
      </w:r>
    </w:p>
    <w:p w14:paraId="037D6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cs="Arial"/>
        </w:rPr>
      </w:pPr>
      <w:r>
        <w:rPr>
          <w:rFonts w:hint="default" w:ascii="Arial" w:hAnsi="Arial" w:eastAsia="宋体" w:cs="Arial"/>
          <w:bCs/>
          <w:kern w:val="2"/>
          <w:sz w:val="24"/>
          <w:szCs w:val="24"/>
          <w:lang w:val="en-US" w:eastAsia="zh-CN" w:bidi="ar"/>
        </w:rPr>
        <w:t>本项目磨床在机加工的过程中会产生磨搓泥，根据建设单位提供的资料，本项目</w:t>
      </w:r>
      <w:r>
        <w:rPr>
          <w:rFonts w:hint="eastAsia" w:ascii="Arial" w:hAnsi="Arial" w:eastAsia="宋体" w:cs="Arial"/>
          <w:bCs/>
          <w:kern w:val="2"/>
          <w:sz w:val="24"/>
          <w:szCs w:val="24"/>
          <w:lang w:val="en-US" w:eastAsia="zh-CN" w:bidi="ar"/>
        </w:rPr>
        <w:t>磨搓泥</w:t>
      </w:r>
      <w:r>
        <w:rPr>
          <w:rFonts w:hint="default" w:ascii="Arial" w:hAnsi="Arial" w:eastAsia="宋体" w:cs="Arial"/>
          <w:bCs/>
          <w:kern w:val="2"/>
          <w:sz w:val="24"/>
          <w:szCs w:val="24"/>
          <w:lang w:val="en-US" w:eastAsia="zh-CN" w:bidi="ar"/>
        </w:rPr>
        <w:t>产生量约为12t/a。</w:t>
      </w:r>
    </w:p>
    <w:p w14:paraId="0FF7877C">
      <w:pPr>
        <w:pStyle w:val="76"/>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废淬火液</w:t>
      </w:r>
    </w:p>
    <w:p w14:paraId="0A5E718F">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本项目实施后，</w:t>
      </w:r>
      <w:r>
        <w:rPr>
          <w:rFonts w:hint="eastAsia" w:ascii="Arial" w:hAnsi="Arial" w:eastAsia="宋体" w:cs="Arial"/>
          <w:bCs/>
          <w:sz w:val="24"/>
          <w:szCs w:val="24"/>
          <w:lang w:val="en-US" w:eastAsia="zh-CN"/>
        </w:rPr>
        <w:t>热处理感应淬火过程</w:t>
      </w:r>
      <w:r>
        <w:rPr>
          <w:rFonts w:hint="default" w:ascii="Arial" w:hAnsi="Arial" w:eastAsia="宋体" w:cs="Arial"/>
          <w:bCs/>
          <w:sz w:val="24"/>
          <w:szCs w:val="24"/>
          <w:lang w:val="en-US" w:eastAsia="zh-CN"/>
        </w:rPr>
        <w:t>产生废淬火液约1.0t/a。</w:t>
      </w:r>
    </w:p>
    <w:p w14:paraId="6181FA2D">
      <w:pPr>
        <w:pStyle w:val="76"/>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废切削液</w:t>
      </w:r>
    </w:p>
    <w:p w14:paraId="3660C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cs="Arial"/>
        </w:rPr>
      </w:pPr>
      <w:r>
        <w:rPr>
          <w:rFonts w:hint="default" w:ascii="Arial" w:hAnsi="Arial" w:eastAsia="宋体" w:cs="Arial"/>
          <w:kern w:val="2"/>
          <w:sz w:val="24"/>
          <w:szCs w:val="24"/>
          <w:lang w:val="en-US" w:eastAsia="zh-CN" w:bidi="ar"/>
        </w:rPr>
        <w:t>项目机加工使用切削液进行冷却，切削液循环使用，定期补充少量水。长期循环后不能满足质量需求，整体更换，补充新液。本项目有切削液回收系统，将边角料中的切削</w:t>
      </w:r>
      <w:r>
        <w:rPr>
          <w:rFonts w:hint="eastAsia" w:ascii="Arial" w:hAnsi="Arial" w:eastAsia="宋体" w:cs="Arial"/>
          <w:kern w:val="2"/>
          <w:sz w:val="24"/>
          <w:szCs w:val="24"/>
          <w:lang w:val="en-US" w:eastAsia="zh-CN" w:bidi="ar"/>
        </w:rPr>
        <w:t>液</w:t>
      </w:r>
      <w:r>
        <w:rPr>
          <w:rFonts w:hint="default" w:ascii="Arial" w:hAnsi="Arial" w:eastAsia="宋体" w:cs="Arial"/>
          <w:kern w:val="2"/>
          <w:sz w:val="24"/>
          <w:szCs w:val="24"/>
          <w:lang w:val="en-US" w:eastAsia="zh-CN" w:bidi="ar"/>
        </w:rPr>
        <w:t>甩干回收利用，切削液损耗量约占总量的30%。切削液使用量为165t/a，废切削液产生量115.5t/a。</w:t>
      </w:r>
    </w:p>
    <w:p w14:paraId="2CC13EE2">
      <w:pPr>
        <w:pStyle w:val="76"/>
        <w:numPr>
          <w:ilvl w:val="0"/>
          <w:numId w:val="11"/>
        </w:numPr>
        <w:spacing w:line="360" w:lineRule="auto"/>
        <w:ind w:firstLine="480" w:firstLineChars="200"/>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废化学品包装</w:t>
      </w:r>
    </w:p>
    <w:p w14:paraId="7E6E6C90">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rPr>
        <w:t>项目清洗</w:t>
      </w:r>
      <w:r>
        <w:rPr>
          <w:rFonts w:hint="default" w:ascii="Arial" w:hAnsi="Arial" w:eastAsia="宋体" w:cs="Arial"/>
          <w:bCs/>
          <w:sz w:val="24"/>
          <w:szCs w:val="24"/>
          <w:lang w:val="en-US" w:eastAsia="zh-CN"/>
        </w:rPr>
        <w:t>剂、防锈剂、淬火液用量共37.5</w:t>
      </w:r>
      <w:r>
        <w:rPr>
          <w:rFonts w:hint="default" w:ascii="Arial" w:hAnsi="Arial" w:eastAsia="宋体" w:cs="Arial"/>
          <w:bCs/>
          <w:sz w:val="24"/>
          <w:szCs w:val="24"/>
        </w:rPr>
        <w:t>t/a，包装桶规格</w:t>
      </w:r>
      <w:r>
        <w:rPr>
          <w:rFonts w:hint="default" w:ascii="Arial" w:hAnsi="Arial" w:eastAsia="宋体" w:cs="Arial"/>
          <w:bCs/>
          <w:sz w:val="24"/>
          <w:szCs w:val="24"/>
          <w:lang w:val="en-US" w:eastAsia="zh-CN"/>
        </w:rPr>
        <w:t>均</w:t>
      </w:r>
      <w:r>
        <w:rPr>
          <w:rFonts w:hint="default" w:ascii="Arial" w:hAnsi="Arial" w:eastAsia="宋体" w:cs="Arial"/>
          <w:bCs/>
          <w:sz w:val="24"/>
          <w:szCs w:val="24"/>
        </w:rPr>
        <w:t>为25kg装塑料桶，故</w:t>
      </w:r>
      <w:r>
        <w:rPr>
          <w:rFonts w:hint="default" w:ascii="Arial" w:hAnsi="Arial" w:eastAsia="宋体" w:cs="Arial"/>
          <w:bCs/>
          <w:sz w:val="24"/>
          <w:szCs w:val="24"/>
          <w:lang w:val="en-US" w:eastAsia="zh-CN"/>
        </w:rPr>
        <w:t>产生废塑料</w:t>
      </w:r>
      <w:r>
        <w:rPr>
          <w:rFonts w:hint="default" w:ascii="Arial" w:hAnsi="Arial" w:eastAsia="宋体" w:cs="Arial"/>
          <w:bCs/>
          <w:sz w:val="24"/>
          <w:szCs w:val="24"/>
        </w:rPr>
        <w:t>包装桶约</w:t>
      </w:r>
      <w:r>
        <w:rPr>
          <w:rFonts w:hint="default" w:ascii="Arial" w:hAnsi="Arial" w:eastAsia="宋体" w:cs="Arial"/>
          <w:bCs/>
          <w:sz w:val="24"/>
          <w:szCs w:val="24"/>
          <w:lang w:val="en-US" w:eastAsia="zh-CN"/>
        </w:rPr>
        <w:t>1500</w:t>
      </w:r>
      <w:r>
        <w:rPr>
          <w:rFonts w:hint="default" w:ascii="Arial" w:hAnsi="Arial" w:eastAsia="宋体" w:cs="Arial"/>
          <w:bCs/>
          <w:sz w:val="24"/>
          <w:szCs w:val="24"/>
        </w:rPr>
        <w:t>个/a，</w:t>
      </w:r>
      <w:r>
        <w:rPr>
          <w:rFonts w:hint="default" w:ascii="Arial" w:hAnsi="Arial" w:eastAsia="宋体" w:cs="Arial"/>
          <w:bCs/>
          <w:sz w:val="24"/>
          <w:szCs w:val="24"/>
          <w:lang w:val="en-US" w:eastAsia="zh-CN"/>
        </w:rPr>
        <w:t>每个包装桶重约1.2kg，则项目废塑料包装桶产生量</w:t>
      </w:r>
      <w:r>
        <w:rPr>
          <w:rFonts w:hint="default" w:ascii="Arial" w:hAnsi="Arial" w:eastAsia="宋体" w:cs="Arial"/>
          <w:bCs/>
          <w:sz w:val="24"/>
          <w:szCs w:val="24"/>
        </w:rPr>
        <w:t>约</w:t>
      </w:r>
      <w:r>
        <w:rPr>
          <w:rFonts w:hint="default" w:ascii="Arial" w:hAnsi="Arial" w:eastAsia="宋体" w:cs="Arial"/>
          <w:bCs/>
          <w:sz w:val="24"/>
          <w:szCs w:val="24"/>
          <w:lang w:val="en-US" w:eastAsia="zh-CN"/>
        </w:rPr>
        <w:t>1.8</w:t>
      </w:r>
      <w:r>
        <w:rPr>
          <w:rFonts w:hint="default" w:ascii="Arial" w:hAnsi="Arial" w:eastAsia="宋体" w:cs="Arial"/>
          <w:bCs/>
          <w:sz w:val="24"/>
          <w:szCs w:val="24"/>
        </w:rPr>
        <w:t>t/a</w:t>
      </w:r>
      <w:r>
        <w:rPr>
          <w:rFonts w:hint="default" w:ascii="Arial" w:hAnsi="Arial" w:eastAsia="宋体" w:cs="Arial"/>
          <w:bCs/>
          <w:sz w:val="24"/>
          <w:szCs w:val="24"/>
          <w:lang w:eastAsia="zh-CN"/>
        </w:rPr>
        <w:t>，</w:t>
      </w:r>
      <w:r>
        <w:rPr>
          <w:rFonts w:hint="default" w:ascii="Arial" w:hAnsi="Arial" w:eastAsia="宋体" w:cs="Arial"/>
          <w:bCs/>
          <w:sz w:val="24"/>
          <w:szCs w:val="24"/>
          <w:lang w:val="en-US" w:eastAsia="zh-CN"/>
        </w:rPr>
        <w:t>委托资质单位进行处置</w:t>
      </w:r>
      <w:r>
        <w:rPr>
          <w:rFonts w:hint="default" w:ascii="Arial" w:hAnsi="Arial" w:eastAsia="宋体" w:cs="Arial"/>
          <w:bCs/>
          <w:sz w:val="24"/>
          <w:szCs w:val="24"/>
        </w:rPr>
        <w:t>。项目</w:t>
      </w:r>
      <w:r>
        <w:rPr>
          <w:rFonts w:hint="default" w:ascii="Arial" w:hAnsi="Arial" w:eastAsia="宋体" w:cs="Arial"/>
          <w:bCs/>
          <w:sz w:val="24"/>
          <w:szCs w:val="24"/>
          <w:lang w:val="en-US" w:eastAsia="zh-CN"/>
        </w:rPr>
        <w:t>切削液用量165</w:t>
      </w:r>
      <w:r>
        <w:rPr>
          <w:rFonts w:hint="default" w:ascii="Arial" w:hAnsi="Arial" w:eastAsia="宋体" w:cs="Arial"/>
          <w:bCs/>
          <w:sz w:val="24"/>
          <w:szCs w:val="24"/>
        </w:rPr>
        <w:t>t/a，包装桶规格为</w:t>
      </w:r>
      <w:r>
        <w:rPr>
          <w:rFonts w:hint="default" w:ascii="Arial" w:hAnsi="Arial" w:eastAsia="宋体" w:cs="Arial"/>
          <w:bCs/>
          <w:sz w:val="24"/>
          <w:szCs w:val="24"/>
          <w:lang w:val="en-US" w:eastAsia="zh-CN"/>
        </w:rPr>
        <w:t>175</w:t>
      </w:r>
      <w:r>
        <w:rPr>
          <w:rFonts w:hint="default" w:ascii="Arial" w:hAnsi="Arial" w:eastAsia="宋体" w:cs="Arial"/>
          <w:bCs/>
          <w:sz w:val="24"/>
          <w:szCs w:val="24"/>
        </w:rPr>
        <w:t>kg装</w:t>
      </w:r>
      <w:r>
        <w:rPr>
          <w:rFonts w:hint="default" w:ascii="Arial" w:hAnsi="Arial" w:eastAsia="宋体" w:cs="Arial"/>
          <w:bCs/>
          <w:sz w:val="24"/>
          <w:szCs w:val="24"/>
          <w:lang w:val="en-US" w:eastAsia="zh-CN"/>
        </w:rPr>
        <w:t>铁桶</w:t>
      </w:r>
      <w:r>
        <w:rPr>
          <w:rFonts w:hint="eastAsia" w:ascii="Arial" w:hAnsi="Arial" w:eastAsia="宋体" w:cs="Arial"/>
          <w:bCs/>
          <w:sz w:val="24"/>
          <w:szCs w:val="24"/>
          <w:lang w:val="en-US" w:eastAsia="zh-CN"/>
        </w:rPr>
        <w:t>与塑料吨桶。</w:t>
      </w:r>
      <w:r>
        <w:rPr>
          <w:rFonts w:hint="default" w:ascii="Arial" w:hAnsi="Arial" w:eastAsia="宋体" w:cs="Arial"/>
          <w:bCs/>
          <w:sz w:val="24"/>
          <w:szCs w:val="24"/>
          <w:lang w:val="en-US" w:eastAsia="zh-CN"/>
        </w:rPr>
        <w:t>产生铁质</w:t>
      </w:r>
      <w:r>
        <w:rPr>
          <w:rFonts w:hint="default" w:ascii="Arial" w:hAnsi="Arial" w:eastAsia="宋体" w:cs="Arial"/>
          <w:bCs/>
          <w:sz w:val="24"/>
          <w:szCs w:val="24"/>
        </w:rPr>
        <w:t>包装桶约</w:t>
      </w:r>
      <w:r>
        <w:rPr>
          <w:rFonts w:hint="eastAsia" w:ascii="Arial" w:hAnsi="Arial" w:eastAsia="宋体" w:cs="Arial"/>
          <w:bCs/>
          <w:sz w:val="24"/>
          <w:szCs w:val="24"/>
          <w:lang w:val="en-US" w:eastAsia="zh-CN"/>
        </w:rPr>
        <w:t>500</w:t>
      </w:r>
      <w:r>
        <w:rPr>
          <w:rFonts w:hint="default" w:ascii="Arial" w:hAnsi="Arial" w:eastAsia="宋体" w:cs="Arial"/>
          <w:bCs/>
          <w:sz w:val="24"/>
          <w:szCs w:val="24"/>
        </w:rPr>
        <w:t>个/a，</w:t>
      </w:r>
      <w:r>
        <w:rPr>
          <w:rFonts w:hint="default" w:ascii="Arial" w:hAnsi="Arial" w:eastAsia="宋体" w:cs="Arial"/>
          <w:bCs/>
          <w:sz w:val="24"/>
          <w:szCs w:val="24"/>
          <w:lang w:val="en-US" w:eastAsia="zh-CN"/>
        </w:rPr>
        <w:t>每个包装桶重约15kg</w:t>
      </w:r>
      <w:r>
        <w:rPr>
          <w:rFonts w:hint="eastAsia" w:ascii="Arial" w:hAnsi="Arial" w:eastAsia="宋体" w:cs="Arial"/>
          <w:bCs/>
          <w:sz w:val="24"/>
          <w:szCs w:val="24"/>
          <w:lang w:val="en-US" w:eastAsia="zh-CN"/>
        </w:rPr>
        <w:t>；产生塑料吨桶约78个/a，每个包装桶重约20.5kg。</w:t>
      </w:r>
      <w:r>
        <w:rPr>
          <w:rFonts w:hint="default" w:ascii="Arial" w:hAnsi="Arial" w:eastAsia="宋体" w:cs="Arial"/>
          <w:bCs/>
          <w:sz w:val="24"/>
          <w:szCs w:val="24"/>
          <w:lang w:val="en-US" w:eastAsia="zh-CN"/>
        </w:rPr>
        <w:t>则项目</w:t>
      </w:r>
      <w:r>
        <w:rPr>
          <w:rFonts w:hint="eastAsia" w:ascii="Arial" w:hAnsi="Arial" w:eastAsia="宋体" w:cs="Arial"/>
          <w:bCs/>
          <w:sz w:val="24"/>
          <w:szCs w:val="24"/>
          <w:lang w:val="en-US" w:eastAsia="zh-CN"/>
        </w:rPr>
        <w:t>切削液</w:t>
      </w:r>
      <w:r>
        <w:rPr>
          <w:rFonts w:hint="default" w:ascii="Arial" w:hAnsi="Arial" w:eastAsia="宋体" w:cs="Arial"/>
          <w:bCs/>
          <w:sz w:val="24"/>
          <w:szCs w:val="24"/>
          <w:lang w:val="en-US" w:eastAsia="zh-CN"/>
        </w:rPr>
        <w:t>包装桶产生量</w:t>
      </w:r>
      <w:r>
        <w:rPr>
          <w:rFonts w:hint="default" w:ascii="Arial" w:hAnsi="Arial" w:eastAsia="宋体" w:cs="Arial"/>
          <w:bCs/>
          <w:sz w:val="24"/>
          <w:szCs w:val="24"/>
        </w:rPr>
        <w:t>约</w:t>
      </w:r>
      <w:r>
        <w:rPr>
          <w:rFonts w:hint="eastAsia" w:ascii="Arial" w:hAnsi="Arial" w:eastAsia="宋体" w:cs="Arial"/>
          <w:bCs/>
          <w:sz w:val="24"/>
          <w:szCs w:val="24"/>
          <w:lang w:val="en-US" w:eastAsia="zh-CN"/>
        </w:rPr>
        <w:t>9.1</w:t>
      </w:r>
      <w:r>
        <w:rPr>
          <w:rFonts w:hint="default" w:ascii="Arial" w:hAnsi="Arial" w:eastAsia="宋体" w:cs="Arial"/>
          <w:bCs/>
          <w:sz w:val="24"/>
          <w:szCs w:val="24"/>
        </w:rPr>
        <w:t>t/a</w:t>
      </w:r>
      <w:r>
        <w:rPr>
          <w:rFonts w:hint="eastAsia" w:ascii="Arial" w:hAnsi="Arial" w:eastAsia="宋体" w:cs="Arial"/>
          <w:bCs/>
          <w:sz w:val="24"/>
          <w:szCs w:val="24"/>
          <w:lang w:eastAsia="zh-CN"/>
        </w:rPr>
        <w:t>。</w:t>
      </w:r>
      <w:r>
        <w:rPr>
          <w:rFonts w:hint="default" w:ascii="Arial" w:hAnsi="Arial" w:eastAsia="宋体" w:cs="Arial"/>
          <w:bCs/>
          <w:sz w:val="24"/>
          <w:szCs w:val="24"/>
          <w:lang w:val="en-US" w:eastAsia="zh-CN"/>
        </w:rPr>
        <w:t>综上，项目实施后产生废包装桶</w:t>
      </w:r>
      <w:r>
        <w:rPr>
          <w:rFonts w:hint="eastAsia" w:ascii="Arial" w:hAnsi="Arial" w:eastAsia="宋体" w:cs="Arial"/>
          <w:bCs/>
          <w:sz w:val="24"/>
          <w:szCs w:val="24"/>
          <w:lang w:val="en-US" w:eastAsia="zh-CN"/>
        </w:rPr>
        <w:t>10.9</w:t>
      </w:r>
      <w:r>
        <w:rPr>
          <w:rFonts w:hint="default" w:ascii="Arial" w:hAnsi="Arial" w:eastAsia="宋体" w:cs="Arial"/>
          <w:bCs/>
          <w:sz w:val="24"/>
          <w:szCs w:val="24"/>
          <w:lang w:val="en-US" w:eastAsia="zh-CN"/>
        </w:rPr>
        <w:t>t/a</w:t>
      </w:r>
      <w:r>
        <w:rPr>
          <w:rFonts w:hint="eastAsia" w:ascii="Arial" w:hAnsi="Arial" w:eastAsia="宋体" w:cs="Arial"/>
          <w:bCs/>
          <w:sz w:val="24"/>
          <w:szCs w:val="24"/>
          <w:lang w:val="en-US" w:eastAsia="zh-CN"/>
        </w:rPr>
        <w:t>，</w:t>
      </w:r>
      <w:r>
        <w:rPr>
          <w:rFonts w:hint="default" w:ascii="Arial" w:hAnsi="Arial" w:eastAsia="宋体" w:cs="Arial"/>
          <w:bCs/>
          <w:sz w:val="24"/>
          <w:szCs w:val="20"/>
          <w:lang w:val="en-US" w:eastAsia="zh-CN"/>
        </w:rPr>
        <w:t>委托有资质单位进行安全处置。</w:t>
      </w:r>
    </w:p>
    <w:p w14:paraId="1B3B92B0">
      <w:pPr>
        <w:pStyle w:val="76"/>
        <w:numPr>
          <w:ilvl w:val="0"/>
          <w:numId w:val="11"/>
        </w:numPr>
        <w:spacing w:line="360" w:lineRule="auto"/>
        <w:ind w:firstLine="480" w:firstLineChars="200"/>
        <w:rPr>
          <w:rFonts w:hint="default" w:ascii="Arial" w:hAnsi="Arial" w:eastAsia="宋体" w:cs="Arial"/>
          <w:bCs/>
          <w:sz w:val="24"/>
          <w:szCs w:val="24"/>
          <w:lang w:val="en-US" w:eastAsia="zh-CN"/>
        </w:rPr>
      </w:pPr>
      <w:r>
        <w:rPr>
          <w:rFonts w:hint="default" w:ascii="Arial" w:hAnsi="Arial" w:eastAsia="宋体" w:cs="Arial"/>
          <w:bCs/>
          <w:sz w:val="24"/>
          <w:szCs w:val="20"/>
        </w:rPr>
        <w:t>废</w:t>
      </w:r>
      <w:r>
        <w:rPr>
          <w:rFonts w:hint="default" w:ascii="Arial" w:hAnsi="Arial" w:eastAsia="宋体" w:cs="Arial"/>
          <w:bCs/>
          <w:sz w:val="24"/>
          <w:szCs w:val="20"/>
          <w:lang w:val="en-US" w:eastAsia="zh-CN"/>
        </w:rPr>
        <w:t>水处理浓缩液</w:t>
      </w:r>
    </w:p>
    <w:p w14:paraId="3D929B70">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0"/>
          <w:lang w:val="en-US" w:eastAsia="zh-CN"/>
        </w:rPr>
      </w:pPr>
      <w:r>
        <w:rPr>
          <w:rFonts w:hint="default" w:ascii="Arial" w:hAnsi="Arial" w:eastAsia="宋体" w:cs="Arial"/>
          <w:bCs/>
          <w:sz w:val="24"/>
          <w:szCs w:val="20"/>
          <w:lang w:val="en-US" w:eastAsia="zh-CN"/>
        </w:rPr>
        <w:t>本项目采用低温浓缩+膜过滤方法处理清洗废水，污水处理设备浓缩液产率约为15%，作为危险废物委托有资质单位进行安全处置。则项目废水处理浓缩液产生量127.9t/a。</w:t>
      </w:r>
    </w:p>
    <w:p w14:paraId="42188E82">
      <w:pPr>
        <w:pStyle w:val="76"/>
        <w:numPr>
          <w:ilvl w:val="0"/>
          <w:numId w:val="0"/>
        </w:numPr>
        <w:spacing w:line="360" w:lineRule="auto"/>
        <w:ind w:leftChars="200"/>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w:t>
      </w:r>
      <w:r>
        <w:rPr>
          <w:rFonts w:hint="eastAsia" w:ascii="Arial" w:hAnsi="Arial" w:eastAsia="宋体" w:cs="Arial"/>
          <w:bCs/>
          <w:sz w:val="24"/>
          <w:szCs w:val="24"/>
          <w:lang w:val="en-US" w:eastAsia="zh-CN"/>
        </w:rPr>
        <w:t>10</w:t>
      </w:r>
      <w:r>
        <w:rPr>
          <w:rFonts w:hint="default" w:ascii="Arial" w:hAnsi="Arial" w:eastAsia="宋体" w:cs="Arial"/>
          <w:bCs/>
          <w:sz w:val="24"/>
          <w:szCs w:val="24"/>
          <w:lang w:val="en-US" w:eastAsia="zh-CN"/>
        </w:rPr>
        <w:t>）废水处理废膜</w:t>
      </w:r>
    </w:p>
    <w:p w14:paraId="550D9CB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firstLine="480" w:firstLineChars="200"/>
        <w:textAlignment w:val="auto"/>
        <w:rPr>
          <w:rFonts w:hint="default" w:ascii="Arial" w:hAnsi="Arial" w:eastAsia="宋体" w:cs="Arial"/>
          <w:bCs/>
          <w:sz w:val="24"/>
          <w:szCs w:val="24"/>
          <w:lang w:val="en-US" w:eastAsia="zh-CN"/>
        </w:rPr>
      </w:pPr>
      <w:r>
        <w:rPr>
          <w:rFonts w:hint="default" w:ascii="Arial" w:hAnsi="Arial" w:eastAsia="宋体" w:cs="Arial"/>
          <w:bCs/>
          <w:sz w:val="24"/>
          <w:szCs w:val="24"/>
          <w:lang w:val="en-US" w:eastAsia="zh-CN"/>
        </w:rPr>
        <w:t>本项目废水处理设施使用的陶瓷膜过滤组件每年更换一次，RO反渗透膜过滤组件每半年更换一次，项目废水处理废膜年产生量约为0.1t/a。</w:t>
      </w:r>
    </w:p>
    <w:p w14:paraId="2D2FF215">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lang w:eastAsia="zh-CN"/>
        </w:rPr>
        <w:t>（</w:t>
      </w:r>
      <w:r>
        <w:rPr>
          <w:rFonts w:hint="default" w:ascii="Arial" w:hAnsi="Arial" w:eastAsia="宋体" w:cs="Arial"/>
          <w:bCs/>
          <w:sz w:val="24"/>
          <w:szCs w:val="24"/>
          <w:lang w:val="en-US" w:eastAsia="zh-CN"/>
        </w:rPr>
        <w:t>1</w:t>
      </w:r>
      <w:r>
        <w:rPr>
          <w:rFonts w:hint="eastAsia" w:ascii="Arial" w:hAnsi="Arial" w:eastAsia="宋体" w:cs="Arial"/>
          <w:bCs/>
          <w:sz w:val="24"/>
          <w:szCs w:val="24"/>
          <w:lang w:val="en-US" w:eastAsia="zh-CN"/>
        </w:rPr>
        <w:t>1</w:t>
      </w:r>
      <w:r>
        <w:rPr>
          <w:rFonts w:hint="default" w:ascii="Arial" w:hAnsi="Arial" w:eastAsia="宋体" w:cs="Arial"/>
          <w:bCs/>
          <w:sz w:val="24"/>
          <w:szCs w:val="24"/>
          <w:lang w:eastAsia="zh-CN"/>
        </w:rPr>
        <w:t>）</w:t>
      </w:r>
      <w:r>
        <w:rPr>
          <w:rFonts w:hint="default" w:ascii="Arial" w:hAnsi="Arial" w:eastAsia="宋体" w:cs="Arial"/>
          <w:bCs/>
          <w:sz w:val="24"/>
          <w:szCs w:val="24"/>
        </w:rPr>
        <w:t>生活垃圾</w:t>
      </w:r>
    </w:p>
    <w:p w14:paraId="5967B6C3">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本项目劳动定员</w:t>
      </w:r>
      <w:r>
        <w:rPr>
          <w:rFonts w:hint="default" w:ascii="Arial" w:hAnsi="Arial" w:eastAsia="宋体" w:cs="Arial"/>
          <w:bCs/>
          <w:sz w:val="24"/>
          <w:szCs w:val="24"/>
          <w:lang w:val="en-US" w:eastAsia="zh-CN"/>
        </w:rPr>
        <w:t>420</w:t>
      </w:r>
      <w:r>
        <w:rPr>
          <w:rFonts w:hint="default" w:ascii="Arial" w:hAnsi="Arial" w:eastAsia="宋体" w:cs="Arial"/>
          <w:bCs/>
          <w:sz w:val="24"/>
          <w:szCs w:val="24"/>
        </w:rPr>
        <w:t>人，</w:t>
      </w:r>
      <w:r>
        <w:rPr>
          <w:rFonts w:hint="default" w:ascii="Arial" w:hAnsi="Arial" w:eastAsia="宋体" w:cs="Arial"/>
          <w:bCs/>
          <w:sz w:val="24"/>
          <w:szCs w:val="24"/>
          <w:lang w:val="en-US" w:eastAsia="zh-CN"/>
        </w:rPr>
        <w:t>与原环评一致，</w:t>
      </w:r>
      <w:r>
        <w:rPr>
          <w:rFonts w:hint="default" w:ascii="Arial" w:hAnsi="Arial" w:eastAsia="宋体" w:cs="Arial"/>
          <w:bCs/>
          <w:sz w:val="24"/>
          <w:szCs w:val="24"/>
        </w:rPr>
        <w:t>年产生生活垃圾约</w:t>
      </w:r>
      <w:r>
        <w:rPr>
          <w:rFonts w:hint="default" w:ascii="Arial" w:hAnsi="Arial" w:eastAsia="宋体" w:cs="Arial"/>
          <w:bCs/>
          <w:sz w:val="24"/>
          <w:szCs w:val="24"/>
          <w:lang w:val="en-US" w:eastAsia="zh-CN"/>
        </w:rPr>
        <w:t>63</w:t>
      </w:r>
      <w:r>
        <w:rPr>
          <w:rFonts w:hint="default" w:ascii="Arial" w:hAnsi="Arial" w:eastAsia="宋体" w:cs="Arial"/>
          <w:bCs/>
          <w:sz w:val="24"/>
          <w:szCs w:val="24"/>
        </w:rPr>
        <w:t>t；职工生活垃圾由当地环卫部门清运。</w:t>
      </w:r>
    </w:p>
    <w:p w14:paraId="4E95EEA7">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根据以上分析，本项目固废具体产生及处理处置情况如下：</w:t>
      </w:r>
    </w:p>
    <w:p w14:paraId="629B6D84">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项目副产物产生情况汇总见表4-</w:t>
      </w:r>
      <w:r>
        <w:rPr>
          <w:rFonts w:hint="default" w:ascii="Arial" w:hAnsi="Arial" w:eastAsia="宋体" w:cs="Arial"/>
          <w:bCs/>
          <w:sz w:val="24"/>
          <w:szCs w:val="24"/>
          <w:lang w:val="en-US" w:eastAsia="zh-CN"/>
        </w:rPr>
        <w:t>1</w:t>
      </w:r>
      <w:r>
        <w:rPr>
          <w:rFonts w:hint="eastAsia" w:ascii="Arial" w:hAnsi="Arial" w:eastAsia="宋体" w:cs="Arial"/>
          <w:bCs/>
          <w:sz w:val="24"/>
          <w:szCs w:val="24"/>
          <w:lang w:val="en-US" w:eastAsia="zh-CN"/>
        </w:rPr>
        <w:t>4</w:t>
      </w:r>
      <w:r>
        <w:rPr>
          <w:rFonts w:hint="default" w:ascii="Arial" w:hAnsi="Arial" w:eastAsia="宋体" w:cs="Arial"/>
          <w:bCs/>
          <w:sz w:val="24"/>
          <w:szCs w:val="24"/>
        </w:rPr>
        <w:t>。</w:t>
      </w:r>
    </w:p>
    <w:p w14:paraId="16B546E1">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项目副产物产生情况</w:t>
      </w:r>
    </w:p>
    <w:tbl>
      <w:tblPr>
        <w:tblStyle w:val="53"/>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786"/>
        <w:gridCol w:w="1462"/>
        <w:gridCol w:w="747"/>
        <w:gridCol w:w="1728"/>
        <w:gridCol w:w="1536"/>
      </w:tblGrid>
      <w:tr w14:paraId="467E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Align w:val="center"/>
          </w:tcPr>
          <w:p w14:paraId="594BDF51">
            <w:pPr>
              <w:jc w:val="center"/>
              <w:rPr>
                <w:rFonts w:hint="default" w:ascii="Arial" w:hAnsi="Arial" w:eastAsia="宋体" w:cs="Arial"/>
                <w:sz w:val="21"/>
                <w:szCs w:val="21"/>
              </w:rPr>
            </w:pPr>
            <w:r>
              <w:rPr>
                <w:rFonts w:hint="default" w:ascii="Arial" w:hAnsi="Arial" w:eastAsia="宋体" w:cs="Arial"/>
                <w:sz w:val="21"/>
                <w:szCs w:val="21"/>
              </w:rPr>
              <w:t>序号</w:t>
            </w:r>
          </w:p>
        </w:tc>
        <w:tc>
          <w:tcPr>
            <w:tcW w:w="1786" w:type="dxa"/>
            <w:vAlign w:val="center"/>
          </w:tcPr>
          <w:p w14:paraId="1B853777">
            <w:pPr>
              <w:jc w:val="center"/>
              <w:rPr>
                <w:rFonts w:hint="default" w:ascii="Arial" w:hAnsi="Arial" w:eastAsia="宋体" w:cs="Arial"/>
                <w:sz w:val="21"/>
                <w:szCs w:val="21"/>
              </w:rPr>
            </w:pPr>
            <w:r>
              <w:rPr>
                <w:rFonts w:hint="default" w:ascii="Arial" w:hAnsi="Arial" w:eastAsia="宋体" w:cs="Arial"/>
                <w:sz w:val="21"/>
                <w:szCs w:val="21"/>
              </w:rPr>
              <w:t>产物名称</w:t>
            </w:r>
          </w:p>
        </w:tc>
        <w:tc>
          <w:tcPr>
            <w:tcW w:w="1462" w:type="dxa"/>
            <w:vAlign w:val="center"/>
          </w:tcPr>
          <w:p w14:paraId="29E202D6">
            <w:pPr>
              <w:jc w:val="center"/>
              <w:rPr>
                <w:rFonts w:hint="default" w:ascii="Arial" w:hAnsi="Arial" w:eastAsia="宋体" w:cs="Arial"/>
                <w:sz w:val="21"/>
                <w:szCs w:val="21"/>
              </w:rPr>
            </w:pPr>
            <w:r>
              <w:rPr>
                <w:rFonts w:hint="default" w:ascii="Arial" w:hAnsi="Arial" w:eastAsia="宋体" w:cs="Arial"/>
                <w:sz w:val="21"/>
                <w:szCs w:val="21"/>
              </w:rPr>
              <w:t>产生工序</w:t>
            </w:r>
          </w:p>
        </w:tc>
        <w:tc>
          <w:tcPr>
            <w:tcW w:w="747" w:type="dxa"/>
            <w:vAlign w:val="center"/>
          </w:tcPr>
          <w:p w14:paraId="7924E318">
            <w:pPr>
              <w:jc w:val="center"/>
              <w:rPr>
                <w:rFonts w:hint="default" w:ascii="Arial" w:hAnsi="Arial" w:eastAsia="宋体" w:cs="Arial"/>
                <w:sz w:val="21"/>
                <w:szCs w:val="21"/>
              </w:rPr>
            </w:pPr>
            <w:r>
              <w:rPr>
                <w:rFonts w:hint="default" w:ascii="Arial" w:hAnsi="Arial" w:eastAsia="宋体" w:cs="Arial"/>
                <w:sz w:val="21"/>
                <w:szCs w:val="21"/>
              </w:rPr>
              <w:t>形态</w:t>
            </w:r>
          </w:p>
        </w:tc>
        <w:tc>
          <w:tcPr>
            <w:tcW w:w="1728" w:type="dxa"/>
            <w:vAlign w:val="center"/>
          </w:tcPr>
          <w:p w14:paraId="030FDECF">
            <w:pPr>
              <w:jc w:val="center"/>
              <w:rPr>
                <w:rFonts w:hint="default" w:ascii="Arial" w:hAnsi="Arial" w:eastAsia="宋体" w:cs="Arial"/>
                <w:sz w:val="21"/>
                <w:szCs w:val="21"/>
              </w:rPr>
            </w:pPr>
            <w:r>
              <w:rPr>
                <w:rFonts w:hint="default" w:ascii="Arial" w:hAnsi="Arial" w:eastAsia="宋体" w:cs="Arial"/>
                <w:sz w:val="21"/>
                <w:szCs w:val="21"/>
              </w:rPr>
              <w:t>主要成分</w:t>
            </w:r>
          </w:p>
        </w:tc>
        <w:tc>
          <w:tcPr>
            <w:tcW w:w="1536" w:type="dxa"/>
            <w:vAlign w:val="center"/>
          </w:tcPr>
          <w:p w14:paraId="3F637C81">
            <w:pPr>
              <w:jc w:val="center"/>
              <w:rPr>
                <w:rFonts w:hint="default" w:ascii="Arial" w:hAnsi="Arial" w:eastAsia="宋体" w:cs="Arial"/>
                <w:sz w:val="21"/>
                <w:szCs w:val="21"/>
              </w:rPr>
            </w:pPr>
            <w:r>
              <w:rPr>
                <w:rFonts w:hint="default" w:ascii="Arial" w:hAnsi="Arial" w:eastAsia="宋体" w:cs="Arial"/>
                <w:sz w:val="21"/>
                <w:szCs w:val="21"/>
              </w:rPr>
              <w:t>产生量（t/a）</w:t>
            </w:r>
          </w:p>
        </w:tc>
      </w:tr>
      <w:tr w14:paraId="51F9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Align w:val="center"/>
          </w:tcPr>
          <w:p w14:paraId="6AD0107B">
            <w:pPr>
              <w:jc w:val="center"/>
              <w:rPr>
                <w:rFonts w:hint="default" w:ascii="Arial" w:hAnsi="Arial" w:eastAsia="宋体" w:cs="Arial"/>
                <w:sz w:val="21"/>
                <w:szCs w:val="21"/>
              </w:rPr>
            </w:pPr>
            <w:r>
              <w:rPr>
                <w:rFonts w:hint="default" w:ascii="Arial" w:hAnsi="Arial" w:eastAsia="宋体" w:cs="Arial"/>
                <w:sz w:val="21"/>
                <w:szCs w:val="21"/>
              </w:rPr>
              <w:t>1</w:t>
            </w:r>
          </w:p>
        </w:tc>
        <w:tc>
          <w:tcPr>
            <w:tcW w:w="1786" w:type="dxa"/>
            <w:shd w:val="clear" w:color="auto" w:fill="auto"/>
            <w:vAlign w:val="center"/>
          </w:tcPr>
          <w:p w14:paraId="0E5DA245">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废一般包装材料</w:t>
            </w:r>
          </w:p>
        </w:tc>
        <w:tc>
          <w:tcPr>
            <w:tcW w:w="1462" w:type="dxa"/>
            <w:shd w:val="clear" w:color="auto" w:fill="auto"/>
            <w:vAlign w:val="center"/>
          </w:tcPr>
          <w:p w14:paraId="49FFD07A">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原料使用</w:t>
            </w:r>
          </w:p>
        </w:tc>
        <w:tc>
          <w:tcPr>
            <w:tcW w:w="747" w:type="dxa"/>
            <w:shd w:val="clear" w:color="auto" w:fill="auto"/>
            <w:vAlign w:val="center"/>
          </w:tcPr>
          <w:p w14:paraId="1B591F51">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w:t>
            </w:r>
          </w:p>
        </w:tc>
        <w:tc>
          <w:tcPr>
            <w:tcW w:w="1728" w:type="dxa"/>
            <w:shd w:val="clear" w:color="auto" w:fill="auto"/>
            <w:vAlign w:val="center"/>
          </w:tcPr>
          <w:p w14:paraId="2FCEE1A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塑料</w:t>
            </w:r>
          </w:p>
        </w:tc>
        <w:tc>
          <w:tcPr>
            <w:tcW w:w="1536" w:type="dxa"/>
            <w:shd w:val="clear" w:color="auto" w:fill="auto"/>
            <w:vAlign w:val="center"/>
          </w:tcPr>
          <w:p w14:paraId="7E53FD52">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r>
      <w:tr w14:paraId="39C1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Align w:val="center"/>
          </w:tcPr>
          <w:p w14:paraId="7AFC4012">
            <w:pPr>
              <w:jc w:val="center"/>
              <w:rPr>
                <w:rFonts w:hint="default" w:ascii="Arial" w:hAnsi="Arial" w:eastAsia="宋体" w:cs="Arial"/>
                <w:sz w:val="21"/>
                <w:szCs w:val="21"/>
              </w:rPr>
            </w:pPr>
            <w:r>
              <w:rPr>
                <w:rFonts w:hint="default" w:ascii="Arial" w:hAnsi="Arial" w:eastAsia="宋体" w:cs="Arial"/>
                <w:sz w:val="21"/>
                <w:szCs w:val="21"/>
              </w:rPr>
              <w:t>2</w:t>
            </w:r>
          </w:p>
        </w:tc>
        <w:tc>
          <w:tcPr>
            <w:tcW w:w="1786" w:type="dxa"/>
            <w:shd w:val="clear" w:color="auto" w:fill="auto"/>
            <w:vAlign w:val="center"/>
          </w:tcPr>
          <w:p w14:paraId="7CF8B165">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废金属边角料</w:t>
            </w:r>
          </w:p>
        </w:tc>
        <w:tc>
          <w:tcPr>
            <w:tcW w:w="1462" w:type="dxa"/>
            <w:shd w:val="clear" w:color="auto" w:fill="auto"/>
            <w:vAlign w:val="center"/>
          </w:tcPr>
          <w:p w14:paraId="2D20150B">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机加工</w:t>
            </w:r>
          </w:p>
        </w:tc>
        <w:tc>
          <w:tcPr>
            <w:tcW w:w="747" w:type="dxa"/>
            <w:shd w:val="clear" w:color="auto" w:fill="auto"/>
            <w:vAlign w:val="center"/>
          </w:tcPr>
          <w:p w14:paraId="0BDBB1E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w:t>
            </w:r>
          </w:p>
        </w:tc>
        <w:tc>
          <w:tcPr>
            <w:tcW w:w="1728" w:type="dxa"/>
            <w:shd w:val="clear" w:color="auto" w:fill="auto"/>
            <w:vAlign w:val="center"/>
          </w:tcPr>
          <w:p w14:paraId="6E61B49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废金属</w:t>
            </w:r>
          </w:p>
        </w:tc>
        <w:tc>
          <w:tcPr>
            <w:tcW w:w="1536" w:type="dxa"/>
            <w:shd w:val="clear" w:color="auto" w:fill="auto"/>
            <w:vAlign w:val="center"/>
          </w:tcPr>
          <w:p w14:paraId="5E1990CE">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2500</w:t>
            </w:r>
          </w:p>
        </w:tc>
      </w:tr>
      <w:tr w14:paraId="230C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353AF089">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3</w:t>
            </w:r>
          </w:p>
        </w:tc>
        <w:tc>
          <w:tcPr>
            <w:tcW w:w="1786" w:type="dxa"/>
            <w:shd w:val="clear" w:color="auto" w:fill="auto"/>
            <w:vAlign w:val="center"/>
          </w:tcPr>
          <w:p w14:paraId="3D3FA359">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不合格品</w:t>
            </w:r>
          </w:p>
        </w:tc>
        <w:tc>
          <w:tcPr>
            <w:tcW w:w="1462" w:type="dxa"/>
            <w:shd w:val="clear" w:color="auto" w:fill="auto"/>
            <w:vAlign w:val="center"/>
          </w:tcPr>
          <w:p w14:paraId="25B5FB9B">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检测</w:t>
            </w:r>
          </w:p>
        </w:tc>
        <w:tc>
          <w:tcPr>
            <w:tcW w:w="747" w:type="dxa"/>
            <w:shd w:val="clear" w:color="auto" w:fill="auto"/>
            <w:vAlign w:val="center"/>
          </w:tcPr>
          <w:p w14:paraId="27572DC9">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固</w:t>
            </w:r>
          </w:p>
        </w:tc>
        <w:tc>
          <w:tcPr>
            <w:tcW w:w="1728" w:type="dxa"/>
            <w:shd w:val="clear" w:color="auto" w:fill="auto"/>
            <w:vAlign w:val="center"/>
          </w:tcPr>
          <w:p w14:paraId="37213646">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废金属</w:t>
            </w:r>
          </w:p>
        </w:tc>
        <w:tc>
          <w:tcPr>
            <w:tcW w:w="1536" w:type="dxa"/>
            <w:shd w:val="clear" w:color="auto" w:fill="auto"/>
            <w:vAlign w:val="center"/>
          </w:tcPr>
          <w:p w14:paraId="145D70A5">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10</w:t>
            </w:r>
          </w:p>
        </w:tc>
      </w:tr>
      <w:tr w14:paraId="5DE1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357D7556">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4</w:t>
            </w:r>
          </w:p>
        </w:tc>
        <w:tc>
          <w:tcPr>
            <w:tcW w:w="1786" w:type="dxa"/>
            <w:shd w:val="clear" w:color="auto" w:fill="auto"/>
            <w:vAlign w:val="center"/>
          </w:tcPr>
          <w:p w14:paraId="04B36D6D">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废含油金属屑</w:t>
            </w:r>
          </w:p>
        </w:tc>
        <w:tc>
          <w:tcPr>
            <w:tcW w:w="1462" w:type="dxa"/>
            <w:shd w:val="clear" w:color="auto" w:fill="auto"/>
            <w:vAlign w:val="center"/>
          </w:tcPr>
          <w:p w14:paraId="09137FF8">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机加工</w:t>
            </w:r>
          </w:p>
        </w:tc>
        <w:tc>
          <w:tcPr>
            <w:tcW w:w="747" w:type="dxa"/>
            <w:shd w:val="clear" w:color="auto" w:fill="auto"/>
            <w:vAlign w:val="center"/>
          </w:tcPr>
          <w:p w14:paraId="58F4C3FB">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固</w:t>
            </w:r>
          </w:p>
        </w:tc>
        <w:tc>
          <w:tcPr>
            <w:tcW w:w="1728" w:type="dxa"/>
            <w:shd w:val="clear" w:color="auto" w:fill="auto"/>
            <w:vAlign w:val="center"/>
          </w:tcPr>
          <w:p w14:paraId="0B0616B1">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切削液、废金属</w:t>
            </w:r>
          </w:p>
        </w:tc>
        <w:tc>
          <w:tcPr>
            <w:tcW w:w="1536" w:type="dxa"/>
            <w:shd w:val="clear" w:color="auto" w:fill="auto"/>
            <w:vAlign w:val="center"/>
          </w:tcPr>
          <w:p w14:paraId="411B4A2E">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5</w:t>
            </w:r>
          </w:p>
        </w:tc>
      </w:tr>
      <w:tr w14:paraId="61AD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4A8F7A1F">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5</w:t>
            </w:r>
          </w:p>
        </w:tc>
        <w:tc>
          <w:tcPr>
            <w:tcW w:w="1786" w:type="dxa"/>
            <w:shd w:val="clear" w:color="auto" w:fill="auto"/>
            <w:vAlign w:val="center"/>
          </w:tcPr>
          <w:p w14:paraId="1AE6637E">
            <w:pPr>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磨搓泥</w:t>
            </w:r>
          </w:p>
        </w:tc>
        <w:tc>
          <w:tcPr>
            <w:tcW w:w="1462" w:type="dxa"/>
            <w:shd w:val="clear" w:color="auto" w:fill="auto"/>
            <w:vAlign w:val="center"/>
          </w:tcPr>
          <w:p w14:paraId="2B1F78C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机加工</w:t>
            </w:r>
          </w:p>
        </w:tc>
        <w:tc>
          <w:tcPr>
            <w:tcW w:w="747" w:type="dxa"/>
            <w:shd w:val="clear" w:color="auto" w:fill="auto"/>
            <w:vAlign w:val="center"/>
          </w:tcPr>
          <w:p w14:paraId="0DC1A073">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w:t>
            </w:r>
          </w:p>
        </w:tc>
        <w:tc>
          <w:tcPr>
            <w:tcW w:w="1728" w:type="dxa"/>
            <w:shd w:val="clear" w:color="auto" w:fill="auto"/>
            <w:vAlign w:val="center"/>
          </w:tcPr>
          <w:p w14:paraId="45F8E14E">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切削液、废金属</w:t>
            </w:r>
          </w:p>
        </w:tc>
        <w:tc>
          <w:tcPr>
            <w:tcW w:w="1536" w:type="dxa"/>
            <w:shd w:val="clear" w:color="auto" w:fill="auto"/>
            <w:vAlign w:val="center"/>
          </w:tcPr>
          <w:p w14:paraId="37E69173">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w:t>
            </w:r>
          </w:p>
        </w:tc>
      </w:tr>
      <w:tr w14:paraId="2668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61BBA859">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6</w:t>
            </w:r>
          </w:p>
        </w:tc>
        <w:tc>
          <w:tcPr>
            <w:tcW w:w="1786" w:type="dxa"/>
            <w:shd w:val="clear" w:color="auto" w:fill="auto"/>
            <w:vAlign w:val="center"/>
          </w:tcPr>
          <w:p w14:paraId="69512D38">
            <w:pPr>
              <w:jc w:val="center"/>
              <w:rPr>
                <w:rFonts w:hint="default" w:ascii="Arial" w:hAnsi="Arial" w:eastAsia="宋体" w:cs="Arial"/>
                <w:bCs/>
                <w:sz w:val="21"/>
                <w:szCs w:val="21"/>
                <w:lang w:val="en-US" w:eastAsia="zh-CN"/>
              </w:rPr>
            </w:pPr>
            <w:r>
              <w:rPr>
                <w:rFonts w:hint="default" w:ascii="Arial" w:hAnsi="Arial" w:eastAsia="宋体" w:cs="Arial"/>
                <w:bCs/>
                <w:sz w:val="21"/>
                <w:szCs w:val="21"/>
                <w:lang w:val="en-US" w:eastAsia="zh-CN"/>
              </w:rPr>
              <w:t>废淬火液</w:t>
            </w:r>
          </w:p>
        </w:tc>
        <w:tc>
          <w:tcPr>
            <w:tcW w:w="1462" w:type="dxa"/>
            <w:shd w:val="clear" w:color="auto" w:fill="auto"/>
            <w:vAlign w:val="center"/>
          </w:tcPr>
          <w:p w14:paraId="641902C8">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热处理</w:t>
            </w:r>
          </w:p>
        </w:tc>
        <w:tc>
          <w:tcPr>
            <w:tcW w:w="747" w:type="dxa"/>
            <w:shd w:val="clear" w:color="auto" w:fill="auto"/>
            <w:vAlign w:val="center"/>
          </w:tcPr>
          <w:p w14:paraId="25A835B9">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液</w:t>
            </w:r>
          </w:p>
        </w:tc>
        <w:tc>
          <w:tcPr>
            <w:tcW w:w="1728" w:type="dxa"/>
            <w:shd w:val="clear" w:color="auto" w:fill="auto"/>
            <w:vAlign w:val="center"/>
          </w:tcPr>
          <w:p w14:paraId="5347075F">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淬火液</w:t>
            </w:r>
          </w:p>
        </w:tc>
        <w:tc>
          <w:tcPr>
            <w:tcW w:w="1536" w:type="dxa"/>
            <w:shd w:val="clear" w:color="auto" w:fill="auto"/>
            <w:vAlign w:val="center"/>
          </w:tcPr>
          <w:p w14:paraId="0DFDFFB8">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1.0</w:t>
            </w:r>
          </w:p>
        </w:tc>
      </w:tr>
      <w:tr w14:paraId="5C58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2ED4115E">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7</w:t>
            </w:r>
          </w:p>
        </w:tc>
        <w:tc>
          <w:tcPr>
            <w:tcW w:w="1786" w:type="dxa"/>
            <w:shd w:val="clear" w:color="auto" w:fill="auto"/>
            <w:vAlign w:val="center"/>
          </w:tcPr>
          <w:p w14:paraId="766B99B5">
            <w:pPr>
              <w:jc w:val="center"/>
              <w:rPr>
                <w:rFonts w:hint="default" w:ascii="Arial" w:hAnsi="Arial" w:eastAsia="宋体" w:cs="Arial"/>
                <w:bCs/>
                <w:sz w:val="21"/>
                <w:szCs w:val="21"/>
                <w:lang w:val="en-US" w:eastAsia="zh-CN"/>
              </w:rPr>
            </w:pPr>
            <w:r>
              <w:rPr>
                <w:rFonts w:hint="default" w:ascii="Arial" w:hAnsi="Arial" w:eastAsia="宋体" w:cs="Arial"/>
                <w:bCs/>
                <w:sz w:val="21"/>
                <w:szCs w:val="21"/>
                <w:lang w:val="en-US" w:eastAsia="zh-CN"/>
              </w:rPr>
              <w:t>废切削液</w:t>
            </w:r>
          </w:p>
        </w:tc>
        <w:tc>
          <w:tcPr>
            <w:tcW w:w="1462" w:type="dxa"/>
            <w:shd w:val="clear" w:color="auto" w:fill="auto"/>
            <w:vAlign w:val="center"/>
          </w:tcPr>
          <w:p w14:paraId="66E33E80">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机加工</w:t>
            </w:r>
          </w:p>
        </w:tc>
        <w:tc>
          <w:tcPr>
            <w:tcW w:w="747" w:type="dxa"/>
            <w:shd w:val="clear" w:color="auto" w:fill="auto"/>
            <w:vAlign w:val="center"/>
          </w:tcPr>
          <w:p w14:paraId="7446D9ED">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液</w:t>
            </w:r>
          </w:p>
        </w:tc>
        <w:tc>
          <w:tcPr>
            <w:tcW w:w="1728" w:type="dxa"/>
            <w:shd w:val="clear" w:color="auto" w:fill="auto"/>
            <w:vAlign w:val="center"/>
          </w:tcPr>
          <w:p w14:paraId="1FDB7015">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切削液</w:t>
            </w:r>
          </w:p>
        </w:tc>
        <w:tc>
          <w:tcPr>
            <w:tcW w:w="1536" w:type="dxa"/>
            <w:shd w:val="clear" w:color="auto" w:fill="auto"/>
            <w:vAlign w:val="center"/>
          </w:tcPr>
          <w:p w14:paraId="0AC7F606">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115.5</w:t>
            </w:r>
          </w:p>
        </w:tc>
      </w:tr>
      <w:tr w14:paraId="340C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2D219280">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8</w:t>
            </w:r>
          </w:p>
        </w:tc>
        <w:tc>
          <w:tcPr>
            <w:tcW w:w="1786" w:type="dxa"/>
            <w:shd w:val="clear" w:color="auto" w:fill="auto"/>
            <w:vAlign w:val="center"/>
          </w:tcPr>
          <w:p w14:paraId="018F5452">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废</w:t>
            </w:r>
            <w:r>
              <w:rPr>
                <w:rFonts w:hint="default" w:ascii="Arial" w:hAnsi="Arial" w:eastAsia="宋体" w:cs="Arial"/>
                <w:sz w:val="21"/>
                <w:szCs w:val="21"/>
                <w:lang w:val="en-US" w:eastAsia="zh-CN"/>
              </w:rPr>
              <w:t>化学品包装</w:t>
            </w:r>
          </w:p>
        </w:tc>
        <w:tc>
          <w:tcPr>
            <w:tcW w:w="1462" w:type="dxa"/>
            <w:shd w:val="clear" w:color="auto" w:fill="auto"/>
            <w:vAlign w:val="center"/>
          </w:tcPr>
          <w:p w14:paraId="7AB6431D">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原材料使用</w:t>
            </w:r>
          </w:p>
        </w:tc>
        <w:tc>
          <w:tcPr>
            <w:tcW w:w="747" w:type="dxa"/>
            <w:shd w:val="clear" w:color="auto" w:fill="auto"/>
            <w:vAlign w:val="center"/>
          </w:tcPr>
          <w:p w14:paraId="6C4E29F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固</w:t>
            </w:r>
          </w:p>
        </w:tc>
        <w:tc>
          <w:tcPr>
            <w:tcW w:w="1728" w:type="dxa"/>
            <w:shd w:val="clear" w:color="auto" w:fill="auto"/>
            <w:vAlign w:val="center"/>
          </w:tcPr>
          <w:p w14:paraId="475EE70F">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塑料、</w:t>
            </w:r>
            <w:r>
              <w:rPr>
                <w:rFonts w:hint="default" w:ascii="Arial" w:hAnsi="Arial" w:eastAsia="宋体" w:cs="Arial"/>
                <w:sz w:val="21"/>
                <w:szCs w:val="21"/>
                <w:lang w:val="en-US" w:eastAsia="zh-CN"/>
              </w:rPr>
              <w:t>有机物</w:t>
            </w:r>
          </w:p>
        </w:tc>
        <w:tc>
          <w:tcPr>
            <w:tcW w:w="1536" w:type="dxa"/>
            <w:shd w:val="clear" w:color="auto" w:fill="auto"/>
            <w:vAlign w:val="center"/>
          </w:tcPr>
          <w:p w14:paraId="36E4F387">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10.9</w:t>
            </w:r>
          </w:p>
        </w:tc>
      </w:tr>
      <w:tr w14:paraId="6B81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71E8414E">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9</w:t>
            </w:r>
          </w:p>
        </w:tc>
        <w:tc>
          <w:tcPr>
            <w:tcW w:w="1786" w:type="dxa"/>
            <w:shd w:val="clear" w:color="auto" w:fill="auto"/>
            <w:vAlign w:val="center"/>
          </w:tcPr>
          <w:p w14:paraId="1417EAD3">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废水处理浓缩液</w:t>
            </w:r>
          </w:p>
        </w:tc>
        <w:tc>
          <w:tcPr>
            <w:tcW w:w="1462" w:type="dxa"/>
            <w:shd w:val="clear" w:color="auto" w:fill="auto"/>
            <w:vAlign w:val="center"/>
          </w:tcPr>
          <w:p w14:paraId="5D4C953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w:t>
            </w:r>
          </w:p>
        </w:tc>
        <w:tc>
          <w:tcPr>
            <w:tcW w:w="747" w:type="dxa"/>
            <w:shd w:val="clear" w:color="auto" w:fill="auto"/>
            <w:vAlign w:val="center"/>
          </w:tcPr>
          <w:p w14:paraId="3C7ADEAA">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液</w:t>
            </w:r>
          </w:p>
        </w:tc>
        <w:tc>
          <w:tcPr>
            <w:tcW w:w="1728" w:type="dxa"/>
            <w:shd w:val="clear" w:color="auto" w:fill="auto"/>
            <w:vAlign w:val="center"/>
          </w:tcPr>
          <w:p w14:paraId="357EE50D">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废水、有机物</w:t>
            </w:r>
          </w:p>
        </w:tc>
        <w:tc>
          <w:tcPr>
            <w:tcW w:w="1536" w:type="dxa"/>
            <w:shd w:val="clear" w:color="auto" w:fill="auto"/>
            <w:vAlign w:val="center"/>
          </w:tcPr>
          <w:p w14:paraId="4B01CB4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127.9</w:t>
            </w:r>
          </w:p>
        </w:tc>
      </w:tr>
      <w:tr w14:paraId="151F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shd w:val="clear" w:color="auto" w:fill="auto"/>
            <w:vAlign w:val="center"/>
          </w:tcPr>
          <w:p w14:paraId="1D6F9003">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10</w:t>
            </w:r>
          </w:p>
        </w:tc>
        <w:tc>
          <w:tcPr>
            <w:tcW w:w="1786" w:type="dxa"/>
            <w:shd w:val="clear" w:color="auto" w:fill="auto"/>
            <w:vAlign w:val="center"/>
          </w:tcPr>
          <w:p w14:paraId="5790458B">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废水处理废膜</w:t>
            </w:r>
          </w:p>
        </w:tc>
        <w:tc>
          <w:tcPr>
            <w:tcW w:w="1462" w:type="dxa"/>
            <w:shd w:val="clear" w:color="auto" w:fill="auto"/>
            <w:vAlign w:val="center"/>
          </w:tcPr>
          <w:p w14:paraId="29B6920E">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w:t>
            </w:r>
          </w:p>
        </w:tc>
        <w:tc>
          <w:tcPr>
            <w:tcW w:w="747" w:type="dxa"/>
            <w:shd w:val="clear" w:color="auto" w:fill="auto"/>
            <w:vAlign w:val="center"/>
          </w:tcPr>
          <w:p w14:paraId="2F5D7858">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固</w:t>
            </w:r>
          </w:p>
        </w:tc>
        <w:tc>
          <w:tcPr>
            <w:tcW w:w="1728" w:type="dxa"/>
            <w:shd w:val="clear" w:color="auto" w:fill="auto"/>
            <w:vAlign w:val="center"/>
          </w:tcPr>
          <w:p w14:paraId="3B3EDCC3">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陶瓷、塑料</w:t>
            </w:r>
          </w:p>
        </w:tc>
        <w:tc>
          <w:tcPr>
            <w:tcW w:w="1536" w:type="dxa"/>
            <w:shd w:val="clear" w:color="auto" w:fill="auto"/>
            <w:vAlign w:val="center"/>
          </w:tcPr>
          <w:p w14:paraId="429E1EC6">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0.1</w:t>
            </w:r>
          </w:p>
        </w:tc>
      </w:tr>
      <w:tr w14:paraId="20E6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Align w:val="center"/>
          </w:tcPr>
          <w:p w14:paraId="1EB8B127">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11</w:t>
            </w:r>
          </w:p>
        </w:tc>
        <w:tc>
          <w:tcPr>
            <w:tcW w:w="1786" w:type="dxa"/>
            <w:shd w:val="clear" w:color="auto" w:fill="auto"/>
            <w:vAlign w:val="center"/>
          </w:tcPr>
          <w:p w14:paraId="2E36412E">
            <w:pPr>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生活垃圾</w:t>
            </w:r>
          </w:p>
        </w:tc>
        <w:tc>
          <w:tcPr>
            <w:tcW w:w="1462" w:type="dxa"/>
            <w:shd w:val="clear" w:color="auto" w:fill="auto"/>
            <w:vAlign w:val="center"/>
          </w:tcPr>
          <w:p w14:paraId="4BB3C95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生活</w:t>
            </w:r>
          </w:p>
        </w:tc>
        <w:tc>
          <w:tcPr>
            <w:tcW w:w="747" w:type="dxa"/>
            <w:shd w:val="clear" w:color="auto" w:fill="auto"/>
            <w:vAlign w:val="center"/>
          </w:tcPr>
          <w:p w14:paraId="53F10D01">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固</w:t>
            </w:r>
          </w:p>
        </w:tc>
        <w:tc>
          <w:tcPr>
            <w:tcW w:w="1728" w:type="dxa"/>
            <w:shd w:val="clear" w:color="auto" w:fill="auto"/>
            <w:vAlign w:val="center"/>
          </w:tcPr>
          <w:p w14:paraId="0CCCEA33">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塑料、果壳等</w:t>
            </w:r>
          </w:p>
        </w:tc>
        <w:tc>
          <w:tcPr>
            <w:tcW w:w="1536" w:type="dxa"/>
            <w:shd w:val="clear" w:color="auto" w:fill="auto"/>
            <w:vAlign w:val="center"/>
          </w:tcPr>
          <w:p w14:paraId="25B86307">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63</w:t>
            </w:r>
          </w:p>
        </w:tc>
      </w:tr>
    </w:tbl>
    <w:p w14:paraId="1B119CAD">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2、项目固废属性判定</w:t>
      </w:r>
    </w:p>
    <w:p w14:paraId="535C9182">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根据《固体废物鉴别标准通则》规定对上述固废属性进行判定，具体见表4-</w:t>
      </w:r>
      <w:r>
        <w:rPr>
          <w:rFonts w:hint="default" w:ascii="Arial" w:hAnsi="Arial" w:eastAsia="宋体" w:cs="Arial"/>
          <w:bCs/>
          <w:sz w:val="24"/>
          <w:szCs w:val="24"/>
          <w:lang w:val="en-US" w:eastAsia="zh-CN"/>
        </w:rPr>
        <w:t>1</w:t>
      </w:r>
      <w:r>
        <w:rPr>
          <w:rFonts w:hint="eastAsia" w:ascii="Arial" w:hAnsi="Arial" w:eastAsia="宋体" w:cs="Arial"/>
          <w:bCs/>
          <w:sz w:val="24"/>
          <w:szCs w:val="24"/>
          <w:lang w:val="en-US" w:eastAsia="zh-CN"/>
        </w:rPr>
        <w:t>5</w:t>
      </w:r>
      <w:r>
        <w:rPr>
          <w:rFonts w:hint="default" w:ascii="Arial" w:hAnsi="Arial" w:eastAsia="宋体" w:cs="Arial"/>
          <w:bCs/>
          <w:sz w:val="24"/>
          <w:szCs w:val="24"/>
        </w:rPr>
        <w:t>。</w:t>
      </w:r>
    </w:p>
    <w:p w14:paraId="37BD4754">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建设项目固废属性判定表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93"/>
        <w:gridCol w:w="1632"/>
        <w:gridCol w:w="1173"/>
        <w:gridCol w:w="843"/>
        <w:gridCol w:w="1388"/>
        <w:gridCol w:w="1209"/>
        <w:gridCol w:w="1099"/>
      </w:tblGrid>
      <w:tr w14:paraId="7736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36618DA8">
            <w:pPr>
              <w:widowControl/>
              <w:adjustRightInd w:val="0"/>
              <w:snapToGrid w:val="0"/>
              <w:contextualSpacing/>
              <w:jc w:val="center"/>
              <w:rPr>
                <w:rFonts w:hint="default" w:ascii="Arial" w:hAnsi="Arial" w:eastAsia="宋体" w:cs="Arial"/>
                <w:kern w:val="0"/>
                <w:sz w:val="21"/>
                <w:szCs w:val="21"/>
              </w:rPr>
            </w:pPr>
            <w:r>
              <w:rPr>
                <w:rFonts w:hint="default" w:ascii="Arial" w:hAnsi="Arial" w:eastAsia="宋体" w:cs="Arial"/>
                <w:kern w:val="0"/>
                <w:sz w:val="21"/>
                <w:szCs w:val="21"/>
              </w:rPr>
              <w:t>序号</w:t>
            </w:r>
          </w:p>
        </w:tc>
        <w:tc>
          <w:tcPr>
            <w:tcW w:w="1632" w:type="dxa"/>
            <w:vAlign w:val="center"/>
          </w:tcPr>
          <w:p w14:paraId="5D84A487">
            <w:pPr>
              <w:widowControl/>
              <w:adjustRightInd w:val="0"/>
              <w:snapToGrid w:val="0"/>
              <w:contextualSpacing/>
              <w:jc w:val="center"/>
              <w:rPr>
                <w:rFonts w:hint="default" w:ascii="Arial" w:hAnsi="Arial" w:eastAsia="宋体" w:cs="Arial"/>
                <w:kern w:val="0"/>
                <w:sz w:val="21"/>
                <w:szCs w:val="21"/>
              </w:rPr>
            </w:pPr>
            <w:r>
              <w:rPr>
                <w:rFonts w:hint="default" w:ascii="Arial" w:hAnsi="Arial" w:eastAsia="宋体" w:cs="Arial"/>
                <w:kern w:val="0"/>
                <w:sz w:val="21"/>
                <w:szCs w:val="21"/>
              </w:rPr>
              <w:t>产物名称</w:t>
            </w:r>
          </w:p>
        </w:tc>
        <w:tc>
          <w:tcPr>
            <w:tcW w:w="1173" w:type="dxa"/>
            <w:vAlign w:val="center"/>
          </w:tcPr>
          <w:p w14:paraId="7FB719D3">
            <w:pPr>
              <w:widowControl/>
              <w:adjustRightInd w:val="0"/>
              <w:snapToGrid w:val="0"/>
              <w:contextualSpacing/>
              <w:jc w:val="center"/>
              <w:rPr>
                <w:rFonts w:hint="default" w:ascii="Arial" w:hAnsi="Arial" w:eastAsia="宋体" w:cs="Arial"/>
                <w:kern w:val="0"/>
                <w:sz w:val="21"/>
                <w:szCs w:val="21"/>
              </w:rPr>
            </w:pPr>
            <w:r>
              <w:rPr>
                <w:rFonts w:hint="default" w:ascii="Arial" w:hAnsi="Arial" w:eastAsia="宋体" w:cs="Arial"/>
                <w:kern w:val="0"/>
                <w:sz w:val="21"/>
                <w:szCs w:val="21"/>
              </w:rPr>
              <w:t>产生工序</w:t>
            </w:r>
          </w:p>
        </w:tc>
        <w:tc>
          <w:tcPr>
            <w:tcW w:w="843" w:type="dxa"/>
            <w:vAlign w:val="center"/>
          </w:tcPr>
          <w:p w14:paraId="14CF23F3">
            <w:pPr>
              <w:widowControl/>
              <w:adjustRightInd w:val="0"/>
              <w:snapToGrid w:val="0"/>
              <w:contextualSpacing/>
              <w:jc w:val="center"/>
              <w:rPr>
                <w:rFonts w:hint="default" w:ascii="Arial" w:hAnsi="Arial" w:eastAsia="宋体" w:cs="Arial"/>
                <w:kern w:val="0"/>
                <w:sz w:val="21"/>
                <w:szCs w:val="21"/>
              </w:rPr>
            </w:pPr>
            <w:r>
              <w:rPr>
                <w:rFonts w:hint="default" w:ascii="Arial" w:hAnsi="Arial" w:eastAsia="宋体" w:cs="Arial"/>
                <w:kern w:val="0"/>
                <w:sz w:val="21"/>
                <w:szCs w:val="21"/>
              </w:rPr>
              <w:t>形态</w:t>
            </w:r>
          </w:p>
        </w:tc>
        <w:tc>
          <w:tcPr>
            <w:tcW w:w="1388" w:type="dxa"/>
            <w:vAlign w:val="center"/>
          </w:tcPr>
          <w:p w14:paraId="2F7E471C">
            <w:pPr>
              <w:widowControl/>
              <w:adjustRightInd w:val="0"/>
              <w:snapToGrid w:val="0"/>
              <w:contextualSpacing/>
              <w:jc w:val="center"/>
              <w:rPr>
                <w:rFonts w:hint="default" w:ascii="Arial" w:hAnsi="Arial" w:eastAsia="宋体" w:cs="Arial"/>
                <w:kern w:val="0"/>
                <w:sz w:val="21"/>
                <w:szCs w:val="21"/>
              </w:rPr>
            </w:pPr>
            <w:r>
              <w:rPr>
                <w:rFonts w:hint="default" w:ascii="Arial" w:hAnsi="Arial" w:eastAsia="宋体" w:cs="Arial"/>
                <w:kern w:val="0"/>
                <w:sz w:val="21"/>
                <w:szCs w:val="21"/>
              </w:rPr>
              <w:t>主要成分</w:t>
            </w:r>
          </w:p>
        </w:tc>
        <w:tc>
          <w:tcPr>
            <w:tcW w:w="1209" w:type="dxa"/>
            <w:vAlign w:val="center"/>
          </w:tcPr>
          <w:p w14:paraId="678B2980">
            <w:pPr>
              <w:widowControl/>
              <w:adjustRightInd w:val="0"/>
              <w:snapToGrid w:val="0"/>
              <w:contextualSpacing/>
              <w:jc w:val="center"/>
              <w:rPr>
                <w:rFonts w:hint="default" w:ascii="Arial" w:hAnsi="Arial" w:eastAsia="宋体" w:cs="Arial"/>
                <w:kern w:val="0"/>
                <w:sz w:val="21"/>
                <w:szCs w:val="21"/>
              </w:rPr>
            </w:pPr>
            <w:r>
              <w:rPr>
                <w:rFonts w:hint="default" w:ascii="Arial" w:hAnsi="Arial" w:eastAsia="宋体" w:cs="Arial"/>
                <w:kern w:val="0"/>
                <w:sz w:val="21"/>
                <w:szCs w:val="21"/>
              </w:rPr>
              <w:t>是否属固废</w:t>
            </w:r>
          </w:p>
        </w:tc>
        <w:tc>
          <w:tcPr>
            <w:tcW w:w="1099" w:type="dxa"/>
            <w:vAlign w:val="center"/>
          </w:tcPr>
          <w:p w14:paraId="70020D95">
            <w:pPr>
              <w:widowControl/>
              <w:adjustRightInd w:val="0"/>
              <w:snapToGrid w:val="0"/>
              <w:contextualSpacing/>
              <w:jc w:val="center"/>
              <w:rPr>
                <w:rFonts w:hint="default" w:ascii="Arial" w:hAnsi="Arial" w:eastAsia="宋体" w:cs="Arial"/>
                <w:kern w:val="0"/>
                <w:sz w:val="21"/>
                <w:szCs w:val="21"/>
              </w:rPr>
            </w:pPr>
            <w:r>
              <w:rPr>
                <w:rFonts w:hint="default" w:ascii="Arial" w:hAnsi="Arial" w:eastAsia="宋体" w:cs="Arial"/>
                <w:kern w:val="0"/>
                <w:sz w:val="21"/>
                <w:szCs w:val="21"/>
              </w:rPr>
              <w:t>判定依据</w:t>
            </w:r>
          </w:p>
        </w:tc>
      </w:tr>
      <w:tr w14:paraId="3C42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5FF82528">
            <w:pPr>
              <w:widowControl/>
              <w:adjustRightInd w:val="0"/>
              <w:snapToGrid w:val="0"/>
              <w:contextualSpacing/>
              <w:jc w:val="center"/>
              <w:rPr>
                <w:rFonts w:hint="default" w:ascii="Arial" w:hAnsi="Arial" w:eastAsia="宋体" w:cs="Arial"/>
                <w:kern w:val="0"/>
                <w:sz w:val="21"/>
                <w:szCs w:val="21"/>
              </w:rPr>
            </w:pPr>
            <w:r>
              <w:rPr>
                <w:rFonts w:hint="default" w:ascii="Arial" w:hAnsi="Arial" w:eastAsia="宋体" w:cs="Arial"/>
                <w:kern w:val="0"/>
                <w:sz w:val="21"/>
                <w:szCs w:val="21"/>
              </w:rPr>
              <w:t>1</w:t>
            </w:r>
          </w:p>
        </w:tc>
        <w:tc>
          <w:tcPr>
            <w:tcW w:w="1632" w:type="dxa"/>
            <w:shd w:val="clear" w:color="auto" w:fill="auto"/>
            <w:vAlign w:val="center"/>
          </w:tcPr>
          <w:p w14:paraId="146DA58A">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废一般包装材料</w:t>
            </w:r>
          </w:p>
        </w:tc>
        <w:tc>
          <w:tcPr>
            <w:tcW w:w="1173" w:type="dxa"/>
            <w:shd w:val="clear" w:color="auto" w:fill="auto"/>
            <w:vAlign w:val="center"/>
          </w:tcPr>
          <w:p w14:paraId="5C4E9228">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原料使用</w:t>
            </w:r>
          </w:p>
        </w:tc>
        <w:tc>
          <w:tcPr>
            <w:tcW w:w="843" w:type="dxa"/>
            <w:shd w:val="clear" w:color="auto" w:fill="auto"/>
            <w:vAlign w:val="center"/>
          </w:tcPr>
          <w:p w14:paraId="58466367">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w:t>
            </w:r>
          </w:p>
        </w:tc>
        <w:tc>
          <w:tcPr>
            <w:tcW w:w="1388" w:type="dxa"/>
            <w:shd w:val="clear" w:color="auto" w:fill="auto"/>
            <w:vAlign w:val="center"/>
          </w:tcPr>
          <w:p w14:paraId="4E4BA3AE">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塑料</w:t>
            </w:r>
          </w:p>
        </w:tc>
        <w:tc>
          <w:tcPr>
            <w:tcW w:w="1209" w:type="dxa"/>
            <w:shd w:val="clear" w:color="auto" w:fill="auto"/>
            <w:vAlign w:val="center"/>
          </w:tcPr>
          <w:p w14:paraId="048981D4">
            <w:pPr>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6C55E773">
            <w:pPr>
              <w:widowControl/>
              <w:adjustRightInd w:val="0"/>
              <w:snapToGrid w:val="0"/>
              <w:contextualSpacing/>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rPr>
              <w:t>4.1h</w:t>
            </w:r>
          </w:p>
        </w:tc>
      </w:tr>
      <w:tr w14:paraId="0575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17F45047">
            <w:pPr>
              <w:jc w:val="center"/>
              <w:rPr>
                <w:rFonts w:hint="default" w:ascii="Arial" w:hAnsi="Arial" w:eastAsia="宋体" w:cs="Arial"/>
                <w:sz w:val="21"/>
                <w:szCs w:val="21"/>
              </w:rPr>
            </w:pPr>
            <w:r>
              <w:rPr>
                <w:rFonts w:hint="default" w:ascii="Arial" w:hAnsi="Arial" w:eastAsia="宋体" w:cs="Arial"/>
                <w:sz w:val="21"/>
                <w:szCs w:val="21"/>
              </w:rPr>
              <w:t>2</w:t>
            </w:r>
          </w:p>
        </w:tc>
        <w:tc>
          <w:tcPr>
            <w:tcW w:w="1632" w:type="dxa"/>
            <w:shd w:val="clear" w:color="auto" w:fill="auto"/>
            <w:vAlign w:val="center"/>
          </w:tcPr>
          <w:p w14:paraId="793245C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废金属边角料</w:t>
            </w:r>
          </w:p>
        </w:tc>
        <w:tc>
          <w:tcPr>
            <w:tcW w:w="1173" w:type="dxa"/>
            <w:shd w:val="clear" w:color="auto" w:fill="auto"/>
            <w:vAlign w:val="center"/>
          </w:tcPr>
          <w:p w14:paraId="0EFF66BA">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机加工</w:t>
            </w:r>
          </w:p>
        </w:tc>
        <w:tc>
          <w:tcPr>
            <w:tcW w:w="843" w:type="dxa"/>
            <w:shd w:val="clear" w:color="auto" w:fill="auto"/>
            <w:vAlign w:val="center"/>
          </w:tcPr>
          <w:p w14:paraId="03A19ECC">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w:t>
            </w:r>
          </w:p>
        </w:tc>
        <w:tc>
          <w:tcPr>
            <w:tcW w:w="1388" w:type="dxa"/>
            <w:shd w:val="clear" w:color="auto" w:fill="auto"/>
            <w:vAlign w:val="center"/>
          </w:tcPr>
          <w:p w14:paraId="1515F9E9">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废金属</w:t>
            </w:r>
          </w:p>
        </w:tc>
        <w:tc>
          <w:tcPr>
            <w:tcW w:w="1209" w:type="dxa"/>
            <w:shd w:val="clear" w:color="auto" w:fill="auto"/>
            <w:vAlign w:val="center"/>
          </w:tcPr>
          <w:p w14:paraId="4AB9D23F">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6F49040A">
            <w:pPr>
              <w:widowControl/>
              <w:adjustRightInd w:val="0"/>
              <w:snapToGrid w:val="0"/>
              <w:contextualSpacing/>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4.2a</w:t>
            </w:r>
          </w:p>
        </w:tc>
      </w:tr>
      <w:tr w14:paraId="233F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240451EB">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3</w:t>
            </w:r>
          </w:p>
        </w:tc>
        <w:tc>
          <w:tcPr>
            <w:tcW w:w="1632" w:type="dxa"/>
            <w:shd w:val="clear" w:color="auto" w:fill="auto"/>
            <w:vAlign w:val="center"/>
          </w:tcPr>
          <w:p w14:paraId="24DD8E77">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不合格品</w:t>
            </w:r>
          </w:p>
        </w:tc>
        <w:tc>
          <w:tcPr>
            <w:tcW w:w="1173" w:type="dxa"/>
            <w:shd w:val="clear" w:color="auto" w:fill="auto"/>
            <w:vAlign w:val="center"/>
          </w:tcPr>
          <w:p w14:paraId="57C68ADC">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检测</w:t>
            </w:r>
          </w:p>
        </w:tc>
        <w:tc>
          <w:tcPr>
            <w:tcW w:w="843" w:type="dxa"/>
            <w:shd w:val="clear" w:color="auto" w:fill="auto"/>
            <w:vAlign w:val="center"/>
          </w:tcPr>
          <w:p w14:paraId="1BD29010">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固</w:t>
            </w:r>
          </w:p>
        </w:tc>
        <w:tc>
          <w:tcPr>
            <w:tcW w:w="1388" w:type="dxa"/>
            <w:shd w:val="clear" w:color="auto" w:fill="auto"/>
            <w:vAlign w:val="center"/>
          </w:tcPr>
          <w:p w14:paraId="3E57610B">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废金属</w:t>
            </w:r>
          </w:p>
        </w:tc>
        <w:tc>
          <w:tcPr>
            <w:tcW w:w="1209" w:type="dxa"/>
            <w:shd w:val="clear" w:color="auto" w:fill="auto"/>
            <w:vAlign w:val="center"/>
          </w:tcPr>
          <w:p w14:paraId="7186044F">
            <w:pPr>
              <w:adjustRightInd w:val="0"/>
              <w:snapToGrid w:val="0"/>
              <w:jc w:val="center"/>
              <w:rPr>
                <w:rFonts w:hint="default" w:ascii="Arial" w:hAnsi="Arial" w:eastAsia="宋体" w:cs="Arial"/>
                <w:bCs/>
                <w:kern w:val="2"/>
                <w:sz w:val="21"/>
                <w:szCs w:val="21"/>
                <w:lang w:val="en-US" w:eastAsia="zh-CN" w:bidi="ar-SA"/>
              </w:rPr>
            </w:pPr>
            <w:r>
              <w:rPr>
                <w:rFonts w:hint="eastAsia" w:ascii="Arial" w:hAnsi="Arial" w:eastAsia="宋体" w:cs="Arial"/>
                <w:bCs/>
                <w:kern w:val="2"/>
                <w:sz w:val="21"/>
                <w:szCs w:val="21"/>
                <w:lang w:val="en-US" w:eastAsia="zh-CN" w:bidi="ar-SA"/>
              </w:rPr>
              <w:t>是</w:t>
            </w:r>
          </w:p>
        </w:tc>
        <w:tc>
          <w:tcPr>
            <w:tcW w:w="1099" w:type="dxa"/>
            <w:shd w:val="clear" w:color="auto" w:fill="auto"/>
            <w:vAlign w:val="center"/>
          </w:tcPr>
          <w:p w14:paraId="2BBAB1B4">
            <w:pPr>
              <w:widowControl/>
              <w:adjustRightInd w:val="0"/>
              <w:snapToGrid w:val="0"/>
              <w:contextualSpacing/>
              <w:jc w:val="center"/>
              <w:rPr>
                <w:rFonts w:hint="default" w:ascii="Arial" w:hAnsi="Arial" w:eastAsia="宋体" w:cs="Arial"/>
                <w:bCs/>
                <w:sz w:val="21"/>
                <w:szCs w:val="21"/>
                <w:lang w:val="en-US" w:eastAsia="zh-CN"/>
              </w:rPr>
            </w:pPr>
            <w:r>
              <w:rPr>
                <w:rFonts w:hint="eastAsia" w:ascii="Arial" w:hAnsi="Arial" w:eastAsia="宋体" w:cs="Arial"/>
                <w:bCs/>
                <w:sz w:val="21"/>
                <w:szCs w:val="21"/>
                <w:lang w:val="en-US" w:eastAsia="zh-CN"/>
              </w:rPr>
              <w:t>4.1a</w:t>
            </w:r>
          </w:p>
        </w:tc>
      </w:tr>
      <w:tr w14:paraId="289D0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56D4BA14">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4</w:t>
            </w:r>
          </w:p>
        </w:tc>
        <w:tc>
          <w:tcPr>
            <w:tcW w:w="1632" w:type="dxa"/>
            <w:shd w:val="clear" w:color="auto" w:fill="auto"/>
            <w:vAlign w:val="center"/>
          </w:tcPr>
          <w:p w14:paraId="339A6936">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废含油金属屑</w:t>
            </w:r>
          </w:p>
        </w:tc>
        <w:tc>
          <w:tcPr>
            <w:tcW w:w="1173" w:type="dxa"/>
            <w:shd w:val="clear" w:color="auto" w:fill="auto"/>
            <w:vAlign w:val="center"/>
          </w:tcPr>
          <w:p w14:paraId="26EA387D">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机加工</w:t>
            </w:r>
          </w:p>
        </w:tc>
        <w:tc>
          <w:tcPr>
            <w:tcW w:w="843" w:type="dxa"/>
            <w:shd w:val="clear" w:color="auto" w:fill="auto"/>
            <w:vAlign w:val="center"/>
          </w:tcPr>
          <w:p w14:paraId="2CBF1E26">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固</w:t>
            </w:r>
          </w:p>
        </w:tc>
        <w:tc>
          <w:tcPr>
            <w:tcW w:w="1388" w:type="dxa"/>
            <w:shd w:val="clear" w:color="auto" w:fill="auto"/>
            <w:vAlign w:val="center"/>
          </w:tcPr>
          <w:p w14:paraId="3860F02F">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切削液、废金属</w:t>
            </w:r>
          </w:p>
        </w:tc>
        <w:tc>
          <w:tcPr>
            <w:tcW w:w="1209" w:type="dxa"/>
            <w:shd w:val="clear" w:color="auto" w:fill="auto"/>
            <w:vAlign w:val="center"/>
          </w:tcPr>
          <w:p w14:paraId="109AEF3E">
            <w:pPr>
              <w:adjustRightInd w:val="0"/>
              <w:snapToGrid w:val="0"/>
              <w:jc w:val="center"/>
              <w:rPr>
                <w:rFonts w:hint="default" w:ascii="Arial" w:hAnsi="Arial" w:eastAsia="宋体" w:cs="Arial"/>
                <w:kern w:val="0"/>
                <w:sz w:val="21"/>
                <w:szCs w:val="21"/>
                <w:lang w:val="en-US" w:eastAsia="zh-CN"/>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25A71D2E">
            <w:pPr>
              <w:widowControl/>
              <w:adjustRightInd w:val="0"/>
              <w:snapToGrid w:val="0"/>
              <w:contextualSpacing/>
              <w:jc w:val="center"/>
              <w:rPr>
                <w:rFonts w:hint="default" w:ascii="Arial" w:hAnsi="Arial" w:eastAsia="宋体" w:cs="Arial"/>
                <w:sz w:val="21"/>
                <w:szCs w:val="21"/>
                <w:lang w:val="en-US" w:eastAsia="zh-CN"/>
              </w:rPr>
            </w:pPr>
            <w:r>
              <w:rPr>
                <w:rFonts w:hint="default" w:ascii="Arial" w:hAnsi="Arial" w:eastAsia="宋体" w:cs="Arial"/>
                <w:bCs/>
                <w:sz w:val="21"/>
                <w:szCs w:val="21"/>
              </w:rPr>
              <w:t>4.2a</w:t>
            </w:r>
          </w:p>
        </w:tc>
      </w:tr>
      <w:tr w14:paraId="7D20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5EBB81F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5</w:t>
            </w:r>
          </w:p>
        </w:tc>
        <w:tc>
          <w:tcPr>
            <w:tcW w:w="1632" w:type="dxa"/>
            <w:shd w:val="clear" w:color="auto" w:fill="auto"/>
            <w:vAlign w:val="center"/>
          </w:tcPr>
          <w:p w14:paraId="485B28AC">
            <w:pPr>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磨搓泥</w:t>
            </w:r>
          </w:p>
        </w:tc>
        <w:tc>
          <w:tcPr>
            <w:tcW w:w="1173" w:type="dxa"/>
            <w:shd w:val="clear" w:color="auto" w:fill="auto"/>
            <w:vAlign w:val="center"/>
          </w:tcPr>
          <w:p w14:paraId="7DEA73E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机加工</w:t>
            </w:r>
          </w:p>
        </w:tc>
        <w:tc>
          <w:tcPr>
            <w:tcW w:w="843" w:type="dxa"/>
            <w:shd w:val="clear" w:color="auto" w:fill="auto"/>
            <w:vAlign w:val="center"/>
          </w:tcPr>
          <w:p w14:paraId="301FA63C">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w:t>
            </w:r>
          </w:p>
        </w:tc>
        <w:tc>
          <w:tcPr>
            <w:tcW w:w="1388" w:type="dxa"/>
            <w:shd w:val="clear" w:color="auto" w:fill="auto"/>
            <w:vAlign w:val="center"/>
          </w:tcPr>
          <w:p w14:paraId="6D167E71">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切削液、废金属</w:t>
            </w:r>
          </w:p>
        </w:tc>
        <w:tc>
          <w:tcPr>
            <w:tcW w:w="1209" w:type="dxa"/>
            <w:shd w:val="clear" w:color="auto" w:fill="auto"/>
            <w:vAlign w:val="center"/>
          </w:tcPr>
          <w:p w14:paraId="153AE13A">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1183119A">
            <w:pPr>
              <w:widowControl/>
              <w:adjustRightInd w:val="0"/>
              <w:snapToGrid w:val="0"/>
              <w:contextualSpacing/>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rPr>
              <w:t>4.2a</w:t>
            </w:r>
          </w:p>
        </w:tc>
      </w:tr>
      <w:tr w14:paraId="0101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488A7935">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6</w:t>
            </w:r>
          </w:p>
        </w:tc>
        <w:tc>
          <w:tcPr>
            <w:tcW w:w="1632" w:type="dxa"/>
            <w:shd w:val="clear" w:color="auto" w:fill="auto"/>
            <w:vAlign w:val="center"/>
          </w:tcPr>
          <w:p w14:paraId="1B74DBB7">
            <w:pPr>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lang w:val="en-US" w:eastAsia="zh-CN"/>
              </w:rPr>
              <w:t>废淬火液</w:t>
            </w:r>
          </w:p>
        </w:tc>
        <w:tc>
          <w:tcPr>
            <w:tcW w:w="1173" w:type="dxa"/>
            <w:shd w:val="clear" w:color="auto" w:fill="auto"/>
            <w:vAlign w:val="center"/>
          </w:tcPr>
          <w:p w14:paraId="13B8D6E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热处理</w:t>
            </w:r>
          </w:p>
        </w:tc>
        <w:tc>
          <w:tcPr>
            <w:tcW w:w="843" w:type="dxa"/>
            <w:shd w:val="clear" w:color="auto" w:fill="auto"/>
            <w:vAlign w:val="center"/>
          </w:tcPr>
          <w:p w14:paraId="79D07E0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液</w:t>
            </w:r>
          </w:p>
        </w:tc>
        <w:tc>
          <w:tcPr>
            <w:tcW w:w="1388" w:type="dxa"/>
            <w:shd w:val="clear" w:color="auto" w:fill="auto"/>
            <w:vAlign w:val="center"/>
          </w:tcPr>
          <w:p w14:paraId="3CB0AC32">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淬火液</w:t>
            </w:r>
          </w:p>
        </w:tc>
        <w:tc>
          <w:tcPr>
            <w:tcW w:w="1209" w:type="dxa"/>
            <w:shd w:val="clear" w:color="auto" w:fill="auto"/>
            <w:vAlign w:val="center"/>
          </w:tcPr>
          <w:p w14:paraId="1BCA2133">
            <w:pPr>
              <w:adjustRightInd w:val="0"/>
              <w:snapToGrid w:val="0"/>
              <w:jc w:val="center"/>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129B5AA7">
            <w:pPr>
              <w:widowControl/>
              <w:adjustRightInd w:val="0"/>
              <w:snapToGrid w:val="0"/>
              <w:contextualSpacing/>
              <w:jc w:val="center"/>
              <w:rPr>
                <w:rFonts w:hint="default" w:ascii="Arial" w:hAnsi="Arial" w:eastAsia="宋体" w:cs="Arial"/>
                <w:bCs/>
                <w:sz w:val="21"/>
                <w:szCs w:val="21"/>
                <w:lang w:val="en-US" w:eastAsia="zh-CN"/>
              </w:rPr>
            </w:pPr>
            <w:r>
              <w:rPr>
                <w:rFonts w:hint="default" w:ascii="Arial" w:hAnsi="Arial" w:eastAsia="宋体" w:cs="Arial"/>
                <w:bCs/>
                <w:sz w:val="21"/>
                <w:szCs w:val="21"/>
                <w:lang w:val="en-US" w:eastAsia="zh-CN"/>
              </w:rPr>
              <w:t>4.1.d</w:t>
            </w:r>
          </w:p>
        </w:tc>
      </w:tr>
      <w:tr w14:paraId="2AA9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199DEEEA">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7</w:t>
            </w:r>
          </w:p>
        </w:tc>
        <w:tc>
          <w:tcPr>
            <w:tcW w:w="1632" w:type="dxa"/>
            <w:shd w:val="clear" w:color="auto" w:fill="auto"/>
            <w:vAlign w:val="center"/>
          </w:tcPr>
          <w:p w14:paraId="30AC8157">
            <w:pPr>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lang w:val="en-US" w:eastAsia="zh-CN"/>
              </w:rPr>
              <w:t>废切削液</w:t>
            </w:r>
          </w:p>
        </w:tc>
        <w:tc>
          <w:tcPr>
            <w:tcW w:w="1173" w:type="dxa"/>
            <w:shd w:val="clear" w:color="auto" w:fill="auto"/>
            <w:vAlign w:val="center"/>
          </w:tcPr>
          <w:p w14:paraId="5EA2427B">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机加工</w:t>
            </w:r>
          </w:p>
        </w:tc>
        <w:tc>
          <w:tcPr>
            <w:tcW w:w="843" w:type="dxa"/>
            <w:shd w:val="clear" w:color="auto" w:fill="auto"/>
            <w:vAlign w:val="center"/>
          </w:tcPr>
          <w:p w14:paraId="0AD34ED9">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液</w:t>
            </w:r>
          </w:p>
        </w:tc>
        <w:tc>
          <w:tcPr>
            <w:tcW w:w="1388" w:type="dxa"/>
            <w:shd w:val="clear" w:color="auto" w:fill="auto"/>
            <w:vAlign w:val="center"/>
          </w:tcPr>
          <w:p w14:paraId="79C6C568">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切削液</w:t>
            </w:r>
          </w:p>
        </w:tc>
        <w:tc>
          <w:tcPr>
            <w:tcW w:w="1209" w:type="dxa"/>
            <w:shd w:val="clear" w:color="auto" w:fill="auto"/>
            <w:vAlign w:val="center"/>
          </w:tcPr>
          <w:p w14:paraId="79516696">
            <w:pPr>
              <w:adjustRightInd w:val="0"/>
              <w:snapToGrid w:val="0"/>
              <w:jc w:val="center"/>
              <w:rPr>
                <w:rFonts w:hint="default" w:ascii="Arial" w:hAnsi="Arial" w:eastAsia="宋体" w:cs="Arial"/>
                <w:bCs/>
                <w:sz w:val="21"/>
                <w:szCs w:val="21"/>
              </w:rPr>
            </w:pPr>
            <w:r>
              <w:rPr>
                <w:rFonts w:hint="default" w:ascii="Arial" w:hAnsi="Arial" w:eastAsia="宋体" w:cs="Arial"/>
                <w:bCs/>
                <w:kern w:val="2"/>
                <w:sz w:val="21"/>
                <w:szCs w:val="21"/>
                <w:lang w:val="en-US" w:eastAsia="zh-CN" w:bidi="ar-SA"/>
              </w:rPr>
              <w:t>是</w:t>
            </w:r>
          </w:p>
        </w:tc>
        <w:tc>
          <w:tcPr>
            <w:tcW w:w="1099" w:type="dxa"/>
            <w:shd w:val="clear" w:color="auto" w:fill="auto"/>
            <w:vAlign w:val="center"/>
          </w:tcPr>
          <w:p w14:paraId="2D12FB01">
            <w:pPr>
              <w:widowControl/>
              <w:adjustRightInd w:val="0"/>
              <w:snapToGrid w:val="0"/>
              <w:contextualSpacing/>
              <w:jc w:val="center"/>
              <w:rPr>
                <w:rFonts w:hint="default" w:ascii="Arial" w:hAnsi="Arial" w:eastAsia="宋体" w:cs="Arial"/>
                <w:bCs/>
                <w:sz w:val="21"/>
                <w:szCs w:val="21"/>
                <w:lang w:val="en-US" w:eastAsia="zh-CN"/>
              </w:rPr>
            </w:pPr>
            <w:r>
              <w:rPr>
                <w:rFonts w:hint="default" w:ascii="Arial" w:hAnsi="Arial" w:eastAsia="宋体" w:cs="Arial"/>
                <w:bCs/>
                <w:sz w:val="21"/>
                <w:szCs w:val="21"/>
                <w:lang w:val="en-US" w:eastAsia="zh-CN"/>
              </w:rPr>
              <w:t>4.1.d</w:t>
            </w:r>
          </w:p>
        </w:tc>
      </w:tr>
      <w:tr w14:paraId="18A5E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36A7E5BE">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8</w:t>
            </w:r>
          </w:p>
        </w:tc>
        <w:tc>
          <w:tcPr>
            <w:tcW w:w="1632" w:type="dxa"/>
            <w:shd w:val="clear" w:color="auto" w:fill="auto"/>
            <w:vAlign w:val="center"/>
          </w:tcPr>
          <w:p w14:paraId="2096E85E">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废化学品包装</w:t>
            </w:r>
          </w:p>
        </w:tc>
        <w:tc>
          <w:tcPr>
            <w:tcW w:w="1173" w:type="dxa"/>
            <w:shd w:val="clear" w:color="auto" w:fill="auto"/>
            <w:vAlign w:val="center"/>
          </w:tcPr>
          <w:p w14:paraId="6E6DF333">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原材料使用</w:t>
            </w:r>
          </w:p>
        </w:tc>
        <w:tc>
          <w:tcPr>
            <w:tcW w:w="843" w:type="dxa"/>
            <w:shd w:val="clear" w:color="auto" w:fill="auto"/>
            <w:vAlign w:val="center"/>
          </w:tcPr>
          <w:p w14:paraId="04CD612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固</w:t>
            </w:r>
          </w:p>
        </w:tc>
        <w:tc>
          <w:tcPr>
            <w:tcW w:w="1388" w:type="dxa"/>
            <w:shd w:val="clear" w:color="auto" w:fill="auto"/>
            <w:vAlign w:val="center"/>
          </w:tcPr>
          <w:p w14:paraId="291940E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塑料</w:t>
            </w:r>
            <w:r>
              <w:rPr>
                <w:rFonts w:hint="default" w:ascii="Arial" w:hAnsi="Arial" w:eastAsia="宋体" w:cs="Arial"/>
                <w:sz w:val="21"/>
                <w:szCs w:val="21"/>
                <w:lang w:eastAsia="zh-CN"/>
              </w:rPr>
              <w:t>、</w:t>
            </w:r>
            <w:r>
              <w:rPr>
                <w:rFonts w:hint="default" w:ascii="Arial" w:hAnsi="Arial" w:eastAsia="宋体" w:cs="Arial"/>
                <w:sz w:val="21"/>
                <w:szCs w:val="21"/>
              </w:rPr>
              <w:t>有机物</w:t>
            </w:r>
          </w:p>
        </w:tc>
        <w:tc>
          <w:tcPr>
            <w:tcW w:w="1209" w:type="dxa"/>
            <w:shd w:val="clear" w:color="auto" w:fill="auto"/>
            <w:vAlign w:val="center"/>
          </w:tcPr>
          <w:p w14:paraId="72C672CF">
            <w:pPr>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是</w:t>
            </w:r>
          </w:p>
        </w:tc>
        <w:tc>
          <w:tcPr>
            <w:tcW w:w="1099" w:type="dxa"/>
            <w:shd w:val="clear" w:color="auto" w:fill="auto"/>
            <w:vAlign w:val="center"/>
          </w:tcPr>
          <w:p w14:paraId="6E62A613">
            <w:pPr>
              <w:widowControl/>
              <w:adjustRightInd w:val="0"/>
              <w:snapToGrid w:val="0"/>
              <w:contextualSpacing/>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rPr>
              <w:t>4.1c</w:t>
            </w:r>
          </w:p>
        </w:tc>
      </w:tr>
      <w:tr w14:paraId="1E9D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52218235">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9</w:t>
            </w:r>
          </w:p>
        </w:tc>
        <w:tc>
          <w:tcPr>
            <w:tcW w:w="1632" w:type="dxa"/>
            <w:shd w:val="clear" w:color="auto" w:fill="auto"/>
            <w:vAlign w:val="center"/>
          </w:tcPr>
          <w:p w14:paraId="49A4B23B">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废水处理浓缩液</w:t>
            </w:r>
          </w:p>
        </w:tc>
        <w:tc>
          <w:tcPr>
            <w:tcW w:w="1173" w:type="dxa"/>
            <w:shd w:val="clear" w:color="auto" w:fill="auto"/>
            <w:vAlign w:val="center"/>
          </w:tcPr>
          <w:p w14:paraId="6CD4506C">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w:t>
            </w:r>
          </w:p>
        </w:tc>
        <w:tc>
          <w:tcPr>
            <w:tcW w:w="843" w:type="dxa"/>
            <w:shd w:val="clear" w:color="auto" w:fill="auto"/>
            <w:vAlign w:val="center"/>
          </w:tcPr>
          <w:p w14:paraId="00B8E0E3">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液</w:t>
            </w:r>
          </w:p>
        </w:tc>
        <w:tc>
          <w:tcPr>
            <w:tcW w:w="1388" w:type="dxa"/>
            <w:shd w:val="clear" w:color="auto" w:fill="auto"/>
            <w:vAlign w:val="center"/>
          </w:tcPr>
          <w:p w14:paraId="3703286B">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废水、有机物</w:t>
            </w:r>
          </w:p>
        </w:tc>
        <w:tc>
          <w:tcPr>
            <w:tcW w:w="1209" w:type="dxa"/>
            <w:shd w:val="clear" w:color="auto" w:fill="auto"/>
            <w:vAlign w:val="center"/>
          </w:tcPr>
          <w:p w14:paraId="04A991F8">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099" w:type="dxa"/>
            <w:shd w:val="clear" w:color="auto" w:fill="auto"/>
            <w:vAlign w:val="center"/>
          </w:tcPr>
          <w:p w14:paraId="1F179437">
            <w:pPr>
              <w:widowControl/>
              <w:adjustRightInd w:val="0"/>
              <w:snapToGrid w:val="0"/>
              <w:contextualSpacing/>
              <w:jc w:val="center"/>
              <w:rPr>
                <w:rFonts w:hint="default" w:ascii="Arial" w:hAnsi="Arial" w:eastAsia="宋体" w:cs="Arial"/>
                <w:bCs/>
                <w:kern w:val="2"/>
                <w:sz w:val="21"/>
                <w:szCs w:val="21"/>
                <w:lang w:val="en-US" w:eastAsia="zh-CN" w:bidi="ar-SA"/>
              </w:rPr>
            </w:pPr>
            <w:r>
              <w:rPr>
                <w:rFonts w:hint="default" w:ascii="Arial" w:hAnsi="Arial" w:eastAsia="宋体" w:cs="Arial"/>
                <w:sz w:val="21"/>
                <w:szCs w:val="21"/>
                <w:lang w:val="en-US" w:eastAsia="zh-CN"/>
              </w:rPr>
              <w:t>4.3.f</w:t>
            </w:r>
          </w:p>
        </w:tc>
      </w:tr>
      <w:tr w14:paraId="104F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shd w:val="clear" w:color="auto" w:fill="auto"/>
            <w:vAlign w:val="center"/>
          </w:tcPr>
          <w:p w14:paraId="77841EB6">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10</w:t>
            </w:r>
          </w:p>
        </w:tc>
        <w:tc>
          <w:tcPr>
            <w:tcW w:w="1632" w:type="dxa"/>
            <w:shd w:val="clear" w:color="auto" w:fill="auto"/>
            <w:vAlign w:val="center"/>
          </w:tcPr>
          <w:p w14:paraId="66777476">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废水处理废膜</w:t>
            </w:r>
          </w:p>
        </w:tc>
        <w:tc>
          <w:tcPr>
            <w:tcW w:w="1173" w:type="dxa"/>
            <w:shd w:val="clear" w:color="auto" w:fill="auto"/>
            <w:vAlign w:val="center"/>
          </w:tcPr>
          <w:p w14:paraId="7527D846">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w:t>
            </w:r>
          </w:p>
        </w:tc>
        <w:tc>
          <w:tcPr>
            <w:tcW w:w="843" w:type="dxa"/>
            <w:shd w:val="clear" w:color="auto" w:fill="auto"/>
            <w:vAlign w:val="center"/>
          </w:tcPr>
          <w:p w14:paraId="41E7571D">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固</w:t>
            </w:r>
          </w:p>
        </w:tc>
        <w:tc>
          <w:tcPr>
            <w:tcW w:w="1388" w:type="dxa"/>
            <w:shd w:val="clear" w:color="auto" w:fill="auto"/>
            <w:vAlign w:val="center"/>
          </w:tcPr>
          <w:p w14:paraId="05357FE9">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陶瓷、塑料</w:t>
            </w:r>
          </w:p>
        </w:tc>
        <w:tc>
          <w:tcPr>
            <w:tcW w:w="1209" w:type="dxa"/>
            <w:shd w:val="clear" w:color="auto" w:fill="auto"/>
            <w:vAlign w:val="center"/>
          </w:tcPr>
          <w:p w14:paraId="72E7F8BB">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099" w:type="dxa"/>
            <w:shd w:val="clear" w:color="auto" w:fill="auto"/>
            <w:vAlign w:val="center"/>
          </w:tcPr>
          <w:p w14:paraId="32FDB621">
            <w:pPr>
              <w:widowControl/>
              <w:adjustRightInd w:val="0"/>
              <w:snapToGrid w:val="0"/>
              <w:contextualSpacing/>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4.3.l</w:t>
            </w:r>
          </w:p>
        </w:tc>
      </w:tr>
      <w:tr w14:paraId="6DD5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dxa"/>
            <w:vAlign w:val="center"/>
          </w:tcPr>
          <w:p w14:paraId="2B3EC1C8">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11</w:t>
            </w:r>
          </w:p>
        </w:tc>
        <w:tc>
          <w:tcPr>
            <w:tcW w:w="1632" w:type="dxa"/>
            <w:shd w:val="clear" w:color="auto" w:fill="auto"/>
            <w:vAlign w:val="center"/>
          </w:tcPr>
          <w:p w14:paraId="5B922DE1">
            <w:pPr>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生活垃圾</w:t>
            </w:r>
          </w:p>
        </w:tc>
        <w:tc>
          <w:tcPr>
            <w:tcW w:w="1173" w:type="dxa"/>
            <w:shd w:val="clear" w:color="auto" w:fill="auto"/>
            <w:vAlign w:val="center"/>
          </w:tcPr>
          <w:p w14:paraId="1BAD29CB">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生活</w:t>
            </w:r>
          </w:p>
        </w:tc>
        <w:tc>
          <w:tcPr>
            <w:tcW w:w="843" w:type="dxa"/>
            <w:shd w:val="clear" w:color="auto" w:fill="auto"/>
            <w:vAlign w:val="center"/>
          </w:tcPr>
          <w:p w14:paraId="5DA35A38">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固</w:t>
            </w:r>
          </w:p>
        </w:tc>
        <w:tc>
          <w:tcPr>
            <w:tcW w:w="1388" w:type="dxa"/>
            <w:shd w:val="clear" w:color="auto" w:fill="auto"/>
            <w:vAlign w:val="center"/>
          </w:tcPr>
          <w:p w14:paraId="05D3D941">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塑料、果壳等</w:t>
            </w:r>
          </w:p>
        </w:tc>
        <w:tc>
          <w:tcPr>
            <w:tcW w:w="1209" w:type="dxa"/>
            <w:shd w:val="clear" w:color="auto" w:fill="auto"/>
            <w:vAlign w:val="center"/>
          </w:tcPr>
          <w:p w14:paraId="7D4DE682">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是</w:t>
            </w:r>
          </w:p>
        </w:tc>
        <w:tc>
          <w:tcPr>
            <w:tcW w:w="1099" w:type="dxa"/>
            <w:shd w:val="clear" w:color="auto" w:fill="auto"/>
            <w:vAlign w:val="center"/>
          </w:tcPr>
          <w:p w14:paraId="4DC139C9">
            <w:pPr>
              <w:widowControl/>
              <w:adjustRightInd w:val="0"/>
              <w:snapToGrid w:val="0"/>
              <w:contextualSpacing/>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rPr>
              <w:t>5.1b、5.1c</w:t>
            </w:r>
          </w:p>
        </w:tc>
      </w:tr>
    </w:tbl>
    <w:p w14:paraId="6E966943">
      <w:pPr>
        <w:pStyle w:val="76"/>
        <w:keepNext/>
        <w:keepLines w:val="0"/>
        <w:pageBreakBefore w:val="0"/>
        <w:widowControl w:val="0"/>
        <w:numPr>
          <w:ilvl w:val="0"/>
          <w:numId w:val="12"/>
        </w:numPr>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bCs/>
          <w:sz w:val="24"/>
          <w:szCs w:val="24"/>
        </w:rPr>
      </w:pPr>
      <w:r>
        <w:rPr>
          <w:rFonts w:hint="default" w:ascii="Arial" w:hAnsi="Arial" w:eastAsia="宋体" w:cs="Arial"/>
          <w:bCs/>
          <w:sz w:val="24"/>
          <w:szCs w:val="24"/>
        </w:rPr>
        <w:t>项目危险废物属性判定</w:t>
      </w:r>
    </w:p>
    <w:p w14:paraId="064786F2">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根据《国家危险废物名录（202</w:t>
      </w:r>
      <w:r>
        <w:rPr>
          <w:rFonts w:hint="default" w:ascii="Arial" w:hAnsi="Arial" w:eastAsia="宋体" w:cs="Arial"/>
          <w:bCs/>
          <w:sz w:val="24"/>
          <w:szCs w:val="24"/>
          <w:lang w:val="en-US" w:eastAsia="zh-CN"/>
        </w:rPr>
        <w:t>5</w:t>
      </w:r>
      <w:r>
        <w:rPr>
          <w:rFonts w:hint="default" w:ascii="Arial" w:hAnsi="Arial" w:eastAsia="宋体" w:cs="Arial"/>
          <w:bCs/>
          <w:sz w:val="24"/>
          <w:szCs w:val="24"/>
        </w:rPr>
        <w:t>年版）》以及《危险废物鉴别标准通则》，判定建设项目的固体废物是否属于危险废物，判定结果见表4-</w:t>
      </w:r>
      <w:r>
        <w:rPr>
          <w:rFonts w:hint="default" w:ascii="Arial" w:hAnsi="Arial" w:eastAsia="宋体" w:cs="Arial"/>
          <w:bCs/>
          <w:sz w:val="24"/>
          <w:szCs w:val="24"/>
          <w:lang w:val="en-US" w:eastAsia="zh-CN"/>
        </w:rPr>
        <w:t>1</w:t>
      </w:r>
      <w:r>
        <w:rPr>
          <w:rFonts w:hint="eastAsia" w:ascii="Arial" w:hAnsi="Arial" w:eastAsia="宋体" w:cs="Arial"/>
          <w:bCs/>
          <w:sz w:val="24"/>
          <w:szCs w:val="24"/>
          <w:lang w:val="en-US" w:eastAsia="zh-CN"/>
        </w:rPr>
        <w:t>6</w:t>
      </w:r>
      <w:r>
        <w:rPr>
          <w:rFonts w:hint="default" w:ascii="Arial" w:hAnsi="Arial" w:eastAsia="宋体" w:cs="Arial"/>
          <w:bCs/>
          <w:sz w:val="24"/>
          <w:szCs w:val="24"/>
        </w:rPr>
        <w:t>。</w:t>
      </w:r>
    </w:p>
    <w:p w14:paraId="4132A2AE">
      <w:pPr>
        <w:pStyle w:val="76"/>
        <w:keepNext/>
        <w:keepLines w:val="0"/>
        <w:pageBreakBefore w:val="0"/>
        <w:widowControl w:val="0"/>
        <w:numPr>
          <w:ilvl w:val="3"/>
          <w:numId w:val="4"/>
        </w:numPr>
        <w:kinsoku/>
        <w:wordWrap/>
        <w:overflowPunct/>
        <w:topLinePunct w:val="0"/>
        <w:autoSpaceDE/>
        <w:autoSpaceDN/>
        <w:bidi w:val="0"/>
        <w:adjustRightInd/>
        <w:snapToGrid/>
        <w:ind w:left="777" w:leftChars="0"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项目危险废物属性判定表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786"/>
        <w:gridCol w:w="1822"/>
        <w:gridCol w:w="1131"/>
        <w:gridCol w:w="1131"/>
        <w:gridCol w:w="1383"/>
      </w:tblGrid>
      <w:tr w14:paraId="03E5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78243854">
            <w:pPr>
              <w:adjustRightInd w:val="0"/>
              <w:snapToGrid w:val="0"/>
              <w:jc w:val="center"/>
              <w:rPr>
                <w:rFonts w:hint="default" w:ascii="Arial" w:hAnsi="Arial" w:eastAsia="宋体" w:cs="Arial"/>
                <w:kern w:val="0"/>
                <w:sz w:val="21"/>
                <w:szCs w:val="21"/>
              </w:rPr>
            </w:pPr>
            <w:r>
              <w:rPr>
                <w:rFonts w:hint="default" w:ascii="Arial" w:hAnsi="Arial" w:eastAsia="宋体" w:cs="Arial"/>
                <w:kern w:val="0"/>
                <w:sz w:val="21"/>
                <w:szCs w:val="21"/>
              </w:rPr>
              <w:t>序号</w:t>
            </w:r>
          </w:p>
        </w:tc>
        <w:tc>
          <w:tcPr>
            <w:tcW w:w="1786" w:type="dxa"/>
            <w:vAlign w:val="center"/>
          </w:tcPr>
          <w:p w14:paraId="26363EFF">
            <w:pPr>
              <w:adjustRightInd w:val="0"/>
              <w:snapToGrid w:val="0"/>
              <w:jc w:val="center"/>
              <w:rPr>
                <w:rFonts w:hint="default" w:ascii="Arial" w:hAnsi="Arial" w:eastAsia="宋体" w:cs="Arial"/>
                <w:kern w:val="0"/>
                <w:sz w:val="21"/>
                <w:szCs w:val="21"/>
              </w:rPr>
            </w:pPr>
            <w:r>
              <w:rPr>
                <w:rFonts w:hint="default" w:ascii="Arial" w:hAnsi="Arial" w:eastAsia="宋体" w:cs="Arial"/>
                <w:kern w:val="0"/>
                <w:sz w:val="21"/>
                <w:szCs w:val="21"/>
              </w:rPr>
              <w:t>固体废物名称</w:t>
            </w:r>
          </w:p>
        </w:tc>
        <w:tc>
          <w:tcPr>
            <w:tcW w:w="1822" w:type="dxa"/>
            <w:vAlign w:val="center"/>
          </w:tcPr>
          <w:p w14:paraId="66C81926">
            <w:pPr>
              <w:adjustRightInd w:val="0"/>
              <w:snapToGrid w:val="0"/>
              <w:jc w:val="center"/>
              <w:rPr>
                <w:rFonts w:hint="default" w:ascii="Arial" w:hAnsi="Arial" w:eastAsia="宋体" w:cs="Arial"/>
                <w:kern w:val="0"/>
                <w:sz w:val="21"/>
                <w:szCs w:val="21"/>
              </w:rPr>
            </w:pPr>
            <w:r>
              <w:rPr>
                <w:rFonts w:hint="default" w:ascii="Arial" w:hAnsi="Arial" w:eastAsia="宋体" w:cs="Arial"/>
                <w:kern w:val="0"/>
                <w:sz w:val="21"/>
                <w:szCs w:val="21"/>
              </w:rPr>
              <w:t>产生工序</w:t>
            </w:r>
          </w:p>
        </w:tc>
        <w:tc>
          <w:tcPr>
            <w:tcW w:w="1131" w:type="dxa"/>
            <w:vAlign w:val="center"/>
          </w:tcPr>
          <w:p w14:paraId="5C5F91BC">
            <w:pPr>
              <w:adjustRightInd w:val="0"/>
              <w:snapToGrid w:val="0"/>
              <w:jc w:val="center"/>
              <w:rPr>
                <w:rFonts w:hint="default" w:ascii="Arial" w:hAnsi="Arial" w:eastAsia="宋体" w:cs="Arial"/>
                <w:kern w:val="0"/>
                <w:sz w:val="21"/>
                <w:szCs w:val="21"/>
              </w:rPr>
            </w:pPr>
            <w:r>
              <w:rPr>
                <w:rFonts w:hint="default" w:ascii="Arial" w:hAnsi="Arial" w:eastAsia="宋体" w:cs="Arial"/>
                <w:kern w:val="0"/>
                <w:sz w:val="21"/>
                <w:szCs w:val="21"/>
              </w:rPr>
              <w:t>是否属于</w:t>
            </w:r>
          </w:p>
          <w:p w14:paraId="5BE3293E">
            <w:pPr>
              <w:adjustRightInd w:val="0"/>
              <w:snapToGrid w:val="0"/>
              <w:jc w:val="center"/>
              <w:rPr>
                <w:rFonts w:hint="default" w:ascii="Arial" w:hAnsi="Arial" w:eastAsia="宋体" w:cs="Arial"/>
                <w:kern w:val="0"/>
                <w:sz w:val="21"/>
                <w:szCs w:val="21"/>
              </w:rPr>
            </w:pPr>
            <w:r>
              <w:rPr>
                <w:rFonts w:hint="default" w:ascii="Arial" w:hAnsi="Arial" w:eastAsia="宋体" w:cs="Arial"/>
                <w:kern w:val="0"/>
                <w:sz w:val="21"/>
                <w:szCs w:val="21"/>
              </w:rPr>
              <w:t>危险废物</w:t>
            </w:r>
          </w:p>
        </w:tc>
        <w:tc>
          <w:tcPr>
            <w:tcW w:w="1131" w:type="dxa"/>
            <w:vAlign w:val="center"/>
          </w:tcPr>
          <w:p w14:paraId="631AE8BC">
            <w:pPr>
              <w:adjustRightInd w:val="0"/>
              <w:snapToGrid w:val="0"/>
              <w:jc w:val="center"/>
              <w:rPr>
                <w:rFonts w:hint="default" w:ascii="Arial" w:hAnsi="Arial" w:eastAsia="宋体" w:cs="Arial"/>
                <w:kern w:val="0"/>
                <w:sz w:val="21"/>
                <w:szCs w:val="21"/>
              </w:rPr>
            </w:pPr>
            <w:r>
              <w:rPr>
                <w:rFonts w:hint="default" w:ascii="Arial" w:hAnsi="Arial" w:eastAsia="宋体" w:cs="Arial"/>
                <w:kern w:val="0"/>
                <w:sz w:val="21"/>
                <w:szCs w:val="21"/>
              </w:rPr>
              <w:t>废物类别</w:t>
            </w:r>
          </w:p>
        </w:tc>
        <w:tc>
          <w:tcPr>
            <w:tcW w:w="1383" w:type="dxa"/>
            <w:vAlign w:val="center"/>
          </w:tcPr>
          <w:p w14:paraId="2DE5752D">
            <w:pPr>
              <w:adjustRightInd w:val="0"/>
              <w:snapToGrid w:val="0"/>
              <w:jc w:val="center"/>
              <w:rPr>
                <w:rFonts w:hint="default" w:ascii="Arial" w:hAnsi="Arial" w:eastAsia="宋体" w:cs="Arial"/>
                <w:kern w:val="0"/>
                <w:sz w:val="21"/>
                <w:szCs w:val="21"/>
              </w:rPr>
            </w:pPr>
            <w:r>
              <w:rPr>
                <w:rFonts w:hint="default" w:ascii="Arial" w:hAnsi="Arial" w:eastAsia="宋体" w:cs="Arial"/>
                <w:kern w:val="0"/>
                <w:sz w:val="21"/>
                <w:szCs w:val="21"/>
              </w:rPr>
              <w:t>废物代码</w:t>
            </w:r>
          </w:p>
        </w:tc>
      </w:tr>
      <w:tr w14:paraId="0FFA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422EBA3F">
            <w:pPr>
              <w:jc w:val="center"/>
              <w:rPr>
                <w:rFonts w:hint="default" w:ascii="Arial" w:hAnsi="Arial" w:eastAsia="宋体" w:cs="Arial"/>
                <w:sz w:val="21"/>
                <w:szCs w:val="21"/>
              </w:rPr>
            </w:pPr>
            <w:r>
              <w:rPr>
                <w:rFonts w:hint="default" w:ascii="Arial" w:hAnsi="Arial" w:eastAsia="宋体" w:cs="Arial"/>
                <w:sz w:val="21"/>
                <w:szCs w:val="21"/>
              </w:rPr>
              <w:t>1</w:t>
            </w:r>
          </w:p>
        </w:tc>
        <w:tc>
          <w:tcPr>
            <w:tcW w:w="1786" w:type="dxa"/>
            <w:shd w:val="clear" w:color="auto" w:fill="auto"/>
            <w:vAlign w:val="center"/>
          </w:tcPr>
          <w:p w14:paraId="37FC372E">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废一般包装材料</w:t>
            </w:r>
          </w:p>
        </w:tc>
        <w:tc>
          <w:tcPr>
            <w:tcW w:w="1822" w:type="dxa"/>
            <w:shd w:val="clear" w:color="auto" w:fill="auto"/>
            <w:vAlign w:val="center"/>
          </w:tcPr>
          <w:p w14:paraId="3C0EB633">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原料使用</w:t>
            </w:r>
          </w:p>
        </w:tc>
        <w:tc>
          <w:tcPr>
            <w:tcW w:w="1131" w:type="dxa"/>
            <w:shd w:val="clear" w:color="auto" w:fill="auto"/>
            <w:vAlign w:val="center"/>
          </w:tcPr>
          <w:p w14:paraId="0BA994A9">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否</w:t>
            </w:r>
          </w:p>
        </w:tc>
        <w:tc>
          <w:tcPr>
            <w:tcW w:w="1131" w:type="dxa"/>
            <w:shd w:val="clear" w:color="auto" w:fill="auto"/>
            <w:vAlign w:val="center"/>
          </w:tcPr>
          <w:p w14:paraId="40399B15">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SW17</w:t>
            </w:r>
          </w:p>
        </w:tc>
        <w:tc>
          <w:tcPr>
            <w:tcW w:w="1383" w:type="dxa"/>
            <w:shd w:val="clear" w:color="auto" w:fill="auto"/>
            <w:vAlign w:val="center"/>
          </w:tcPr>
          <w:p w14:paraId="1D0338CA">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2"/>
                <w:sz w:val="21"/>
                <w:szCs w:val="21"/>
                <w:lang w:val="en-US" w:eastAsia="zh-CN" w:bidi="ar-SA"/>
              </w:rPr>
            </w:pPr>
            <w:r>
              <w:rPr>
                <w:rFonts w:hint="default" w:ascii="Arial" w:hAnsi="Arial" w:eastAsia="宋体" w:cs="Arial"/>
                <w:sz w:val="21"/>
                <w:szCs w:val="21"/>
              </w:rPr>
              <w:t>900-00</w:t>
            </w:r>
            <w:r>
              <w:rPr>
                <w:rFonts w:hint="default" w:ascii="Arial" w:hAnsi="Arial" w:eastAsia="宋体" w:cs="Arial"/>
                <w:sz w:val="21"/>
                <w:szCs w:val="21"/>
                <w:lang w:val="en-US" w:eastAsia="zh-CN"/>
              </w:rPr>
              <w:t>3</w:t>
            </w:r>
            <w:r>
              <w:rPr>
                <w:rFonts w:hint="default" w:ascii="Arial" w:hAnsi="Arial" w:eastAsia="宋体" w:cs="Arial"/>
                <w:sz w:val="21"/>
                <w:szCs w:val="21"/>
              </w:rPr>
              <w:t>-S17</w:t>
            </w:r>
          </w:p>
        </w:tc>
      </w:tr>
      <w:tr w14:paraId="0F24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2E6D0591">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2</w:t>
            </w:r>
          </w:p>
        </w:tc>
        <w:tc>
          <w:tcPr>
            <w:tcW w:w="1786" w:type="dxa"/>
            <w:shd w:val="clear" w:color="auto" w:fill="auto"/>
            <w:vAlign w:val="center"/>
          </w:tcPr>
          <w:p w14:paraId="68C5E940">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废金属边角料</w:t>
            </w:r>
          </w:p>
        </w:tc>
        <w:tc>
          <w:tcPr>
            <w:tcW w:w="1822" w:type="dxa"/>
            <w:shd w:val="clear" w:color="auto" w:fill="auto"/>
            <w:vAlign w:val="center"/>
          </w:tcPr>
          <w:p w14:paraId="2A02873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机加工</w:t>
            </w:r>
          </w:p>
        </w:tc>
        <w:tc>
          <w:tcPr>
            <w:tcW w:w="1131" w:type="dxa"/>
            <w:shd w:val="clear" w:color="auto" w:fill="auto"/>
            <w:vAlign w:val="center"/>
          </w:tcPr>
          <w:p w14:paraId="4032E1E3">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bidi="ar-SA"/>
              </w:rPr>
              <w:t>否</w:t>
            </w:r>
          </w:p>
        </w:tc>
        <w:tc>
          <w:tcPr>
            <w:tcW w:w="1131" w:type="dxa"/>
            <w:shd w:val="clear" w:color="auto" w:fill="auto"/>
            <w:vAlign w:val="center"/>
          </w:tcPr>
          <w:p w14:paraId="6014D63D">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sz w:val="21"/>
                <w:szCs w:val="21"/>
                <w:lang w:val="en-US" w:eastAsia="zh-CN"/>
              </w:rPr>
              <w:t>SW17</w:t>
            </w:r>
          </w:p>
        </w:tc>
        <w:tc>
          <w:tcPr>
            <w:tcW w:w="1383" w:type="dxa"/>
            <w:shd w:val="clear" w:color="auto" w:fill="auto"/>
            <w:vAlign w:val="center"/>
          </w:tcPr>
          <w:p w14:paraId="63578204">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0"/>
                <w:sz w:val="21"/>
                <w:szCs w:val="21"/>
                <w:lang w:val="en-US" w:eastAsia="zh-CN" w:bidi="ar-SA"/>
              </w:rPr>
            </w:pPr>
            <w:r>
              <w:rPr>
                <w:rFonts w:hint="default" w:ascii="Arial" w:hAnsi="Arial" w:eastAsia="宋体" w:cs="Arial"/>
                <w:sz w:val="21"/>
                <w:szCs w:val="21"/>
              </w:rPr>
              <w:t>900-001-S17</w:t>
            </w:r>
          </w:p>
        </w:tc>
      </w:tr>
      <w:tr w14:paraId="6D7E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3DBAF3B6">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3</w:t>
            </w:r>
          </w:p>
        </w:tc>
        <w:tc>
          <w:tcPr>
            <w:tcW w:w="1786" w:type="dxa"/>
            <w:shd w:val="clear" w:color="auto" w:fill="auto"/>
            <w:vAlign w:val="center"/>
          </w:tcPr>
          <w:p w14:paraId="052FACF7">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不合格品</w:t>
            </w:r>
          </w:p>
        </w:tc>
        <w:tc>
          <w:tcPr>
            <w:tcW w:w="1822" w:type="dxa"/>
            <w:shd w:val="clear" w:color="auto" w:fill="auto"/>
            <w:vAlign w:val="center"/>
          </w:tcPr>
          <w:p w14:paraId="4083452D">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检测</w:t>
            </w:r>
          </w:p>
        </w:tc>
        <w:tc>
          <w:tcPr>
            <w:tcW w:w="1131" w:type="dxa"/>
            <w:shd w:val="clear" w:color="auto" w:fill="auto"/>
            <w:vAlign w:val="center"/>
          </w:tcPr>
          <w:p w14:paraId="06F0BD3C">
            <w:pPr>
              <w:adjustRightInd w:val="0"/>
              <w:snapToGrid w:val="0"/>
              <w:jc w:val="center"/>
              <w:rPr>
                <w:rFonts w:hint="default" w:ascii="Arial" w:hAnsi="Arial" w:eastAsia="宋体" w:cs="Arial"/>
                <w:kern w:val="0"/>
                <w:sz w:val="21"/>
                <w:szCs w:val="21"/>
                <w:lang w:val="en-US" w:eastAsia="zh-CN" w:bidi="ar-SA"/>
              </w:rPr>
            </w:pPr>
            <w:r>
              <w:rPr>
                <w:rFonts w:hint="eastAsia" w:ascii="Arial" w:hAnsi="Arial" w:eastAsia="宋体" w:cs="Arial"/>
                <w:kern w:val="0"/>
                <w:sz w:val="21"/>
                <w:szCs w:val="21"/>
                <w:lang w:val="en-US" w:eastAsia="zh-CN" w:bidi="ar-SA"/>
              </w:rPr>
              <w:t>否</w:t>
            </w:r>
          </w:p>
        </w:tc>
        <w:tc>
          <w:tcPr>
            <w:tcW w:w="1131" w:type="dxa"/>
            <w:shd w:val="clear" w:color="auto" w:fill="auto"/>
            <w:vAlign w:val="center"/>
          </w:tcPr>
          <w:p w14:paraId="0E8922B1">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SW17</w:t>
            </w:r>
          </w:p>
        </w:tc>
        <w:tc>
          <w:tcPr>
            <w:tcW w:w="1383" w:type="dxa"/>
            <w:shd w:val="clear" w:color="auto" w:fill="auto"/>
            <w:vAlign w:val="center"/>
          </w:tcPr>
          <w:p w14:paraId="6A1C0595">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sz w:val="21"/>
                <w:szCs w:val="21"/>
              </w:rPr>
            </w:pPr>
            <w:r>
              <w:rPr>
                <w:rFonts w:hint="default" w:ascii="Arial" w:hAnsi="Arial" w:eastAsia="宋体" w:cs="Arial"/>
                <w:sz w:val="21"/>
                <w:szCs w:val="21"/>
              </w:rPr>
              <w:t>900-001-S17</w:t>
            </w:r>
          </w:p>
        </w:tc>
      </w:tr>
      <w:tr w14:paraId="18EF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36523BE4">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4</w:t>
            </w:r>
          </w:p>
        </w:tc>
        <w:tc>
          <w:tcPr>
            <w:tcW w:w="1786" w:type="dxa"/>
            <w:shd w:val="clear" w:color="auto" w:fill="auto"/>
            <w:vAlign w:val="center"/>
          </w:tcPr>
          <w:p w14:paraId="2511E705">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废含油金属屑</w:t>
            </w:r>
          </w:p>
        </w:tc>
        <w:tc>
          <w:tcPr>
            <w:tcW w:w="1822" w:type="dxa"/>
            <w:shd w:val="clear" w:color="auto" w:fill="auto"/>
            <w:vAlign w:val="center"/>
          </w:tcPr>
          <w:p w14:paraId="5F18963F">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机加工</w:t>
            </w:r>
          </w:p>
        </w:tc>
        <w:tc>
          <w:tcPr>
            <w:tcW w:w="1131" w:type="dxa"/>
            <w:vAlign w:val="center"/>
          </w:tcPr>
          <w:p w14:paraId="19EEB849">
            <w:pPr>
              <w:adjustRightInd w:val="0"/>
              <w:snapToGrid w:val="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是</w:t>
            </w:r>
          </w:p>
        </w:tc>
        <w:tc>
          <w:tcPr>
            <w:tcW w:w="1131" w:type="dxa"/>
            <w:vAlign w:val="center"/>
          </w:tcPr>
          <w:p w14:paraId="59CDC586">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bCs/>
                <w:sz w:val="21"/>
                <w:szCs w:val="21"/>
                <w:lang w:val="en-US" w:eastAsia="zh-CN"/>
              </w:rPr>
            </w:pPr>
            <w:r>
              <w:rPr>
                <w:rFonts w:hint="default" w:ascii="Arial" w:hAnsi="Arial" w:eastAsia="宋体" w:cs="Arial"/>
                <w:sz w:val="21"/>
                <w:szCs w:val="21"/>
              </w:rPr>
              <w:t>HW09</w:t>
            </w:r>
          </w:p>
        </w:tc>
        <w:tc>
          <w:tcPr>
            <w:tcW w:w="1383" w:type="dxa"/>
            <w:vAlign w:val="center"/>
          </w:tcPr>
          <w:p w14:paraId="4B2272A0">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bCs/>
                <w:sz w:val="21"/>
                <w:szCs w:val="21"/>
                <w:lang w:val="en-US" w:eastAsia="zh-CN"/>
              </w:rPr>
            </w:pPr>
            <w:r>
              <w:rPr>
                <w:rFonts w:hint="default" w:ascii="Arial" w:hAnsi="Arial" w:eastAsia="宋体" w:cs="Arial"/>
                <w:sz w:val="21"/>
                <w:szCs w:val="21"/>
              </w:rPr>
              <w:t>900-006-09</w:t>
            </w:r>
          </w:p>
        </w:tc>
      </w:tr>
      <w:tr w14:paraId="2580F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5F316834">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5</w:t>
            </w:r>
          </w:p>
        </w:tc>
        <w:tc>
          <w:tcPr>
            <w:tcW w:w="1786" w:type="dxa"/>
            <w:shd w:val="clear" w:color="auto" w:fill="auto"/>
            <w:vAlign w:val="center"/>
          </w:tcPr>
          <w:p w14:paraId="2F7BF20E">
            <w:pPr>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磨搓泥</w:t>
            </w:r>
          </w:p>
        </w:tc>
        <w:tc>
          <w:tcPr>
            <w:tcW w:w="1822" w:type="dxa"/>
            <w:shd w:val="clear" w:color="auto" w:fill="auto"/>
            <w:vAlign w:val="center"/>
          </w:tcPr>
          <w:p w14:paraId="74A8D9E0">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机加工</w:t>
            </w:r>
          </w:p>
        </w:tc>
        <w:tc>
          <w:tcPr>
            <w:tcW w:w="1131" w:type="dxa"/>
            <w:vAlign w:val="center"/>
          </w:tcPr>
          <w:p w14:paraId="006FA68A">
            <w:pPr>
              <w:adjustRightInd w:val="0"/>
              <w:snapToGrid w:val="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是</w:t>
            </w:r>
          </w:p>
        </w:tc>
        <w:tc>
          <w:tcPr>
            <w:tcW w:w="1131" w:type="dxa"/>
            <w:vAlign w:val="center"/>
          </w:tcPr>
          <w:p w14:paraId="06B174FC">
            <w:pPr>
              <w:adjustRightInd w:val="0"/>
              <w:snapToGrid w:val="0"/>
              <w:jc w:val="center"/>
              <w:rPr>
                <w:rFonts w:hint="default" w:ascii="Arial" w:hAnsi="Arial" w:eastAsia="宋体" w:cs="Arial"/>
                <w:bCs/>
                <w:sz w:val="21"/>
                <w:szCs w:val="21"/>
                <w:lang w:val="en-US" w:eastAsia="zh-CN"/>
              </w:rPr>
            </w:pPr>
            <w:r>
              <w:rPr>
                <w:rFonts w:hint="default" w:ascii="Arial" w:hAnsi="Arial" w:eastAsia="宋体" w:cs="Arial"/>
                <w:bCs/>
                <w:sz w:val="21"/>
                <w:szCs w:val="21"/>
                <w:lang w:val="en-US" w:eastAsia="zh-CN"/>
              </w:rPr>
              <w:t>HW08</w:t>
            </w:r>
          </w:p>
        </w:tc>
        <w:tc>
          <w:tcPr>
            <w:tcW w:w="1383" w:type="dxa"/>
            <w:vAlign w:val="center"/>
          </w:tcPr>
          <w:p w14:paraId="7904C4FB">
            <w:pPr>
              <w:adjustRightInd w:val="0"/>
              <w:snapToGrid w:val="0"/>
              <w:jc w:val="center"/>
              <w:rPr>
                <w:rFonts w:hint="default" w:ascii="Arial" w:hAnsi="Arial" w:eastAsia="宋体" w:cs="Arial"/>
                <w:bCs/>
                <w:sz w:val="21"/>
                <w:szCs w:val="21"/>
                <w:lang w:val="en-US" w:eastAsia="zh-CN"/>
              </w:rPr>
            </w:pPr>
            <w:r>
              <w:rPr>
                <w:rFonts w:hint="default" w:ascii="Arial" w:hAnsi="Arial" w:eastAsia="宋体" w:cs="Arial"/>
                <w:bCs/>
                <w:sz w:val="21"/>
                <w:szCs w:val="21"/>
                <w:lang w:val="en-US" w:eastAsia="zh-CN"/>
              </w:rPr>
              <w:t>900-200-08</w:t>
            </w:r>
          </w:p>
        </w:tc>
      </w:tr>
      <w:tr w14:paraId="28BF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1EFE917A">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6</w:t>
            </w:r>
          </w:p>
        </w:tc>
        <w:tc>
          <w:tcPr>
            <w:tcW w:w="1786" w:type="dxa"/>
            <w:shd w:val="clear" w:color="auto" w:fill="auto"/>
            <w:vAlign w:val="center"/>
          </w:tcPr>
          <w:p w14:paraId="57870686">
            <w:pPr>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lang w:val="en-US" w:eastAsia="zh-CN"/>
              </w:rPr>
              <w:t>废淬火液</w:t>
            </w:r>
          </w:p>
        </w:tc>
        <w:tc>
          <w:tcPr>
            <w:tcW w:w="1822" w:type="dxa"/>
            <w:shd w:val="clear" w:color="auto" w:fill="auto"/>
            <w:vAlign w:val="center"/>
          </w:tcPr>
          <w:p w14:paraId="151022CD">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热处理</w:t>
            </w:r>
          </w:p>
        </w:tc>
        <w:tc>
          <w:tcPr>
            <w:tcW w:w="1131" w:type="dxa"/>
            <w:vAlign w:val="center"/>
          </w:tcPr>
          <w:p w14:paraId="5A4B8B89">
            <w:pPr>
              <w:adjustRightInd w:val="0"/>
              <w:snapToGrid w:val="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是</w:t>
            </w:r>
          </w:p>
        </w:tc>
        <w:tc>
          <w:tcPr>
            <w:tcW w:w="1131" w:type="dxa"/>
            <w:vAlign w:val="center"/>
          </w:tcPr>
          <w:p w14:paraId="2E4BEA5B">
            <w:pPr>
              <w:adjustRightInd w:val="0"/>
              <w:snapToGrid w:val="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HW09</w:t>
            </w:r>
          </w:p>
        </w:tc>
        <w:tc>
          <w:tcPr>
            <w:tcW w:w="1383" w:type="dxa"/>
            <w:vAlign w:val="center"/>
          </w:tcPr>
          <w:p w14:paraId="170D4596">
            <w:pPr>
              <w:adjustRightInd w:val="0"/>
              <w:snapToGrid w:val="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900-007-09</w:t>
            </w:r>
          </w:p>
        </w:tc>
      </w:tr>
      <w:tr w14:paraId="2EFB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47CD143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7</w:t>
            </w:r>
          </w:p>
        </w:tc>
        <w:tc>
          <w:tcPr>
            <w:tcW w:w="1786" w:type="dxa"/>
            <w:shd w:val="clear" w:color="auto" w:fill="auto"/>
            <w:vAlign w:val="center"/>
          </w:tcPr>
          <w:p w14:paraId="2CBD039E">
            <w:pPr>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lang w:val="en-US" w:eastAsia="zh-CN"/>
              </w:rPr>
              <w:t>废切削液</w:t>
            </w:r>
          </w:p>
        </w:tc>
        <w:tc>
          <w:tcPr>
            <w:tcW w:w="1822" w:type="dxa"/>
            <w:shd w:val="clear" w:color="auto" w:fill="auto"/>
            <w:vAlign w:val="center"/>
          </w:tcPr>
          <w:p w14:paraId="6BF3139E">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机加工</w:t>
            </w:r>
          </w:p>
        </w:tc>
        <w:tc>
          <w:tcPr>
            <w:tcW w:w="1131" w:type="dxa"/>
            <w:vAlign w:val="center"/>
          </w:tcPr>
          <w:p w14:paraId="3DFA3D2C">
            <w:pPr>
              <w:adjustRightInd w:val="0"/>
              <w:snapToGrid w:val="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是</w:t>
            </w:r>
          </w:p>
        </w:tc>
        <w:tc>
          <w:tcPr>
            <w:tcW w:w="1131" w:type="dxa"/>
            <w:vAlign w:val="center"/>
          </w:tcPr>
          <w:p w14:paraId="24F14FDD">
            <w:pPr>
              <w:adjustRightInd w:val="0"/>
              <w:snapToGrid w:val="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HW09</w:t>
            </w:r>
          </w:p>
        </w:tc>
        <w:tc>
          <w:tcPr>
            <w:tcW w:w="1383" w:type="dxa"/>
            <w:vAlign w:val="center"/>
          </w:tcPr>
          <w:p w14:paraId="028D974D">
            <w:pPr>
              <w:adjustRightInd w:val="0"/>
              <w:snapToGrid w:val="0"/>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900-006-09</w:t>
            </w:r>
          </w:p>
        </w:tc>
      </w:tr>
      <w:tr w14:paraId="78DC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448D7AAF">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8</w:t>
            </w:r>
          </w:p>
        </w:tc>
        <w:tc>
          <w:tcPr>
            <w:tcW w:w="1786" w:type="dxa"/>
            <w:shd w:val="clear" w:color="auto" w:fill="auto"/>
            <w:vAlign w:val="center"/>
          </w:tcPr>
          <w:p w14:paraId="6B7E9A08">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废化学品包装</w:t>
            </w:r>
          </w:p>
        </w:tc>
        <w:tc>
          <w:tcPr>
            <w:tcW w:w="1822" w:type="dxa"/>
            <w:shd w:val="clear" w:color="auto" w:fill="auto"/>
            <w:vAlign w:val="center"/>
          </w:tcPr>
          <w:p w14:paraId="383BC94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原材料使用</w:t>
            </w:r>
          </w:p>
        </w:tc>
        <w:tc>
          <w:tcPr>
            <w:tcW w:w="1131" w:type="dxa"/>
            <w:shd w:val="clear" w:color="auto" w:fill="auto"/>
            <w:vAlign w:val="center"/>
          </w:tcPr>
          <w:p w14:paraId="2FFF0653">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rPr>
              <w:t>是</w:t>
            </w:r>
          </w:p>
        </w:tc>
        <w:tc>
          <w:tcPr>
            <w:tcW w:w="1131" w:type="dxa"/>
            <w:shd w:val="clear" w:color="auto" w:fill="auto"/>
            <w:vAlign w:val="center"/>
          </w:tcPr>
          <w:p w14:paraId="5C1E7E01">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rPr>
              <w:t>HW49</w:t>
            </w:r>
          </w:p>
        </w:tc>
        <w:tc>
          <w:tcPr>
            <w:tcW w:w="1383" w:type="dxa"/>
            <w:shd w:val="clear" w:color="auto" w:fill="auto"/>
            <w:vAlign w:val="center"/>
          </w:tcPr>
          <w:p w14:paraId="2BF4193D">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bCs/>
                <w:sz w:val="21"/>
                <w:szCs w:val="21"/>
              </w:rPr>
              <w:t>900-041-49</w:t>
            </w:r>
          </w:p>
        </w:tc>
      </w:tr>
      <w:tr w14:paraId="48D8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260C2306">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9</w:t>
            </w:r>
          </w:p>
        </w:tc>
        <w:tc>
          <w:tcPr>
            <w:tcW w:w="1786" w:type="dxa"/>
            <w:shd w:val="clear" w:color="auto" w:fill="auto"/>
            <w:vAlign w:val="center"/>
          </w:tcPr>
          <w:p w14:paraId="024D7012">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废水处理浓缩液</w:t>
            </w:r>
          </w:p>
        </w:tc>
        <w:tc>
          <w:tcPr>
            <w:tcW w:w="1822" w:type="dxa"/>
            <w:shd w:val="clear" w:color="auto" w:fill="auto"/>
            <w:vAlign w:val="center"/>
          </w:tcPr>
          <w:p w14:paraId="0FAA2965">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w:t>
            </w:r>
          </w:p>
        </w:tc>
        <w:tc>
          <w:tcPr>
            <w:tcW w:w="1131" w:type="dxa"/>
            <w:shd w:val="clear" w:color="auto" w:fill="auto"/>
            <w:vAlign w:val="center"/>
          </w:tcPr>
          <w:p w14:paraId="1BE684B7">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rPr>
              <w:t>是</w:t>
            </w:r>
          </w:p>
        </w:tc>
        <w:tc>
          <w:tcPr>
            <w:tcW w:w="1131" w:type="dxa"/>
            <w:shd w:val="clear" w:color="auto" w:fill="auto"/>
            <w:vAlign w:val="center"/>
          </w:tcPr>
          <w:p w14:paraId="78E77FD0">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sz w:val="21"/>
                <w:szCs w:val="21"/>
                <w:lang w:val="en-US" w:eastAsia="zh-CN"/>
              </w:rPr>
              <w:t>HW17</w:t>
            </w:r>
          </w:p>
        </w:tc>
        <w:tc>
          <w:tcPr>
            <w:tcW w:w="1383" w:type="dxa"/>
            <w:shd w:val="clear" w:color="auto" w:fill="auto"/>
            <w:vAlign w:val="center"/>
          </w:tcPr>
          <w:p w14:paraId="339FBF70">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900-007-09</w:t>
            </w:r>
          </w:p>
        </w:tc>
      </w:tr>
      <w:tr w14:paraId="4B6D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shd w:val="clear" w:color="auto" w:fill="auto"/>
            <w:vAlign w:val="center"/>
          </w:tcPr>
          <w:p w14:paraId="1BFFFA99">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10</w:t>
            </w:r>
          </w:p>
        </w:tc>
        <w:tc>
          <w:tcPr>
            <w:tcW w:w="1786" w:type="dxa"/>
            <w:shd w:val="clear" w:color="auto" w:fill="auto"/>
            <w:vAlign w:val="center"/>
          </w:tcPr>
          <w:p w14:paraId="785ED2B7">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废水处理废膜</w:t>
            </w:r>
          </w:p>
        </w:tc>
        <w:tc>
          <w:tcPr>
            <w:tcW w:w="1822" w:type="dxa"/>
            <w:shd w:val="clear" w:color="auto" w:fill="auto"/>
            <w:vAlign w:val="center"/>
          </w:tcPr>
          <w:p w14:paraId="2DAB4D25">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lang w:val="en-US" w:eastAsia="zh-CN"/>
              </w:rPr>
              <w:t>废水处理</w:t>
            </w:r>
          </w:p>
        </w:tc>
        <w:tc>
          <w:tcPr>
            <w:tcW w:w="1131" w:type="dxa"/>
            <w:shd w:val="clear" w:color="auto" w:fill="auto"/>
            <w:vAlign w:val="center"/>
          </w:tcPr>
          <w:p w14:paraId="4EA90C0A">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lang w:val="en-US" w:eastAsia="zh-CN"/>
              </w:rPr>
              <w:t>是</w:t>
            </w:r>
          </w:p>
        </w:tc>
        <w:tc>
          <w:tcPr>
            <w:tcW w:w="1131" w:type="dxa"/>
            <w:shd w:val="clear" w:color="auto" w:fill="auto"/>
            <w:vAlign w:val="center"/>
          </w:tcPr>
          <w:p w14:paraId="67AC4D34">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lang w:val="en-US" w:eastAsia="zh-CN"/>
              </w:rPr>
              <w:t>HW49</w:t>
            </w:r>
          </w:p>
        </w:tc>
        <w:tc>
          <w:tcPr>
            <w:tcW w:w="1383" w:type="dxa"/>
            <w:shd w:val="clear" w:color="auto" w:fill="auto"/>
            <w:vAlign w:val="center"/>
          </w:tcPr>
          <w:p w14:paraId="7CBE1983">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lang w:val="en-US" w:eastAsia="zh-CN"/>
              </w:rPr>
              <w:t>900-041-49</w:t>
            </w:r>
          </w:p>
        </w:tc>
      </w:tr>
      <w:tr w14:paraId="4BCB0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4" w:type="dxa"/>
            <w:vAlign w:val="center"/>
          </w:tcPr>
          <w:p w14:paraId="0AB52D5A">
            <w:pPr>
              <w:jc w:val="center"/>
              <w:rPr>
                <w:rFonts w:hint="default" w:ascii="Arial" w:hAnsi="Arial" w:eastAsia="宋体" w:cs="Arial"/>
                <w:sz w:val="21"/>
                <w:szCs w:val="21"/>
                <w:lang w:val="en-US" w:eastAsia="zh-CN"/>
              </w:rPr>
            </w:pPr>
            <w:r>
              <w:rPr>
                <w:rFonts w:hint="eastAsia" w:ascii="Arial" w:hAnsi="Arial" w:eastAsia="宋体" w:cs="Arial"/>
                <w:sz w:val="21"/>
                <w:szCs w:val="21"/>
                <w:lang w:val="en-US" w:eastAsia="zh-CN"/>
              </w:rPr>
              <w:t>11</w:t>
            </w:r>
          </w:p>
        </w:tc>
        <w:tc>
          <w:tcPr>
            <w:tcW w:w="1786" w:type="dxa"/>
            <w:shd w:val="clear" w:color="auto" w:fill="auto"/>
            <w:vAlign w:val="center"/>
          </w:tcPr>
          <w:p w14:paraId="09D65E5B">
            <w:pPr>
              <w:jc w:val="center"/>
              <w:rPr>
                <w:rFonts w:hint="default" w:ascii="Arial" w:hAnsi="Arial" w:eastAsia="宋体" w:cs="Arial"/>
                <w:kern w:val="2"/>
                <w:sz w:val="21"/>
                <w:szCs w:val="21"/>
                <w:lang w:val="en-US" w:eastAsia="zh-CN" w:bidi="ar-SA"/>
              </w:rPr>
            </w:pPr>
            <w:r>
              <w:rPr>
                <w:rFonts w:hint="default" w:ascii="Arial" w:hAnsi="Arial" w:eastAsia="宋体" w:cs="Arial"/>
                <w:bCs/>
                <w:sz w:val="21"/>
                <w:szCs w:val="21"/>
              </w:rPr>
              <w:t>生活垃圾</w:t>
            </w:r>
          </w:p>
        </w:tc>
        <w:tc>
          <w:tcPr>
            <w:tcW w:w="1822" w:type="dxa"/>
            <w:shd w:val="clear" w:color="auto" w:fill="auto"/>
            <w:vAlign w:val="center"/>
          </w:tcPr>
          <w:p w14:paraId="2A8C36E2">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生活</w:t>
            </w:r>
          </w:p>
        </w:tc>
        <w:tc>
          <w:tcPr>
            <w:tcW w:w="1131" w:type="dxa"/>
            <w:shd w:val="clear" w:color="auto" w:fill="auto"/>
            <w:vAlign w:val="center"/>
          </w:tcPr>
          <w:p w14:paraId="01917296">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 w:val="21"/>
                <w:szCs w:val="21"/>
              </w:rPr>
              <w:t>否</w:t>
            </w:r>
          </w:p>
        </w:tc>
        <w:tc>
          <w:tcPr>
            <w:tcW w:w="1131" w:type="dxa"/>
            <w:shd w:val="clear" w:color="auto" w:fill="auto"/>
            <w:vAlign w:val="center"/>
          </w:tcPr>
          <w:p w14:paraId="7A83C919">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kern w:val="0"/>
                <w:sz w:val="21"/>
                <w:szCs w:val="21"/>
              </w:rPr>
              <w:t>/</w:t>
            </w:r>
          </w:p>
        </w:tc>
        <w:tc>
          <w:tcPr>
            <w:tcW w:w="1383" w:type="dxa"/>
            <w:shd w:val="clear" w:color="auto" w:fill="auto"/>
            <w:vAlign w:val="center"/>
          </w:tcPr>
          <w:p w14:paraId="7E463F82">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kern w:val="0"/>
                <w:sz w:val="21"/>
                <w:szCs w:val="21"/>
              </w:rPr>
              <w:t>/</w:t>
            </w:r>
          </w:p>
        </w:tc>
      </w:tr>
    </w:tbl>
    <w:p w14:paraId="409C5A09">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4、一般固废情况汇总</w:t>
      </w:r>
    </w:p>
    <w:p w14:paraId="2D95FF9F">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项目一般固废产生情况见4-</w:t>
      </w:r>
      <w:r>
        <w:rPr>
          <w:rFonts w:hint="default" w:ascii="Arial" w:hAnsi="Arial" w:eastAsia="宋体" w:cs="Arial"/>
          <w:bCs/>
          <w:sz w:val="24"/>
          <w:szCs w:val="24"/>
          <w:lang w:val="en-US" w:eastAsia="zh-CN"/>
        </w:rPr>
        <w:t>1</w:t>
      </w:r>
      <w:r>
        <w:rPr>
          <w:rFonts w:hint="eastAsia" w:ascii="Arial" w:hAnsi="Arial" w:eastAsia="宋体" w:cs="Arial"/>
          <w:bCs/>
          <w:sz w:val="24"/>
          <w:szCs w:val="24"/>
          <w:lang w:val="en-US" w:eastAsia="zh-CN"/>
        </w:rPr>
        <w:t>7</w:t>
      </w:r>
      <w:r>
        <w:rPr>
          <w:rFonts w:hint="default" w:ascii="Arial" w:hAnsi="Arial" w:eastAsia="宋体" w:cs="Arial"/>
          <w:bCs/>
          <w:sz w:val="24"/>
          <w:szCs w:val="24"/>
        </w:rPr>
        <w:t>。</w:t>
      </w:r>
    </w:p>
    <w:p w14:paraId="22A439D3">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一般固废产生情况汇总表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
        <w:gridCol w:w="1853"/>
        <w:gridCol w:w="791"/>
        <w:gridCol w:w="621"/>
        <w:gridCol w:w="1485"/>
        <w:gridCol w:w="1221"/>
        <w:gridCol w:w="1636"/>
      </w:tblGrid>
      <w:tr w14:paraId="6EB40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05C3CB75">
            <w:pPr>
              <w:jc w:val="center"/>
              <w:rPr>
                <w:rFonts w:hint="default" w:ascii="Arial" w:hAnsi="Arial" w:eastAsia="宋体" w:cs="Arial"/>
                <w:sz w:val="21"/>
                <w:szCs w:val="21"/>
              </w:rPr>
            </w:pPr>
            <w:r>
              <w:rPr>
                <w:rFonts w:hint="default" w:ascii="Arial" w:hAnsi="Arial" w:eastAsia="宋体" w:cs="Arial"/>
                <w:sz w:val="21"/>
                <w:szCs w:val="21"/>
              </w:rPr>
              <w:t>序号</w:t>
            </w:r>
          </w:p>
        </w:tc>
        <w:tc>
          <w:tcPr>
            <w:tcW w:w="1853" w:type="dxa"/>
            <w:vAlign w:val="center"/>
          </w:tcPr>
          <w:p w14:paraId="3E6ACD25">
            <w:pPr>
              <w:jc w:val="center"/>
              <w:rPr>
                <w:rFonts w:hint="default" w:ascii="Arial" w:hAnsi="Arial" w:eastAsia="宋体" w:cs="Arial"/>
                <w:sz w:val="21"/>
                <w:szCs w:val="21"/>
              </w:rPr>
            </w:pPr>
            <w:r>
              <w:rPr>
                <w:rFonts w:hint="default" w:ascii="Arial" w:hAnsi="Arial" w:eastAsia="宋体" w:cs="Arial"/>
                <w:sz w:val="21"/>
                <w:szCs w:val="21"/>
              </w:rPr>
              <w:t>副产物名称</w:t>
            </w:r>
          </w:p>
        </w:tc>
        <w:tc>
          <w:tcPr>
            <w:tcW w:w="791" w:type="dxa"/>
            <w:vAlign w:val="center"/>
          </w:tcPr>
          <w:p w14:paraId="4F03CF53">
            <w:pPr>
              <w:jc w:val="center"/>
              <w:rPr>
                <w:rFonts w:hint="default" w:ascii="Arial" w:hAnsi="Arial" w:eastAsia="宋体" w:cs="Arial"/>
                <w:sz w:val="21"/>
                <w:szCs w:val="21"/>
              </w:rPr>
            </w:pPr>
            <w:r>
              <w:rPr>
                <w:rFonts w:hint="default" w:ascii="Arial" w:hAnsi="Arial" w:eastAsia="宋体" w:cs="Arial"/>
                <w:sz w:val="21"/>
                <w:szCs w:val="21"/>
              </w:rPr>
              <w:t>产生工序</w:t>
            </w:r>
          </w:p>
        </w:tc>
        <w:tc>
          <w:tcPr>
            <w:tcW w:w="621" w:type="dxa"/>
            <w:vAlign w:val="center"/>
          </w:tcPr>
          <w:p w14:paraId="7C503F6F">
            <w:pPr>
              <w:jc w:val="center"/>
              <w:rPr>
                <w:rFonts w:hint="default" w:ascii="Arial" w:hAnsi="Arial" w:eastAsia="宋体" w:cs="Arial"/>
                <w:sz w:val="21"/>
                <w:szCs w:val="21"/>
              </w:rPr>
            </w:pPr>
            <w:r>
              <w:rPr>
                <w:rFonts w:hint="default" w:ascii="Arial" w:hAnsi="Arial" w:eastAsia="宋体" w:cs="Arial"/>
                <w:sz w:val="21"/>
                <w:szCs w:val="21"/>
              </w:rPr>
              <w:t>形态</w:t>
            </w:r>
          </w:p>
        </w:tc>
        <w:tc>
          <w:tcPr>
            <w:tcW w:w="1485" w:type="dxa"/>
            <w:vAlign w:val="center"/>
          </w:tcPr>
          <w:p w14:paraId="70DE76B7">
            <w:pPr>
              <w:jc w:val="center"/>
              <w:rPr>
                <w:rFonts w:hint="default" w:ascii="Arial" w:hAnsi="Arial" w:eastAsia="宋体" w:cs="Arial"/>
                <w:sz w:val="21"/>
                <w:szCs w:val="21"/>
              </w:rPr>
            </w:pPr>
            <w:r>
              <w:rPr>
                <w:rFonts w:hint="default" w:ascii="Arial" w:hAnsi="Arial" w:eastAsia="宋体" w:cs="Arial"/>
                <w:sz w:val="21"/>
                <w:szCs w:val="21"/>
              </w:rPr>
              <w:t>主要成分</w:t>
            </w:r>
          </w:p>
        </w:tc>
        <w:tc>
          <w:tcPr>
            <w:tcW w:w="1221" w:type="dxa"/>
            <w:vAlign w:val="center"/>
          </w:tcPr>
          <w:p w14:paraId="7BAC4237">
            <w:pPr>
              <w:jc w:val="center"/>
              <w:rPr>
                <w:rFonts w:hint="default" w:ascii="Arial" w:hAnsi="Arial" w:eastAsia="宋体" w:cs="Arial"/>
                <w:sz w:val="21"/>
                <w:szCs w:val="21"/>
              </w:rPr>
            </w:pPr>
            <w:r>
              <w:rPr>
                <w:rFonts w:hint="default" w:ascii="Arial" w:hAnsi="Arial" w:eastAsia="宋体" w:cs="Arial"/>
                <w:sz w:val="21"/>
                <w:szCs w:val="21"/>
              </w:rPr>
              <w:t>预测产生量（t/a）</w:t>
            </w:r>
          </w:p>
        </w:tc>
        <w:tc>
          <w:tcPr>
            <w:tcW w:w="1636" w:type="dxa"/>
            <w:vAlign w:val="center"/>
          </w:tcPr>
          <w:p w14:paraId="659DD0CC">
            <w:pPr>
              <w:jc w:val="center"/>
              <w:rPr>
                <w:rFonts w:hint="default" w:ascii="Arial" w:hAnsi="Arial" w:eastAsia="宋体" w:cs="Arial"/>
                <w:sz w:val="21"/>
                <w:szCs w:val="21"/>
              </w:rPr>
            </w:pPr>
            <w:r>
              <w:rPr>
                <w:rFonts w:hint="default" w:ascii="Arial" w:hAnsi="Arial" w:eastAsia="宋体" w:cs="Arial"/>
                <w:sz w:val="21"/>
                <w:szCs w:val="21"/>
              </w:rPr>
              <w:t>处置方式</w:t>
            </w:r>
          </w:p>
        </w:tc>
      </w:tr>
      <w:tr w14:paraId="2D3B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340A3B51">
            <w:pPr>
              <w:jc w:val="center"/>
              <w:rPr>
                <w:rFonts w:hint="default" w:ascii="Arial" w:hAnsi="Arial" w:eastAsia="宋体" w:cs="Arial"/>
                <w:sz w:val="21"/>
                <w:szCs w:val="21"/>
              </w:rPr>
            </w:pPr>
            <w:r>
              <w:rPr>
                <w:rFonts w:hint="default" w:ascii="Arial" w:hAnsi="Arial" w:eastAsia="宋体" w:cs="Arial"/>
                <w:kern w:val="0"/>
                <w:sz w:val="21"/>
                <w:szCs w:val="21"/>
              </w:rPr>
              <w:t>1</w:t>
            </w:r>
          </w:p>
        </w:tc>
        <w:tc>
          <w:tcPr>
            <w:tcW w:w="1853" w:type="dxa"/>
            <w:shd w:val="clear" w:color="auto" w:fill="auto"/>
            <w:vAlign w:val="center"/>
          </w:tcPr>
          <w:p w14:paraId="083C72F7">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废一般包装材料</w:t>
            </w:r>
          </w:p>
        </w:tc>
        <w:tc>
          <w:tcPr>
            <w:tcW w:w="791" w:type="dxa"/>
            <w:shd w:val="clear" w:color="auto" w:fill="auto"/>
            <w:vAlign w:val="center"/>
          </w:tcPr>
          <w:p w14:paraId="4499B610">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原料使用</w:t>
            </w:r>
          </w:p>
        </w:tc>
        <w:tc>
          <w:tcPr>
            <w:tcW w:w="621" w:type="dxa"/>
            <w:shd w:val="clear" w:color="auto" w:fill="auto"/>
            <w:vAlign w:val="center"/>
          </w:tcPr>
          <w:p w14:paraId="123BCED1">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固</w:t>
            </w:r>
          </w:p>
        </w:tc>
        <w:tc>
          <w:tcPr>
            <w:tcW w:w="1485" w:type="dxa"/>
            <w:shd w:val="clear" w:color="auto" w:fill="auto"/>
            <w:vAlign w:val="center"/>
          </w:tcPr>
          <w:p w14:paraId="5C5D6D03">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塑料</w:t>
            </w:r>
          </w:p>
        </w:tc>
        <w:tc>
          <w:tcPr>
            <w:tcW w:w="1221" w:type="dxa"/>
            <w:shd w:val="clear" w:color="auto" w:fill="auto"/>
            <w:vAlign w:val="center"/>
          </w:tcPr>
          <w:p w14:paraId="40D8E171">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4</w:t>
            </w:r>
          </w:p>
        </w:tc>
        <w:tc>
          <w:tcPr>
            <w:tcW w:w="1636" w:type="dxa"/>
            <w:shd w:val="clear" w:color="auto" w:fill="auto"/>
            <w:vAlign w:val="center"/>
          </w:tcPr>
          <w:p w14:paraId="5B251EF5">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物资公司回收综合利用</w:t>
            </w:r>
          </w:p>
        </w:tc>
      </w:tr>
      <w:tr w14:paraId="644F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04F1D88E">
            <w:pPr>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2</w:t>
            </w:r>
          </w:p>
        </w:tc>
        <w:tc>
          <w:tcPr>
            <w:tcW w:w="1853" w:type="dxa"/>
            <w:shd w:val="clear" w:color="auto" w:fill="auto"/>
            <w:vAlign w:val="center"/>
          </w:tcPr>
          <w:p w14:paraId="6BD970A2">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废金属边角料</w:t>
            </w:r>
          </w:p>
        </w:tc>
        <w:tc>
          <w:tcPr>
            <w:tcW w:w="791" w:type="dxa"/>
            <w:shd w:val="clear" w:color="auto" w:fill="auto"/>
            <w:vAlign w:val="center"/>
          </w:tcPr>
          <w:p w14:paraId="2307AA3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机加工</w:t>
            </w:r>
          </w:p>
        </w:tc>
        <w:tc>
          <w:tcPr>
            <w:tcW w:w="621" w:type="dxa"/>
            <w:shd w:val="clear" w:color="auto" w:fill="auto"/>
            <w:vAlign w:val="center"/>
          </w:tcPr>
          <w:p w14:paraId="2333E9B5">
            <w:pPr>
              <w:jc w:val="center"/>
              <w:rPr>
                <w:rFonts w:hint="default" w:ascii="Arial" w:hAnsi="Arial" w:eastAsia="宋体" w:cs="Arial"/>
                <w:sz w:val="21"/>
                <w:szCs w:val="21"/>
              </w:rPr>
            </w:pPr>
            <w:r>
              <w:rPr>
                <w:rFonts w:hint="default" w:ascii="Arial" w:hAnsi="Arial" w:eastAsia="宋体" w:cs="Arial"/>
                <w:kern w:val="2"/>
                <w:sz w:val="21"/>
                <w:szCs w:val="21"/>
                <w:lang w:val="en-US" w:eastAsia="zh-CN" w:bidi="ar-SA"/>
              </w:rPr>
              <w:t>固</w:t>
            </w:r>
          </w:p>
        </w:tc>
        <w:tc>
          <w:tcPr>
            <w:tcW w:w="1485" w:type="dxa"/>
            <w:shd w:val="clear" w:color="auto" w:fill="auto"/>
            <w:vAlign w:val="center"/>
          </w:tcPr>
          <w:p w14:paraId="7EBE0991">
            <w:pPr>
              <w:jc w:val="center"/>
              <w:rPr>
                <w:rFonts w:hint="default" w:ascii="Arial" w:hAnsi="Arial" w:eastAsia="宋体" w:cs="Arial"/>
                <w:sz w:val="21"/>
                <w:szCs w:val="21"/>
              </w:rPr>
            </w:pPr>
            <w:r>
              <w:rPr>
                <w:rFonts w:hint="default" w:ascii="Arial" w:hAnsi="Arial" w:eastAsia="宋体" w:cs="Arial"/>
                <w:kern w:val="2"/>
                <w:sz w:val="21"/>
                <w:szCs w:val="21"/>
                <w:lang w:val="en-US" w:eastAsia="zh-CN" w:bidi="ar-SA"/>
              </w:rPr>
              <w:t>废金属</w:t>
            </w:r>
          </w:p>
        </w:tc>
        <w:tc>
          <w:tcPr>
            <w:tcW w:w="1221" w:type="dxa"/>
            <w:shd w:val="clear" w:color="auto" w:fill="auto"/>
            <w:vAlign w:val="center"/>
          </w:tcPr>
          <w:p w14:paraId="5A5C845F">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2500</w:t>
            </w:r>
          </w:p>
        </w:tc>
        <w:tc>
          <w:tcPr>
            <w:tcW w:w="1636" w:type="dxa"/>
            <w:shd w:val="clear" w:color="auto" w:fill="auto"/>
            <w:vAlign w:val="center"/>
          </w:tcPr>
          <w:p w14:paraId="3FE2A4C7">
            <w:pPr>
              <w:jc w:val="center"/>
              <w:rPr>
                <w:rFonts w:hint="default" w:ascii="Arial" w:hAnsi="Arial" w:eastAsia="宋体" w:cs="Arial"/>
                <w:sz w:val="21"/>
                <w:szCs w:val="21"/>
              </w:rPr>
            </w:pPr>
            <w:r>
              <w:rPr>
                <w:rFonts w:hint="default" w:ascii="Arial" w:hAnsi="Arial" w:eastAsia="宋体" w:cs="Arial"/>
                <w:sz w:val="21"/>
                <w:szCs w:val="21"/>
              </w:rPr>
              <w:t>物资公司回收综合利用</w:t>
            </w:r>
          </w:p>
        </w:tc>
      </w:tr>
      <w:tr w14:paraId="12B9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0" w:type="dxa"/>
            <w:vAlign w:val="center"/>
          </w:tcPr>
          <w:p w14:paraId="541831E3">
            <w:pPr>
              <w:jc w:val="center"/>
              <w:rPr>
                <w:rFonts w:hint="default" w:ascii="Arial" w:hAnsi="Arial" w:eastAsia="宋体" w:cs="Arial"/>
                <w:kern w:val="0"/>
                <w:sz w:val="21"/>
                <w:szCs w:val="21"/>
                <w:lang w:val="en-US" w:eastAsia="zh-CN"/>
              </w:rPr>
            </w:pPr>
            <w:r>
              <w:rPr>
                <w:rFonts w:hint="default" w:ascii="Arial" w:hAnsi="Arial" w:eastAsia="宋体" w:cs="Arial"/>
                <w:kern w:val="0"/>
                <w:sz w:val="21"/>
                <w:szCs w:val="21"/>
                <w:lang w:val="en-US" w:eastAsia="zh-CN"/>
              </w:rPr>
              <w:t>3</w:t>
            </w:r>
          </w:p>
        </w:tc>
        <w:tc>
          <w:tcPr>
            <w:tcW w:w="1853" w:type="dxa"/>
            <w:shd w:val="clear" w:color="auto" w:fill="auto"/>
            <w:vAlign w:val="center"/>
          </w:tcPr>
          <w:p w14:paraId="1EAFC221">
            <w:pPr>
              <w:jc w:val="center"/>
              <w:rPr>
                <w:rFonts w:hint="default" w:ascii="Arial" w:hAnsi="Arial" w:eastAsia="宋体" w:cs="Arial"/>
                <w:bCs/>
                <w:kern w:val="2"/>
                <w:sz w:val="21"/>
                <w:szCs w:val="21"/>
                <w:lang w:val="en-US" w:eastAsia="zh-CN" w:bidi="ar-SA"/>
              </w:rPr>
            </w:pPr>
            <w:r>
              <w:rPr>
                <w:rFonts w:hint="default" w:ascii="Arial" w:hAnsi="Arial" w:eastAsia="宋体" w:cs="Arial"/>
                <w:bCs/>
                <w:sz w:val="21"/>
                <w:szCs w:val="21"/>
              </w:rPr>
              <w:t>生活垃圾</w:t>
            </w:r>
          </w:p>
        </w:tc>
        <w:tc>
          <w:tcPr>
            <w:tcW w:w="791" w:type="dxa"/>
            <w:shd w:val="clear" w:color="auto" w:fill="auto"/>
            <w:vAlign w:val="center"/>
          </w:tcPr>
          <w:p w14:paraId="29BA837D">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生活</w:t>
            </w:r>
          </w:p>
        </w:tc>
        <w:tc>
          <w:tcPr>
            <w:tcW w:w="621" w:type="dxa"/>
            <w:shd w:val="clear" w:color="auto" w:fill="auto"/>
            <w:vAlign w:val="center"/>
          </w:tcPr>
          <w:p w14:paraId="706115D9">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固</w:t>
            </w:r>
          </w:p>
        </w:tc>
        <w:tc>
          <w:tcPr>
            <w:tcW w:w="1485" w:type="dxa"/>
            <w:shd w:val="clear" w:color="auto" w:fill="auto"/>
            <w:vAlign w:val="center"/>
          </w:tcPr>
          <w:p w14:paraId="66D3277A">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塑料、果壳等</w:t>
            </w:r>
          </w:p>
        </w:tc>
        <w:tc>
          <w:tcPr>
            <w:tcW w:w="1221" w:type="dxa"/>
            <w:shd w:val="clear" w:color="auto" w:fill="auto"/>
            <w:vAlign w:val="center"/>
          </w:tcPr>
          <w:p w14:paraId="2A75BD3D">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63</w:t>
            </w:r>
          </w:p>
        </w:tc>
        <w:tc>
          <w:tcPr>
            <w:tcW w:w="1636" w:type="dxa"/>
            <w:shd w:val="clear" w:color="auto" w:fill="auto"/>
            <w:vAlign w:val="center"/>
          </w:tcPr>
          <w:p w14:paraId="41B8F74E">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环卫部门清运处理</w:t>
            </w:r>
          </w:p>
        </w:tc>
      </w:tr>
    </w:tbl>
    <w:p w14:paraId="7E4F5DE9">
      <w:pPr>
        <w:pStyle w:val="76"/>
        <w:spacing w:line="360" w:lineRule="auto"/>
        <w:ind w:firstLine="480" w:firstLineChars="200"/>
        <w:rPr>
          <w:rFonts w:hint="default" w:ascii="Arial" w:hAnsi="Arial" w:eastAsia="宋体" w:cs="Arial"/>
          <w:bCs/>
          <w:sz w:val="24"/>
          <w:szCs w:val="24"/>
        </w:rPr>
      </w:pPr>
    </w:p>
    <w:p w14:paraId="0EFA59CD">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5、危险废物情况汇总</w:t>
      </w:r>
    </w:p>
    <w:p w14:paraId="17A27634">
      <w:pPr>
        <w:pStyle w:val="76"/>
        <w:spacing w:line="360" w:lineRule="auto"/>
        <w:ind w:firstLine="480" w:firstLineChars="200"/>
        <w:rPr>
          <w:rFonts w:hint="default" w:ascii="Arial" w:hAnsi="Arial" w:eastAsia="宋体" w:cs="Arial"/>
          <w:bCs/>
          <w:sz w:val="24"/>
          <w:szCs w:val="24"/>
        </w:rPr>
      </w:pPr>
      <w:r>
        <w:rPr>
          <w:rFonts w:hint="default" w:ascii="Arial" w:hAnsi="Arial" w:eastAsia="宋体" w:cs="Arial"/>
          <w:bCs/>
          <w:sz w:val="24"/>
          <w:szCs w:val="24"/>
        </w:rPr>
        <w:t>建设项目危险废物产生及处置情况汇总见表4-</w:t>
      </w:r>
      <w:r>
        <w:rPr>
          <w:rFonts w:hint="default" w:ascii="Arial" w:hAnsi="Arial" w:eastAsia="宋体" w:cs="Arial"/>
          <w:bCs/>
          <w:sz w:val="24"/>
          <w:szCs w:val="24"/>
          <w:lang w:val="en-US" w:eastAsia="zh-CN"/>
        </w:rPr>
        <w:t>1</w:t>
      </w:r>
      <w:r>
        <w:rPr>
          <w:rFonts w:hint="eastAsia" w:ascii="Arial" w:hAnsi="Arial" w:eastAsia="宋体" w:cs="Arial"/>
          <w:bCs/>
          <w:sz w:val="24"/>
          <w:szCs w:val="24"/>
          <w:lang w:val="en-US" w:eastAsia="zh-CN"/>
        </w:rPr>
        <w:t>8</w:t>
      </w:r>
      <w:r>
        <w:rPr>
          <w:rFonts w:hint="default" w:ascii="Arial" w:hAnsi="Arial" w:eastAsia="宋体" w:cs="Arial"/>
          <w:bCs/>
          <w:sz w:val="24"/>
          <w:szCs w:val="24"/>
        </w:rPr>
        <w:t>。</w:t>
      </w:r>
    </w:p>
    <w:p w14:paraId="6F13363D">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危险废物产生情况汇总表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
        <w:gridCol w:w="890"/>
        <w:gridCol w:w="804"/>
        <w:gridCol w:w="874"/>
        <w:gridCol w:w="806"/>
        <w:gridCol w:w="733"/>
        <w:gridCol w:w="432"/>
        <w:gridCol w:w="911"/>
        <w:gridCol w:w="450"/>
        <w:gridCol w:w="663"/>
        <w:gridCol w:w="1042"/>
      </w:tblGrid>
      <w:tr w14:paraId="63A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dxa"/>
            <w:vAlign w:val="center"/>
          </w:tcPr>
          <w:p w14:paraId="78110635">
            <w:pPr>
              <w:snapToGrid w:val="0"/>
              <w:jc w:val="center"/>
              <w:rPr>
                <w:rFonts w:hint="default" w:ascii="Arial" w:hAnsi="Arial" w:eastAsia="宋体" w:cs="Arial"/>
                <w:sz w:val="18"/>
                <w:szCs w:val="18"/>
              </w:rPr>
            </w:pPr>
            <w:r>
              <w:rPr>
                <w:rFonts w:hint="default" w:ascii="Arial" w:hAnsi="Arial" w:eastAsia="宋体" w:cs="Arial"/>
                <w:sz w:val="18"/>
                <w:szCs w:val="18"/>
              </w:rPr>
              <w:t>序号</w:t>
            </w:r>
          </w:p>
        </w:tc>
        <w:tc>
          <w:tcPr>
            <w:tcW w:w="912" w:type="dxa"/>
            <w:vAlign w:val="center"/>
          </w:tcPr>
          <w:p w14:paraId="490087D5">
            <w:pPr>
              <w:snapToGrid w:val="0"/>
              <w:jc w:val="center"/>
              <w:rPr>
                <w:rFonts w:hint="default" w:ascii="Arial" w:hAnsi="Arial" w:eastAsia="宋体" w:cs="Arial"/>
                <w:sz w:val="18"/>
                <w:szCs w:val="18"/>
              </w:rPr>
            </w:pPr>
            <w:r>
              <w:rPr>
                <w:rFonts w:hint="default" w:ascii="Arial" w:hAnsi="Arial" w:eastAsia="宋体" w:cs="Arial"/>
                <w:sz w:val="18"/>
                <w:szCs w:val="18"/>
              </w:rPr>
              <w:t>危险废物名称</w:t>
            </w:r>
          </w:p>
        </w:tc>
        <w:tc>
          <w:tcPr>
            <w:tcW w:w="823" w:type="dxa"/>
            <w:vAlign w:val="center"/>
          </w:tcPr>
          <w:p w14:paraId="243B8BE7">
            <w:pPr>
              <w:snapToGrid w:val="0"/>
              <w:jc w:val="center"/>
              <w:rPr>
                <w:rFonts w:hint="default" w:ascii="Arial" w:hAnsi="Arial" w:eastAsia="宋体" w:cs="Arial"/>
                <w:sz w:val="18"/>
                <w:szCs w:val="18"/>
              </w:rPr>
            </w:pPr>
            <w:r>
              <w:rPr>
                <w:rFonts w:hint="default" w:ascii="Arial" w:hAnsi="Arial" w:eastAsia="宋体" w:cs="Arial"/>
                <w:sz w:val="18"/>
                <w:szCs w:val="18"/>
              </w:rPr>
              <w:t>危险废物类别</w:t>
            </w:r>
          </w:p>
        </w:tc>
        <w:tc>
          <w:tcPr>
            <w:tcW w:w="895" w:type="dxa"/>
            <w:vAlign w:val="center"/>
          </w:tcPr>
          <w:p w14:paraId="0FBC72F2">
            <w:pPr>
              <w:snapToGrid w:val="0"/>
              <w:jc w:val="center"/>
              <w:rPr>
                <w:rFonts w:hint="default" w:ascii="Arial" w:hAnsi="Arial" w:eastAsia="宋体" w:cs="Arial"/>
                <w:sz w:val="18"/>
                <w:szCs w:val="18"/>
              </w:rPr>
            </w:pPr>
            <w:r>
              <w:rPr>
                <w:rFonts w:hint="default" w:ascii="Arial" w:hAnsi="Arial" w:eastAsia="宋体" w:cs="Arial"/>
                <w:sz w:val="18"/>
                <w:szCs w:val="18"/>
              </w:rPr>
              <w:t>危险废物代码</w:t>
            </w:r>
          </w:p>
        </w:tc>
        <w:tc>
          <w:tcPr>
            <w:tcW w:w="825" w:type="dxa"/>
            <w:vAlign w:val="center"/>
          </w:tcPr>
          <w:p w14:paraId="0B920915">
            <w:pPr>
              <w:snapToGrid w:val="0"/>
              <w:jc w:val="center"/>
              <w:rPr>
                <w:rFonts w:hint="default" w:ascii="Arial" w:hAnsi="Arial" w:eastAsia="宋体" w:cs="Arial"/>
                <w:sz w:val="18"/>
                <w:szCs w:val="18"/>
              </w:rPr>
            </w:pPr>
            <w:r>
              <w:rPr>
                <w:rFonts w:hint="default" w:ascii="Arial" w:hAnsi="Arial" w:eastAsia="宋体" w:cs="Arial"/>
                <w:sz w:val="18"/>
                <w:szCs w:val="18"/>
              </w:rPr>
              <w:t>产生量（t/a）</w:t>
            </w:r>
          </w:p>
        </w:tc>
        <w:tc>
          <w:tcPr>
            <w:tcW w:w="750" w:type="dxa"/>
            <w:vAlign w:val="center"/>
          </w:tcPr>
          <w:p w14:paraId="6CD4F10A">
            <w:pPr>
              <w:snapToGrid w:val="0"/>
              <w:jc w:val="center"/>
              <w:rPr>
                <w:rFonts w:hint="default" w:ascii="Arial" w:hAnsi="Arial" w:eastAsia="宋体" w:cs="Arial"/>
                <w:sz w:val="18"/>
                <w:szCs w:val="18"/>
              </w:rPr>
            </w:pPr>
            <w:r>
              <w:rPr>
                <w:rFonts w:hint="default" w:ascii="Arial" w:hAnsi="Arial" w:eastAsia="宋体" w:cs="Arial"/>
                <w:sz w:val="18"/>
                <w:szCs w:val="18"/>
              </w:rPr>
              <w:t>产生工序</w:t>
            </w:r>
          </w:p>
        </w:tc>
        <w:tc>
          <w:tcPr>
            <w:tcW w:w="439" w:type="dxa"/>
            <w:vAlign w:val="center"/>
          </w:tcPr>
          <w:p w14:paraId="58D126CB">
            <w:pPr>
              <w:snapToGrid w:val="0"/>
              <w:jc w:val="center"/>
              <w:rPr>
                <w:rFonts w:hint="default" w:ascii="Arial" w:hAnsi="Arial" w:eastAsia="宋体" w:cs="Arial"/>
                <w:sz w:val="18"/>
                <w:szCs w:val="18"/>
              </w:rPr>
            </w:pPr>
            <w:r>
              <w:rPr>
                <w:rFonts w:hint="default" w:ascii="Arial" w:hAnsi="Arial" w:eastAsia="宋体" w:cs="Arial"/>
                <w:sz w:val="18"/>
                <w:szCs w:val="18"/>
              </w:rPr>
              <w:t>形态</w:t>
            </w:r>
          </w:p>
        </w:tc>
        <w:tc>
          <w:tcPr>
            <w:tcW w:w="933" w:type="dxa"/>
            <w:vAlign w:val="center"/>
          </w:tcPr>
          <w:p w14:paraId="371E77C6">
            <w:pPr>
              <w:snapToGrid w:val="0"/>
              <w:jc w:val="center"/>
              <w:rPr>
                <w:rFonts w:hint="default" w:ascii="Arial" w:hAnsi="Arial" w:eastAsia="宋体" w:cs="Arial"/>
                <w:sz w:val="18"/>
                <w:szCs w:val="18"/>
              </w:rPr>
            </w:pPr>
            <w:r>
              <w:rPr>
                <w:rFonts w:hint="default" w:ascii="Arial" w:hAnsi="Arial" w:eastAsia="宋体" w:cs="Arial"/>
                <w:sz w:val="18"/>
                <w:szCs w:val="18"/>
              </w:rPr>
              <w:t>主要成分</w:t>
            </w:r>
          </w:p>
        </w:tc>
        <w:tc>
          <w:tcPr>
            <w:tcW w:w="457" w:type="dxa"/>
            <w:vAlign w:val="center"/>
          </w:tcPr>
          <w:p w14:paraId="0A456923">
            <w:pPr>
              <w:snapToGrid w:val="0"/>
              <w:jc w:val="center"/>
              <w:rPr>
                <w:rFonts w:hint="default" w:ascii="Arial" w:hAnsi="Arial" w:eastAsia="宋体" w:cs="Arial"/>
                <w:sz w:val="18"/>
                <w:szCs w:val="18"/>
              </w:rPr>
            </w:pPr>
            <w:r>
              <w:rPr>
                <w:rFonts w:hint="default" w:ascii="Arial" w:hAnsi="Arial" w:eastAsia="宋体" w:cs="Arial"/>
                <w:sz w:val="18"/>
                <w:szCs w:val="18"/>
              </w:rPr>
              <w:t>产生周期</w:t>
            </w:r>
          </w:p>
        </w:tc>
        <w:tc>
          <w:tcPr>
            <w:tcW w:w="677" w:type="dxa"/>
            <w:vAlign w:val="center"/>
          </w:tcPr>
          <w:p w14:paraId="30A1C74F">
            <w:pPr>
              <w:snapToGrid w:val="0"/>
              <w:jc w:val="center"/>
              <w:rPr>
                <w:rFonts w:hint="default" w:ascii="Arial" w:hAnsi="Arial" w:eastAsia="宋体" w:cs="Arial"/>
                <w:sz w:val="18"/>
                <w:szCs w:val="18"/>
              </w:rPr>
            </w:pPr>
            <w:r>
              <w:rPr>
                <w:rFonts w:hint="default" w:ascii="Arial" w:hAnsi="Arial" w:eastAsia="宋体" w:cs="Arial"/>
                <w:sz w:val="18"/>
                <w:szCs w:val="18"/>
              </w:rPr>
              <w:t>危险特性</w:t>
            </w:r>
          </w:p>
        </w:tc>
        <w:tc>
          <w:tcPr>
            <w:tcW w:w="1069" w:type="dxa"/>
            <w:vAlign w:val="center"/>
          </w:tcPr>
          <w:p w14:paraId="42E087E3">
            <w:pPr>
              <w:snapToGrid w:val="0"/>
              <w:jc w:val="center"/>
              <w:rPr>
                <w:rFonts w:hint="default" w:ascii="Arial" w:hAnsi="Arial" w:eastAsia="宋体" w:cs="Arial"/>
                <w:sz w:val="18"/>
                <w:szCs w:val="18"/>
              </w:rPr>
            </w:pPr>
            <w:r>
              <w:rPr>
                <w:rFonts w:hint="default" w:ascii="Arial" w:hAnsi="Arial" w:eastAsia="宋体" w:cs="Arial"/>
                <w:sz w:val="18"/>
                <w:szCs w:val="18"/>
              </w:rPr>
              <w:t>污染防治措施</w:t>
            </w:r>
          </w:p>
        </w:tc>
      </w:tr>
      <w:tr w14:paraId="3F728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dxa"/>
            <w:vAlign w:val="center"/>
          </w:tcPr>
          <w:p w14:paraId="43006007">
            <w:pPr>
              <w:jc w:val="center"/>
              <w:rPr>
                <w:rFonts w:hint="default" w:ascii="Arial" w:hAnsi="Arial" w:eastAsia="宋体" w:cs="Arial"/>
                <w:sz w:val="18"/>
                <w:szCs w:val="18"/>
              </w:rPr>
            </w:pPr>
            <w:r>
              <w:rPr>
                <w:rFonts w:hint="default" w:ascii="Arial" w:hAnsi="Arial" w:eastAsia="宋体" w:cs="Arial"/>
                <w:sz w:val="18"/>
                <w:szCs w:val="18"/>
              </w:rPr>
              <w:t>1</w:t>
            </w:r>
          </w:p>
        </w:tc>
        <w:tc>
          <w:tcPr>
            <w:tcW w:w="912" w:type="dxa"/>
            <w:vAlign w:val="center"/>
          </w:tcPr>
          <w:p w14:paraId="334A1620">
            <w:pPr>
              <w:jc w:val="center"/>
              <w:rPr>
                <w:rFonts w:hint="default" w:ascii="Arial" w:hAnsi="Arial" w:eastAsia="宋体" w:cs="Arial"/>
                <w:sz w:val="18"/>
                <w:szCs w:val="18"/>
              </w:rPr>
            </w:pPr>
            <w:r>
              <w:rPr>
                <w:rFonts w:hint="default" w:ascii="Arial" w:hAnsi="Arial" w:eastAsia="宋体" w:cs="Arial"/>
                <w:sz w:val="18"/>
                <w:szCs w:val="18"/>
                <w:lang w:val="en-US" w:eastAsia="zh-CN"/>
              </w:rPr>
              <w:t>废含油金属屑</w:t>
            </w:r>
          </w:p>
        </w:tc>
        <w:tc>
          <w:tcPr>
            <w:tcW w:w="823" w:type="dxa"/>
            <w:vAlign w:val="center"/>
          </w:tcPr>
          <w:p w14:paraId="0A69CB02">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0"/>
                <w:sz w:val="18"/>
                <w:szCs w:val="18"/>
              </w:rPr>
            </w:pPr>
            <w:r>
              <w:rPr>
                <w:rFonts w:hint="default" w:ascii="Arial" w:hAnsi="Arial" w:cs="Arial"/>
                <w:sz w:val="18"/>
                <w:szCs w:val="18"/>
              </w:rPr>
              <w:t>HW09</w:t>
            </w:r>
          </w:p>
        </w:tc>
        <w:tc>
          <w:tcPr>
            <w:tcW w:w="895" w:type="dxa"/>
            <w:vAlign w:val="center"/>
          </w:tcPr>
          <w:p w14:paraId="36984D00">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kern w:val="0"/>
                <w:sz w:val="18"/>
                <w:szCs w:val="18"/>
              </w:rPr>
            </w:pPr>
            <w:r>
              <w:rPr>
                <w:rFonts w:hint="default" w:ascii="Arial" w:hAnsi="Arial" w:cs="Arial"/>
                <w:sz w:val="18"/>
                <w:szCs w:val="18"/>
              </w:rPr>
              <w:t>900-006-09</w:t>
            </w:r>
          </w:p>
        </w:tc>
        <w:tc>
          <w:tcPr>
            <w:tcW w:w="825" w:type="dxa"/>
            <w:vAlign w:val="center"/>
          </w:tcPr>
          <w:p w14:paraId="55F2EF29">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750" w:type="dxa"/>
            <w:vAlign w:val="center"/>
          </w:tcPr>
          <w:p w14:paraId="7EC5B52F">
            <w:pPr>
              <w:snapToGrid w:val="0"/>
              <w:jc w:val="center"/>
              <w:rPr>
                <w:rFonts w:hint="default" w:ascii="Arial" w:hAnsi="Arial" w:eastAsia="宋体" w:cs="Arial"/>
                <w:sz w:val="18"/>
                <w:szCs w:val="18"/>
              </w:rPr>
            </w:pPr>
            <w:r>
              <w:rPr>
                <w:rFonts w:hint="default" w:ascii="Arial" w:hAnsi="Arial" w:eastAsia="宋体" w:cs="Arial"/>
                <w:kern w:val="2"/>
                <w:sz w:val="18"/>
                <w:szCs w:val="18"/>
                <w:lang w:val="en-US" w:eastAsia="zh-CN" w:bidi="ar-SA"/>
              </w:rPr>
              <w:t>机加工</w:t>
            </w:r>
          </w:p>
        </w:tc>
        <w:tc>
          <w:tcPr>
            <w:tcW w:w="439" w:type="dxa"/>
            <w:vAlign w:val="center"/>
          </w:tcPr>
          <w:p w14:paraId="7E49B5A5">
            <w:pPr>
              <w:jc w:val="center"/>
              <w:rPr>
                <w:rFonts w:hint="default" w:ascii="Arial" w:hAnsi="Arial" w:eastAsia="宋体" w:cs="Arial"/>
                <w:sz w:val="18"/>
                <w:szCs w:val="18"/>
              </w:rPr>
            </w:pPr>
            <w:r>
              <w:rPr>
                <w:rFonts w:hint="default" w:ascii="Arial" w:hAnsi="Arial" w:eastAsia="宋体" w:cs="Arial"/>
                <w:sz w:val="18"/>
                <w:szCs w:val="18"/>
                <w:lang w:val="en-US" w:eastAsia="zh-CN"/>
              </w:rPr>
              <w:t>固</w:t>
            </w:r>
          </w:p>
        </w:tc>
        <w:tc>
          <w:tcPr>
            <w:tcW w:w="933" w:type="dxa"/>
            <w:shd w:val="clear" w:color="auto" w:fill="auto"/>
            <w:vAlign w:val="center"/>
          </w:tcPr>
          <w:p w14:paraId="7B7A359D">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切削液、废金属</w:t>
            </w:r>
          </w:p>
        </w:tc>
        <w:tc>
          <w:tcPr>
            <w:tcW w:w="457" w:type="dxa"/>
            <w:vAlign w:val="center"/>
          </w:tcPr>
          <w:p w14:paraId="2D4010B8">
            <w:pPr>
              <w:snapToGrid w:val="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每天</w:t>
            </w:r>
          </w:p>
        </w:tc>
        <w:tc>
          <w:tcPr>
            <w:tcW w:w="677" w:type="dxa"/>
            <w:vAlign w:val="center"/>
          </w:tcPr>
          <w:p w14:paraId="31E6D9E9">
            <w:pPr>
              <w:snapToGrid w:val="0"/>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T</w:t>
            </w:r>
          </w:p>
        </w:tc>
        <w:tc>
          <w:tcPr>
            <w:tcW w:w="1069" w:type="dxa"/>
            <w:vMerge w:val="restart"/>
            <w:vAlign w:val="center"/>
          </w:tcPr>
          <w:p w14:paraId="55A6F4ED">
            <w:pPr>
              <w:snapToGrid w:val="0"/>
              <w:jc w:val="center"/>
              <w:rPr>
                <w:rFonts w:hint="default" w:ascii="Arial" w:hAnsi="Arial" w:eastAsia="宋体" w:cs="Arial"/>
                <w:sz w:val="18"/>
                <w:szCs w:val="18"/>
              </w:rPr>
            </w:pPr>
            <w:r>
              <w:rPr>
                <w:rFonts w:hint="default" w:ascii="Arial" w:hAnsi="Arial" w:eastAsia="宋体" w:cs="Arial"/>
                <w:sz w:val="18"/>
                <w:szCs w:val="18"/>
              </w:rPr>
              <w:t>危废暂存库分区存放，委托有资质单位处置</w:t>
            </w:r>
          </w:p>
        </w:tc>
      </w:tr>
      <w:tr w14:paraId="5F21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dxa"/>
            <w:vAlign w:val="center"/>
          </w:tcPr>
          <w:p w14:paraId="6A844DE9">
            <w:pPr>
              <w:jc w:val="center"/>
              <w:rPr>
                <w:rFonts w:hint="default" w:ascii="Arial" w:hAnsi="Arial" w:eastAsia="宋体" w:cs="Arial"/>
                <w:sz w:val="18"/>
                <w:szCs w:val="18"/>
              </w:rPr>
            </w:pPr>
            <w:r>
              <w:rPr>
                <w:rFonts w:hint="default" w:ascii="Arial" w:hAnsi="Arial" w:eastAsia="宋体" w:cs="Arial"/>
                <w:sz w:val="18"/>
                <w:szCs w:val="18"/>
              </w:rPr>
              <w:t>2</w:t>
            </w:r>
          </w:p>
        </w:tc>
        <w:tc>
          <w:tcPr>
            <w:tcW w:w="912" w:type="dxa"/>
            <w:shd w:val="clear" w:color="auto" w:fill="auto"/>
            <w:vAlign w:val="center"/>
          </w:tcPr>
          <w:p w14:paraId="3C4E9161">
            <w:pPr>
              <w:jc w:val="center"/>
              <w:rPr>
                <w:rFonts w:hint="default" w:ascii="Arial" w:hAnsi="Arial" w:eastAsia="宋体" w:cs="Arial"/>
                <w:kern w:val="2"/>
                <w:sz w:val="18"/>
                <w:szCs w:val="18"/>
                <w:lang w:val="en-US" w:eastAsia="zh-CN" w:bidi="ar-SA"/>
              </w:rPr>
            </w:pPr>
            <w:r>
              <w:rPr>
                <w:rFonts w:hint="default" w:ascii="Arial" w:hAnsi="Arial" w:eastAsia="宋体" w:cs="Arial"/>
                <w:bCs/>
                <w:kern w:val="2"/>
                <w:sz w:val="18"/>
                <w:szCs w:val="18"/>
                <w:lang w:val="en-US" w:eastAsia="zh-CN" w:bidi="ar-SA"/>
              </w:rPr>
              <w:t>磨搓泥</w:t>
            </w:r>
          </w:p>
        </w:tc>
        <w:tc>
          <w:tcPr>
            <w:tcW w:w="823" w:type="dxa"/>
            <w:shd w:val="clear" w:color="auto" w:fill="auto"/>
            <w:vAlign w:val="center"/>
          </w:tcPr>
          <w:p w14:paraId="2B22A317">
            <w:pPr>
              <w:adjustRightInd w:val="0"/>
              <w:snapToGrid w:val="0"/>
              <w:jc w:val="center"/>
              <w:rPr>
                <w:rFonts w:hint="default" w:ascii="Arial" w:hAnsi="Arial" w:eastAsia="宋体" w:cs="Arial"/>
                <w:kern w:val="2"/>
                <w:sz w:val="18"/>
                <w:szCs w:val="18"/>
                <w:lang w:val="en-US" w:eastAsia="zh-CN" w:bidi="ar-SA"/>
              </w:rPr>
            </w:pPr>
            <w:r>
              <w:rPr>
                <w:rFonts w:hint="default" w:ascii="Arial" w:hAnsi="Arial" w:eastAsia="宋体" w:cs="Arial"/>
                <w:bCs/>
                <w:sz w:val="18"/>
                <w:szCs w:val="18"/>
                <w:lang w:val="en-US" w:eastAsia="zh-CN"/>
              </w:rPr>
              <w:t>HW08</w:t>
            </w:r>
          </w:p>
        </w:tc>
        <w:tc>
          <w:tcPr>
            <w:tcW w:w="895" w:type="dxa"/>
            <w:shd w:val="clear" w:color="auto" w:fill="auto"/>
            <w:vAlign w:val="center"/>
          </w:tcPr>
          <w:p w14:paraId="0FC252EB">
            <w:pPr>
              <w:adjustRightInd w:val="0"/>
              <w:snapToGrid w:val="0"/>
              <w:jc w:val="center"/>
              <w:rPr>
                <w:rFonts w:hint="default" w:ascii="Arial" w:hAnsi="Arial" w:eastAsia="宋体" w:cs="Arial"/>
                <w:kern w:val="0"/>
                <w:sz w:val="18"/>
                <w:szCs w:val="18"/>
                <w:lang w:val="en-US" w:eastAsia="zh-CN" w:bidi="ar-SA"/>
              </w:rPr>
            </w:pPr>
            <w:r>
              <w:rPr>
                <w:rFonts w:hint="default" w:ascii="Arial" w:hAnsi="Arial" w:eastAsia="宋体" w:cs="Arial"/>
                <w:bCs/>
                <w:sz w:val="18"/>
                <w:szCs w:val="18"/>
                <w:lang w:val="en-US" w:eastAsia="zh-CN"/>
              </w:rPr>
              <w:t>900-200-08</w:t>
            </w:r>
          </w:p>
        </w:tc>
        <w:tc>
          <w:tcPr>
            <w:tcW w:w="825" w:type="dxa"/>
            <w:shd w:val="clear" w:color="auto" w:fill="auto"/>
            <w:vAlign w:val="center"/>
          </w:tcPr>
          <w:p w14:paraId="0E09DE4B">
            <w:pPr>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12</w:t>
            </w:r>
          </w:p>
        </w:tc>
        <w:tc>
          <w:tcPr>
            <w:tcW w:w="750" w:type="dxa"/>
            <w:shd w:val="clear" w:color="auto" w:fill="auto"/>
            <w:vAlign w:val="center"/>
          </w:tcPr>
          <w:p w14:paraId="5D7FDAC5">
            <w:pPr>
              <w:snapToGrid w:val="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机加工</w:t>
            </w:r>
          </w:p>
        </w:tc>
        <w:tc>
          <w:tcPr>
            <w:tcW w:w="439" w:type="dxa"/>
            <w:shd w:val="clear" w:color="auto" w:fill="auto"/>
            <w:vAlign w:val="center"/>
          </w:tcPr>
          <w:p w14:paraId="57BE7210">
            <w:pPr>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固</w:t>
            </w:r>
          </w:p>
        </w:tc>
        <w:tc>
          <w:tcPr>
            <w:tcW w:w="933" w:type="dxa"/>
            <w:shd w:val="clear" w:color="auto" w:fill="auto"/>
            <w:vAlign w:val="center"/>
          </w:tcPr>
          <w:p w14:paraId="3A0D71C1">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切削液、废金属</w:t>
            </w:r>
          </w:p>
        </w:tc>
        <w:tc>
          <w:tcPr>
            <w:tcW w:w="457" w:type="dxa"/>
            <w:shd w:val="clear" w:color="auto" w:fill="auto"/>
            <w:vAlign w:val="center"/>
          </w:tcPr>
          <w:p w14:paraId="5ABDB857">
            <w:pPr>
              <w:snapToGrid w:val="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每天</w:t>
            </w:r>
          </w:p>
        </w:tc>
        <w:tc>
          <w:tcPr>
            <w:tcW w:w="677" w:type="dxa"/>
            <w:shd w:val="clear" w:color="auto" w:fill="auto"/>
            <w:vAlign w:val="center"/>
          </w:tcPr>
          <w:p w14:paraId="25F159F6">
            <w:pPr>
              <w:snapToGrid w:val="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bidi="ar-SA"/>
              </w:rPr>
              <w:t>T</w:t>
            </w:r>
          </w:p>
        </w:tc>
        <w:tc>
          <w:tcPr>
            <w:tcW w:w="1069" w:type="dxa"/>
            <w:vMerge w:val="continue"/>
            <w:vAlign w:val="center"/>
          </w:tcPr>
          <w:p w14:paraId="143540D1">
            <w:pPr>
              <w:snapToGrid w:val="0"/>
              <w:jc w:val="center"/>
              <w:rPr>
                <w:rFonts w:hint="default" w:ascii="Arial" w:hAnsi="Arial" w:eastAsia="宋体" w:cs="Arial"/>
                <w:sz w:val="18"/>
                <w:szCs w:val="18"/>
              </w:rPr>
            </w:pPr>
          </w:p>
        </w:tc>
      </w:tr>
      <w:tr w14:paraId="7C98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dxa"/>
            <w:vAlign w:val="center"/>
          </w:tcPr>
          <w:p w14:paraId="658D622E">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3</w:t>
            </w:r>
          </w:p>
        </w:tc>
        <w:tc>
          <w:tcPr>
            <w:tcW w:w="912" w:type="dxa"/>
            <w:shd w:val="clear" w:color="auto" w:fill="auto"/>
            <w:vAlign w:val="center"/>
          </w:tcPr>
          <w:p w14:paraId="20DF7315">
            <w:pPr>
              <w:jc w:val="center"/>
              <w:rPr>
                <w:rFonts w:hint="default" w:ascii="Arial" w:hAnsi="Arial" w:eastAsia="宋体" w:cs="Arial"/>
                <w:kern w:val="2"/>
                <w:sz w:val="18"/>
                <w:szCs w:val="18"/>
                <w:lang w:val="en-US" w:eastAsia="zh-CN" w:bidi="ar-SA"/>
              </w:rPr>
            </w:pPr>
            <w:r>
              <w:rPr>
                <w:rFonts w:hint="default" w:ascii="Arial" w:hAnsi="Arial" w:eastAsia="宋体" w:cs="Arial"/>
                <w:bCs/>
                <w:sz w:val="18"/>
                <w:szCs w:val="18"/>
                <w:lang w:val="en-US" w:eastAsia="zh-CN"/>
              </w:rPr>
              <w:t>废淬火液</w:t>
            </w:r>
          </w:p>
        </w:tc>
        <w:tc>
          <w:tcPr>
            <w:tcW w:w="823" w:type="dxa"/>
            <w:shd w:val="clear" w:color="auto" w:fill="auto"/>
            <w:vAlign w:val="center"/>
          </w:tcPr>
          <w:p w14:paraId="5272770E">
            <w:pPr>
              <w:adjustRightInd w:val="0"/>
              <w:snapToGrid w:val="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HW09</w:t>
            </w:r>
          </w:p>
        </w:tc>
        <w:tc>
          <w:tcPr>
            <w:tcW w:w="895" w:type="dxa"/>
            <w:shd w:val="clear" w:color="auto" w:fill="auto"/>
            <w:vAlign w:val="center"/>
          </w:tcPr>
          <w:p w14:paraId="29C9A291">
            <w:pPr>
              <w:adjustRightInd w:val="0"/>
              <w:snapToGrid w:val="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900-007-09</w:t>
            </w:r>
          </w:p>
        </w:tc>
        <w:tc>
          <w:tcPr>
            <w:tcW w:w="825" w:type="dxa"/>
            <w:shd w:val="clear" w:color="auto" w:fill="auto"/>
            <w:vAlign w:val="center"/>
          </w:tcPr>
          <w:p w14:paraId="1445CD16">
            <w:pPr>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1.0</w:t>
            </w:r>
          </w:p>
        </w:tc>
        <w:tc>
          <w:tcPr>
            <w:tcW w:w="750" w:type="dxa"/>
            <w:shd w:val="clear" w:color="auto" w:fill="auto"/>
            <w:vAlign w:val="center"/>
          </w:tcPr>
          <w:p w14:paraId="4AAC1144">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热处理</w:t>
            </w:r>
          </w:p>
        </w:tc>
        <w:tc>
          <w:tcPr>
            <w:tcW w:w="439" w:type="dxa"/>
            <w:shd w:val="clear" w:color="auto" w:fill="auto"/>
            <w:vAlign w:val="center"/>
          </w:tcPr>
          <w:p w14:paraId="74B9170F">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液</w:t>
            </w:r>
          </w:p>
        </w:tc>
        <w:tc>
          <w:tcPr>
            <w:tcW w:w="933" w:type="dxa"/>
            <w:shd w:val="clear" w:color="auto" w:fill="auto"/>
            <w:vAlign w:val="center"/>
          </w:tcPr>
          <w:p w14:paraId="16D9B899">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淬火液</w:t>
            </w:r>
          </w:p>
        </w:tc>
        <w:tc>
          <w:tcPr>
            <w:tcW w:w="457" w:type="dxa"/>
            <w:shd w:val="clear" w:color="auto" w:fill="auto"/>
            <w:vAlign w:val="center"/>
          </w:tcPr>
          <w:p w14:paraId="121208B6">
            <w:pPr>
              <w:snapToGrid w:val="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每天</w:t>
            </w:r>
          </w:p>
        </w:tc>
        <w:tc>
          <w:tcPr>
            <w:tcW w:w="677" w:type="dxa"/>
            <w:shd w:val="clear" w:color="auto" w:fill="auto"/>
            <w:vAlign w:val="center"/>
          </w:tcPr>
          <w:p w14:paraId="3A6C76A4">
            <w:pPr>
              <w:snapToGrid w:val="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bidi="ar-SA"/>
              </w:rPr>
              <w:t>T</w:t>
            </w:r>
          </w:p>
        </w:tc>
        <w:tc>
          <w:tcPr>
            <w:tcW w:w="1069" w:type="dxa"/>
            <w:vMerge w:val="continue"/>
            <w:vAlign w:val="center"/>
          </w:tcPr>
          <w:p w14:paraId="07B34948">
            <w:pPr>
              <w:snapToGrid w:val="0"/>
              <w:jc w:val="center"/>
              <w:rPr>
                <w:rFonts w:hint="default" w:ascii="Arial" w:hAnsi="Arial" w:eastAsia="宋体" w:cs="Arial"/>
                <w:sz w:val="18"/>
                <w:szCs w:val="18"/>
              </w:rPr>
            </w:pPr>
          </w:p>
        </w:tc>
      </w:tr>
      <w:tr w14:paraId="43FF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dxa"/>
            <w:vAlign w:val="center"/>
          </w:tcPr>
          <w:p w14:paraId="50EC398E">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4</w:t>
            </w:r>
          </w:p>
        </w:tc>
        <w:tc>
          <w:tcPr>
            <w:tcW w:w="912" w:type="dxa"/>
            <w:shd w:val="clear" w:color="auto" w:fill="auto"/>
            <w:vAlign w:val="center"/>
          </w:tcPr>
          <w:p w14:paraId="10A52C94">
            <w:pPr>
              <w:jc w:val="center"/>
              <w:rPr>
                <w:rFonts w:hint="default" w:ascii="Arial" w:hAnsi="Arial" w:eastAsia="宋体" w:cs="Arial"/>
                <w:bCs/>
                <w:sz w:val="18"/>
                <w:szCs w:val="18"/>
                <w:lang w:val="en-US" w:eastAsia="zh-CN"/>
              </w:rPr>
            </w:pPr>
            <w:r>
              <w:rPr>
                <w:rFonts w:hint="default" w:ascii="Arial" w:hAnsi="Arial" w:eastAsia="宋体" w:cs="Arial"/>
                <w:bCs/>
                <w:sz w:val="18"/>
                <w:szCs w:val="18"/>
                <w:lang w:val="en-US" w:eastAsia="zh-CN"/>
              </w:rPr>
              <w:t>废切削液</w:t>
            </w:r>
          </w:p>
        </w:tc>
        <w:tc>
          <w:tcPr>
            <w:tcW w:w="823" w:type="dxa"/>
            <w:shd w:val="clear" w:color="auto" w:fill="auto"/>
            <w:vAlign w:val="center"/>
          </w:tcPr>
          <w:p w14:paraId="3CE875F1">
            <w:pPr>
              <w:adjustRightInd w:val="0"/>
              <w:snapToGrid w:val="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HW09</w:t>
            </w:r>
          </w:p>
        </w:tc>
        <w:tc>
          <w:tcPr>
            <w:tcW w:w="895" w:type="dxa"/>
            <w:shd w:val="clear" w:color="auto" w:fill="auto"/>
            <w:vAlign w:val="center"/>
          </w:tcPr>
          <w:p w14:paraId="4FA24F90">
            <w:pPr>
              <w:adjustRightInd w:val="0"/>
              <w:snapToGrid w:val="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900-006-09</w:t>
            </w:r>
          </w:p>
        </w:tc>
        <w:tc>
          <w:tcPr>
            <w:tcW w:w="825" w:type="dxa"/>
            <w:shd w:val="clear" w:color="auto" w:fill="auto"/>
            <w:vAlign w:val="center"/>
          </w:tcPr>
          <w:p w14:paraId="1D26E827">
            <w:pPr>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115.5</w:t>
            </w:r>
          </w:p>
        </w:tc>
        <w:tc>
          <w:tcPr>
            <w:tcW w:w="750" w:type="dxa"/>
            <w:shd w:val="clear" w:color="auto" w:fill="auto"/>
            <w:vAlign w:val="center"/>
          </w:tcPr>
          <w:p w14:paraId="32694DC3">
            <w:pPr>
              <w:snapToGrid w:val="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机加工</w:t>
            </w:r>
          </w:p>
        </w:tc>
        <w:tc>
          <w:tcPr>
            <w:tcW w:w="439" w:type="dxa"/>
            <w:shd w:val="clear" w:color="auto" w:fill="auto"/>
            <w:vAlign w:val="center"/>
          </w:tcPr>
          <w:p w14:paraId="781DCA75">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液</w:t>
            </w:r>
          </w:p>
        </w:tc>
        <w:tc>
          <w:tcPr>
            <w:tcW w:w="933" w:type="dxa"/>
            <w:shd w:val="clear" w:color="auto" w:fill="auto"/>
            <w:vAlign w:val="center"/>
          </w:tcPr>
          <w:p w14:paraId="45735FA9">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切削液</w:t>
            </w:r>
          </w:p>
        </w:tc>
        <w:tc>
          <w:tcPr>
            <w:tcW w:w="457" w:type="dxa"/>
            <w:shd w:val="clear" w:color="auto" w:fill="auto"/>
            <w:vAlign w:val="center"/>
          </w:tcPr>
          <w:p w14:paraId="675FE996">
            <w:pPr>
              <w:snapToGrid w:val="0"/>
              <w:jc w:val="center"/>
              <w:rPr>
                <w:rFonts w:hint="default" w:ascii="Arial" w:hAnsi="Arial" w:eastAsia="宋体" w:cs="Arial"/>
                <w:kern w:val="2"/>
                <w:sz w:val="18"/>
                <w:szCs w:val="18"/>
                <w:lang w:val="en-US" w:eastAsia="zh-CN" w:bidi="ar-SA"/>
              </w:rPr>
            </w:pPr>
            <w:r>
              <w:rPr>
                <w:rFonts w:hint="default" w:ascii="Arial" w:hAnsi="Arial" w:eastAsia="宋体" w:cs="Arial"/>
                <w:kern w:val="2"/>
                <w:sz w:val="18"/>
                <w:szCs w:val="18"/>
                <w:lang w:val="en-US" w:eastAsia="zh-CN" w:bidi="ar-SA"/>
              </w:rPr>
              <w:t>每天</w:t>
            </w:r>
          </w:p>
        </w:tc>
        <w:tc>
          <w:tcPr>
            <w:tcW w:w="677" w:type="dxa"/>
            <w:shd w:val="clear" w:color="auto" w:fill="auto"/>
            <w:vAlign w:val="center"/>
          </w:tcPr>
          <w:p w14:paraId="5FB606B5">
            <w:pPr>
              <w:snapToGrid w:val="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bidi="ar-SA"/>
              </w:rPr>
              <w:t>T</w:t>
            </w:r>
          </w:p>
        </w:tc>
        <w:tc>
          <w:tcPr>
            <w:tcW w:w="1069" w:type="dxa"/>
            <w:vMerge w:val="continue"/>
            <w:vAlign w:val="center"/>
          </w:tcPr>
          <w:p w14:paraId="70A41F77">
            <w:pPr>
              <w:snapToGrid w:val="0"/>
              <w:jc w:val="center"/>
              <w:rPr>
                <w:rFonts w:hint="default" w:ascii="Arial" w:hAnsi="Arial" w:eastAsia="宋体" w:cs="Arial"/>
                <w:sz w:val="18"/>
                <w:szCs w:val="18"/>
              </w:rPr>
            </w:pPr>
          </w:p>
        </w:tc>
      </w:tr>
      <w:tr w14:paraId="2785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dxa"/>
            <w:vAlign w:val="center"/>
          </w:tcPr>
          <w:p w14:paraId="1DE3B5CE">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5</w:t>
            </w:r>
          </w:p>
        </w:tc>
        <w:tc>
          <w:tcPr>
            <w:tcW w:w="912" w:type="dxa"/>
            <w:shd w:val="clear" w:color="auto" w:fill="auto"/>
            <w:vAlign w:val="center"/>
          </w:tcPr>
          <w:p w14:paraId="5340FA62">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废化学品包装</w:t>
            </w:r>
          </w:p>
        </w:tc>
        <w:tc>
          <w:tcPr>
            <w:tcW w:w="823" w:type="dxa"/>
            <w:shd w:val="clear" w:color="auto" w:fill="auto"/>
            <w:vAlign w:val="center"/>
          </w:tcPr>
          <w:p w14:paraId="053DADDD">
            <w:pPr>
              <w:adjustRightInd w:val="0"/>
              <w:snapToGrid w:val="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bCs/>
                <w:color w:val="000000" w:themeColor="text1"/>
                <w:sz w:val="18"/>
                <w:szCs w:val="18"/>
                <w14:textFill>
                  <w14:solidFill>
                    <w14:schemeClr w14:val="tx1"/>
                  </w14:solidFill>
                </w14:textFill>
              </w:rPr>
              <w:t>HW49</w:t>
            </w:r>
          </w:p>
        </w:tc>
        <w:tc>
          <w:tcPr>
            <w:tcW w:w="895" w:type="dxa"/>
            <w:shd w:val="clear" w:color="auto" w:fill="auto"/>
            <w:vAlign w:val="center"/>
          </w:tcPr>
          <w:p w14:paraId="6B33564E">
            <w:pPr>
              <w:adjustRightInd w:val="0"/>
              <w:snapToGrid w:val="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bCs/>
                <w:color w:val="000000" w:themeColor="text1"/>
                <w:sz w:val="18"/>
                <w:szCs w:val="18"/>
                <w14:textFill>
                  <w14:solidFill>
                    <w14:schemeClr w14:val="tx1"/>
                  </w14:solidFill>
                </w14:textFill>
              </w:rPr>
              <w:t>900-041-49</w:t>
            </w:r>
          </w:p>
        </w:tc>
        <w:tc>
          <w:tcPr>
            <w:tcW w:w="825" w:type="dxa"/>
            <w:shd w:val="clear" w:color="auto" w:fill="auto"/>
            <w:vAlign w:val="center"/>
          </w:tcPr>
          <w:p w14:paraId="4DE63880">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eastAsia" w:ascii="Arial" w:hAnsi="Arial" w:eastAsia="宋体" w:cs="Arial"/>
                <w:color w:val="000000" w:themeColor="text1"/>
                <w:kern w:val="2"/>
                <w:sz w:val="18"/>
                <w:szCs w:val="18"/>
                <w:lang w:val="en-US" w:eastAsia="zh-CN" w:bidi="ar-SA"/>
                <w14:textFill>
                  <w14:solidFill>
                    <w14:schemeClr w14:val="tx1"/>
                  </w14:solidFill>
                </w14:textFill>
              </w:rPr>
              <w:t>10.9</w:t>
            </w:r>
          </w:p>
        </w:tc>
        <w:tc>
          <w:tcPr>
            <w:tcW w:w="750" w:type="dxa"/>
            <w:shd w:val="clear" w:color="auto" w:fill="auto"/>
            <w:vAlign w:val="center"/>
          </w:tcPr>
          <w:p w14:paraId="4CED6DA1">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原材料使用</w:t>
            </w:r>
          </w:p>
        </w:tc>
        <w:tc>
          <w:tcPr>
            <w:tcW w:w="439" w:type="dxa"/>
            <w:shd w:val="clear" w:color="auto" w:fill="auto"/>
            <w:vAlign w:val="center"/>
          </w:tcPr>
          <w:p w14:paraId="6D17E7C8">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固</w:t>
            </w:r>
          </w:p>
        </w:tc>
        <w:tc>
          <w:tcPr>
            <w:tcW w:w="933" w:type="dxa"/>
            <w:shd w:val="clear" w:color="auto" w:fill="auto"/>
            <w:vAlign w:val="center"/>
          </w:tcPr>
          <w:p w14:paraId="26408DD4">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塑料、有机物</w:t>
            </w:r>
          </w:p>
        </w:tc>
        <w:tc>
          <w:tcPr>
            <w:tcW w:w="457" w:type="dxa"/>
            <w:shd w:val="clear" w:color="auto" w:fill="auto"/>
            <w:vAlign w:val="center"/>
          </w:tcPr>
          <w:p w14:paraId="62CDC41A">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每天</w:t>
            </w:r>
          </w:p>
        </w:tc>
        <w:tc>
          <w:tcPr>
            <w:tcW w:w="677" w:type="dxa"/>
            <w:shd w:val="clear" w:color="auto" w:fill="auto"/>
            <w:vAlign w:val="center"/>
          </w:tcPr>
          <w:p w14:paraId="24A10EBD">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rPr>
              <w:t>T/In</w:t>
            </w:r>
          </w:p>
        </w:tc>
        <w:tc>
          <w:tcPr>
            <w:tcW w:w="1069" w:type="dxa"/>
            <w:vMerge w:val="continue"/>
            <w:vAlign w:val="center"/>
          </w:tcPr>
          <w:p w14:paraId="3FB5B669">
            <w:pPr>
              <w:snapToGrid w:val="0"/>
              <w:jc w:val="center"/>
              <w:rPr>
                <w:rFonts w:hint="default" w:ascii="Arial" w:hAnsi="Arial" w:eastAsia="宋体" w:cs="Arial"/>
                <w:sz w:val="18"/>
                <w:szCs w:val="18"/>
                <w:lang w:val="en-US" w:eastAsia="zh-CN"/>
              </w:rPr>
            </w:pPr>
          </w:p>
        </w:tc>
      </w:tr>
      <w:tr w14:paraId="5973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dxa"/>
            <w:vAlign w:val="center"/>
          </w:tcPr>
          <w:p w14:paraId="6F91E27B">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6</w:t>
            </w:r>
          </w:p>
        </w:tc>
        <w:tc>
          <w:tcPr>
            <w:tcW w:w="912" w:type="dxa"/>
            <w:shd w:val="clear" w:color="auto" w:fill="auto"/>
            <w:vAlign w:val="center"/>
          </w:tcPr>
          <w:p w14:paraId="568F0686">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废水处理废膜</w:t>
            </w:r>
          </w:p>
        </w:tc>
        <w:tc>
          <w:tcPr>
            <w:tcW w:w="823" w:type="dxa"/>
            <w:shd w:val="clear" w:color="auto" w:fill="auto"/>
            <w:vAlign w:val="center"/>
          </w:tcPr>
          <w:p w14:paraId="5CC4F33A">
            <w:pPr>
              <w:adjustRightInd w:val="0"/>
              <w:snapToGrid w:val="0"/>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default" w:ascii="Arial" w:hAnsi="Arial" w:eastAsia="宋体" w:cs="Arial"/>
                <w:bCs/>
                <w:color w:val="000000" w:themeColor="text1"/>
                <w:sz w:val="18"/>
                <w:szCs w:val="18"/>
                <w:lang w:val="en-US" w:eastAsia="zh-CN"/>
                <w14:textFill>
                  <w14:solidFill>
                    <w14:schemeClr w14:val="tx1"/>
                  </w14:solidFill>
                </w14:textFill>
              </w:rPr>
              <w:t>HW49</w:t>
            </w:r>
          </w:p>
        </w:tc>
        <w:tc>
          <w:tcPr>
            <w:tcW w:w="895" w:type="dxa"/>
            <w:shd w:val="clear" w:color="auto" w:fill="auto"/>
            <w:vAlign w:val="center"/>
          </w:tcPr>
          <w:p w14:paraId="14057670">
            <w:pPr>
              <w:adjustRightInd w:val="0"/>
              <w:snapToGrid w:val="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bCs/>
                <w:color w:val="000000" w:themeColor="text1"/>
                <w:sz w:val="18"/>
                <w:szCs w:val="18"/>
                <w:lang w:val="en-US" w:eastAsia="zh-CN"/>
                <w14:textFill>
                  <w14:solidFill>
                    <w14:schemeClr w14:val="tx1"/>
                  </w14:solidFill>
                </w14:textFill>
              </w:rPr>
              <w:t>900-041-49</w:t>
            </w:r>
          </w:p>
        </w:tc>
        <w:tc>
          <w:tcPr>
            <w:tcW w:w="825" w:type="dxa"/>
            <w:shd w:val="clear" w:color="auto" w:fill="auto"/>
            <w:vAlign w:val="center"/>
          </w:tcPr>
          <w:p w14:paraId="1F9E1FA0">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0.1</w:t>
            </w:r>
          </w:p>
        </w:tc>
        <w:tc>
          <w:tcPr>
            <w:tcW w:w="750" w:type="dxa"/>
            <w:shd w:val="clear" w:color="auto" w:fill="auto"/>
            <w:vAlign w:val="center"/>
          </w:tcPr>
          <w:p w14:paraId="7B8D9116">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废水处理</w:t>
            </w:r>
          </w:p>
        </w:tc>
        <w:tc>
          <w:tcPr>
            <w:tcW w:w="439" w:type="dxa"/>
            <w:shd w:val="clear" w:color="auto" w:fill="auto"/>
            <w:vAlign w:val="center"/>
          </w:tcPr>
          <w:p w14:paraId="1AE295B7">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固</w:t>
            </w:r>
          </w:p>
        </w:tc>
        <w:tc>
          <w:tcPr>
            <w:tcW w:w="933" w:type="dxa"/>
            <w:shd w:val="clear" w:color="auto" w:fill="auto"/>
            <w:vAlign w:val="center"/>
          </w:tcPr>
          <w:p w14:paraId="5EDA9875">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陶瓷、塑料</w:t>
            </w:r>
          </w:p>
        </w:tc>
        <w:tc>
          <w:tcPr>
            <w:tcW w:w="457" w:type="dxa"/>
            <w:shd w:val="clear" w:color="auto" w:fill="auto"/>
            <w:vAlign w:val="center"/>
          </w:tcPr>
          <w:p w14:paraId="0096B24B">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半年</w:t>
            </w:r>
          </w:p>
        </w:tc>
        <w:tc>
          <w:tcPr>
            <w:tcW w:w="677" w:type="dxa"/>
            <w:shd w:val="clear" w:color="auto" w:fill="auto"/>
            <w:vAlign w:val="center"/>
          </w:tcPr>
          <w:p w14:paraId="75C4D4F9">
            <w:pPr>
              <w:snapToGrid w:val="0"/>
              <w:jc w:val="center"/>
              <w:rPr>
                <w:rFonts w:hint="default" w:ascii="Arial" w:hAnsi="Arial" w:eastAsia="宋体" w:cs="Arial"/>
                <w:kern w:val="0"/>
                <w:sz w:val="18"/>
                <w:szCs w:val="18"/>
                <w:lang w:val="en-US" w:eastAsia="zh-CN" w:bidi="ar-SA"/>
              </w:rPr>
            </w:pPr>
            <w:r>
              <w:rPr>
                <w:rFonts w:hint="default" w:ascii="Arial" w:hAnsi="Arial" w:eastAsia="宋体" w:cs="Arial"/>
                <w:sz w:val="18"/>
                <w:szCs w:val="18"/>
              </w:rPr>
              <w:t>T/In</w:t>
            </w:r>
          </w:p>
        </w:tc>
        <w:tc>
          <w:tcPr>
            <w:tcW w:w="1069" w:type="dxa"/>
            <w:vMerge w:val="continue"/>
            <w:vAlign w:val="center"/>
          </w:tcPr>
          <w:p w14:paraId="13A6C006">
            <w:pPr>
              <w:snapToGrid w:val="0"/>
              <w:jc w:val="center"/>
              <w:rPr>
                <w:rFonts w:hint="default" w:ascii="Arial" w:hAnsi="Arial" w:eastAsia="宋体" w:cs="Arial"/>
                <w:sz w:val="18"/>
                <w:szCs w:val="18"/>
                <w:lang w:val="en-US" w:eastAsia="zh-CN"/>
              </w:rPr>
            </w:pPr>
          </w:p>
        </w:tc>
      </w:tr>
      <w:tr w14:paraId="7C79E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6" w:type="dxa"/>
            <w:vAlign w:val="center"/>
          </w:tcPr>
          <w:p w14:paraId="6276A9F5">
            <w:pPr>
              <w:jc w:val="center"/>
              <w:rPr>
                <w:rFonts w:hint="default" w:ascii="Arial" w:hAnsi="Arial" w:eastAsia="宋体" w:cs="Arial"/>
                <w:sz w:val="18"/>
                <w:szCs w:val="18"/>
                <w:lang w:val="en-US" w:eastAsia="zh-CN"/>
              </w:rPr>
            </w:pPr>
            <w:r>
              <w:rPr>
                <w:rFonts w:hint="default" w:ascii="Arial" w:hAnsi="Arial" w:eastAsia="宋体" w:cs="Arial"/>
                <w:sz w:val="18"/>
                <w:szCs w:val="18"/>
                <w:lang w:val="en-US" w:eastAsia="zh-CN"/>
              </w:rPr>
              <w:t>7</w:t>
            </w:r>
          </w:p>
        </w:tc>
        <w:tc>
          <w:tcPr>
            <w:tcW w:w="912" w:type="dxa"/>
            <w:shd w:val="clear" w:color="auto" w:fill="auto"/>
            <w:vAlign w:val="center"/>
          </w:tcPr>
          <w:p w14:paraId="358FC20D">
            <w:pPr>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废水处理浓缩液</w:t>
            </w:r>
          </w:p>
        </w:tc>
        <w:tc>
          <w:tcPr>
            <w:tcW w:w="823" w:type="dxa"/>
            <w:shd w:val="clear" w:color="auto" w:fill="auto"/>
            <w:vAlign w:val="center"/>
          </w:tcPr>
          <w:p w14:paraId="6F6F8E96">
            <w:pPr>
              <w:adjustRightInd w:val="0"/>
              <w:snapToGrid w:val="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color w:val="000000" w:themeColor="text1"/>
                <w:sz w:val="18"/>
                <w:szCs w:val="18"/>
                <w:lang w:val="en-US" w:eastAsia="zh-CN"/>
                <w14:textFill>
                  <w14:solidFill>
                    <w14:schemeClr w14:val="tx1"/>
                  </w14:solidFill>
                </w14:textFill>
              </w:rPr>
              <w:t>HW17</w:t>
            </w:r>
          </w:p>
        </w:tc>
        <w:tc>
          <w:tcPr>
            <w:tcW w:w="895" w:type="dxa"/>
            <w:shd w:val="clear" w:color="auto" w:fill="auto"/>
            <w:vAlign w:val="center"/>
          </w:tcPr>
          <w:p w14:paraId="0A58FF1F">
            <w:pPr>
              <w:adjustRightInd w:val="0"/>
              <w:snapToGrid w:val="0"/>
              <w:jc w:val="center"/>
              <w:rPr>
                <w:rFonts w:hint="default" w:ascii="Arial" w:hAnsi="Arial" w:eastAsia="宋体" w:cs="Arial"/>
                <w:color w:val="000000" w:themeColor="text1"/>
                <w:kern w:val="0"/>
                <w:sz w:val="18"/>
                <w:szCs w:val="18"/>
                <w:lang w:val="en-US" w:eastAsia="zh-CN" w:bidi="ar-SA"/>
                <w14:textFill>
                  <w14:solidFill>
                    <w14:schemeClr w14:val="tx1"/>
                  </w14:solidFill>
                </w14:textFill>
              </w:rPr>
            </w:pPr>
            <w:r>
              <w:rPr>
                <w:rFonts w:hint="default" w:ascii="Arial" w:hAnsi="Arial" w:eastAsia="宋体" w:cs="Arial"/>
                <w:bCs/>
                <w:color w:val="000000" w:themeColor="text1"/>
                <w:kern w:val="2"/>
                <w:sz w:val="18"/>
                <w:szCs w:val="18"/>
                <w:lang w:val="en-US" w:eastAsia="zh-CN" w:bidi="ar-SA"/>
                <w14:textFill>
                  <w14:solidFill>
                    <w14:schemeClr w14:val="tx1"/>
                  </w14:solidFill>
                </w14:textFill>
              </w:rPr>
              <w:t>900-007-09</w:t>
            </w:r>
          </w:p>
        </w:tc>
        <w:tc>
          <w:tcPr>
            <w:tcW w:w="825" w:type="dxa"/>
            <w:shd w:val="clear" w:color="auto" w:fill="auto"/>
            <w:vAlign w:val="center"/>
          </w:tcPr>
          <w:p w14:paraId="1AAD50B0">
            <w:pPr>
              <w:jc w:val="center"/>
              <w:rPr>
                <w:rFonts w:hint="default" w:ascii="Arial" w:hAnsi="Arial" w:eastAsia="宋体" w:cs="Arial"/>
                <w:color w:val="000000" w:themeColor="text1"/>
                <w:kern w:val="2"/>
                <w:sz w:val="18"/>
                <w:szCs w:val="18"/>
                <w:lang w:val="en-US" w:eastAsia="zh-CN" w:bidi="ar-SA"/>
                <w14:textFill>
                  <w14:solidFill>
                    <w14:schemeClr w14:val="tx1"/>
                  </w14:solidFill>
                </w14:textFill>
              </w:rPr>
            </w:pPr>
            <w:r>
              <w:rPr>
                <w:rFonts w:hint="default" w:ascii="Arial" w:hAnsi="Arial" w:eastAsia="宋体" w:cs="Arial"/>
                <w:color w:val="000000" w:themeColor="text1"/>
                <w:kern w:val="2"/>
                <w:sz w:val="18"/>
                <w:szCs w:val="18"/>
                <w:lang w:val="en-US" w:eastAsia="zh-CN" w:bidi="ar-SA"/>
                <w14:textFill>
                  <w14:solidFill>
                    <w14:schemeClr w14:val="tx1"/>
                  </w14:solidFill>
                </w14:textFill>
              </w:rPr>
              <w:t>127.9</w:t>
            </w:r>
          </w:p>
        </w:tc>
        <w:tc>
          <w:tcPr>
            <w:tcW w:w="750" w:type="dxa"/>
            <w:shd w:val="clear" w:color="auto" w:fill="auto"/>
            <w:vAlign w:val="center"/>
          </w:tcPr>
          <w:p w14:paraId="062F6A1F">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废水处理</w:t>
            </w:r>
          </w:p>
        </w:tc>
        <w:tc>
          <w:tcPr>
            <w:tcW w:w="439" w:type="dxa"/>
            <w:shd w:val="clear" w:color="auto" w:fill="auto"/>
            <w:vAlign w:val="center"/>
          </w:tcPr>
          <w:p w14:paraId="1A289C04">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液</w:t>
            </w:r>
          </w:p>
        </w:tc>
        <w:tc>
          <w:tcPr>
            <w:tcW w:w="933" w:type="dxa"/>
            <w:shd w:val="clear" w:color="auto" w:fill="auto"/>
            <w:vAlign w:val="center"/>
          </w:tcPr>
          <w:p w14:paraId="4C44C537">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有机物、矿物油</w:t>
            </w:r>
          </w:p>
        </w:tc>
        <w:tc>
          <w:tcPr>
            <w:tcW w:w="457" w:type="dxa"/>
            <w:shd w:val="clear" w:color="auto" w:fill="auto"/>
            <w:vAlign w:val="center"/>
          </w:tcPr>
          <w:p w14:paraId="1AA3C822">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每天</w:t>
            </w:r>
          </w:p>
        </w:tc>
        <w:tc>
          <w:tcPr>
            <w:tcW w:w="677" w:type="dxa"/>
            <w:shd w:val="clear" w:color="auto" w:fill="auto"/>
            <w:vAlign w:val="center"/>
          </w:tcPr>
          <w:p w14:paraId="26FFCB3C">
            <w:pPr>
              <w:snapToGrid w:val="0"/>
              <w:jc w:val="center"/>
              <w:rPr>
                <w:rFonts w:hint="default" w:ascii="Arial" w:hAnsi="Arial" w:eastAsia="宋体" w:cs="Arial"/>
                <w:kern w:val="0"/>
                <w:sz w:val="18"/>
                <w:szCs w:val="18"/>
                <w:lang w:val="en-US" w:eastAsia="zh-CN" w:bidi="ar-SA"/>
              </w:rPr>
            </w:pPr>
            <w:r>
              <w:rPr>
                <w:rFonts w:hint="default" w:ascii="Arial" w:hAnsi="Arial" w:eastAsia="宋体" w:cs="Arial"/>
                <w:kern w:val="0"/>
                <w:sz w:val="18"/>
                <w:szCs w:val="18"/>
                <w:lang w:val="en-US" w:eastAsia="zh-CN"/>
              </w:rPr>
              <w:t>T/C</w:t>
            </w:r>
          </w:p>
        </w:tc>
        <w:tc>
          <w:tcPr>
            <w:tcW w:w="1069" w:type="dxa"/>
            <w:shd w:val="clear" w:color="auto" w:fill="auto"/>
            <w:vAlign w:val="center"/>
          </w:tcPr>
          <w:p w14:paraId="222BC143">
            <w:pPr>
              <w:snapToGrid w:val="0"/>
              <w:jc w:val="center"/>
              <w:rPr>
                <w:rFonts w:hint="default" w:ascii="Arial" w:hAnsi="Arial" w:eastAsia="宋体" w:cs="Arial"/>
                <w:kern w:val="2"/>
                <w:sz w:val="18"/>
                <w:szCs w:val="18"/>
                <w:lang w:val="en-US" w:eastAsia="zh-CN" w:bidi="ar-SA"/>
              </w:rPr>
            </w:pPr>
            <w:r>
              <w:rPr>
                <w:rFonts w:hint="default" w:ascii="Arial" w:hAnsi="Arial" w:eastAsia="宋体" w:cs="Arial"/>
                <w:sz w:val="18"/>
                <w:szCs w:val="18"/>
                <w:lang w:val="en-US" w:eastAsia="zh-CN"/>
              </w:rPr>
              <w:t>在浓缩液专门存放区存放</w:t>
            </w:r>
            <w:r>
              <w:rPr>
                <w:rFonts w:hint="default" w:ascii="Arial" w:hAnsi="Arial" w:eastAsia="宋体" w:cs="Arial"/>
                <w:sz w:val="18"/>
                <w:szCs w:val="18"/>
              </w:rPr>
              <w:t>，委托有资质单位处置</w:t>
            </w:r>
          </w:p>
        </w:tc>
      </w:tr>
    </w:tbl>
    <w:p w14:paraId="7901906E">
      <w:pPr>
        <w:keepNext w:val="0"/>
        <w:keepLines w:val="0"/>
        <w:pageBreakBefore w:val="0"/>
        <w:widowControl w:val="0"/>
        <w:kinsoku/>
        <w:wordWrap/>
        <w:overflowPunct/>
        <w:topLinePunct w:val="0"/>
        <w:autoSpaceDE/>
        <w:autoSpaceDN/>
        <w:bidi w:val="0"/>
        <w:adjustRightInd/>
        <w:snapToGrid/>
        <w:spacing w:before="171" w:beforeLines="50" w:line="360" w:lineRule="auto"/>
        <w:textAlignment w:val="auto"/>
        <w:outlineLvl w:val="3"/>
        <w:rPr>
          <w:rFonts w:hint="default" w:ascii="Arial" w:hAnsi="Arial" w:eastAsia="宋体" w:cs="Arial"/>
          <w:b/>
          <w:bCs/>
          <w:sz w:val="24"/>
          <w:szCs w:val="24"/>
        </w:rPr>
      </w:pPr>
      <w:r>
        <w:rPr>
          <w:rFonts w:hint="default" w:ascii="Arial" w:hAnsi="Arial" w:eastAsia="宋体" w:cs="Arial"/>
          <w:b/>
          <w:bCs/>
          <w:sz w:val="24"/>
          <w:szCs w:val="24"/>
        </w:rPr>
        <w:t>4.2.4.3危险废物贮存场所环境影响分析</w:t>
      </w:r>
    </w:p>
    <w:p w14:paraId="3C55F3FD">
      <w:pPr>
        <w:snapToGrid w:val="0"/>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（1）建设项目</w:t>
      </w:r>
      <w:r>
        <w:rPr>
          <w:rFonts w:hint="default" w:ascii="Arial" w:hAnsi="Arial" w:eastAsia="宋体" w:cs="Arial"/>
          <w:sz w:val="24"/>
          <w:szCs w:val="24"/>
          <w:lang w:val="en-US" w:eastAsia="zh-CN"/>
        </w:rPr>
        <w:t>利用现有</w:t>
      </w:r>
      <w:r>
        <w:rPr>
          <w:rFonts w:hint="default" w:ascii="Arial" w:hAnsi="Arial" w:eastAsia="宋体" w:cs="Arial"/>
          <w:sz w:val="24"/>
          <w:szCs w:val="24"/>
        </w:rPr>
        <w:t>危废仓库</w:t>
      </w:r>
      <w:r>
        <w:rPr>
          <w:rFonts w:hint="default" w:ascii="Arial" w:hAnsi="Arial" w:eastAsia="宋体" w:cs="Arial"/>
          <w:sz w:val="24"/>
          <w:szCs w:val="24"/>
          <w:lang w:val="en-US" w:eastAsia="zh-CN"/>
        </w:rPr>
        <w:t>15</w:t>
      </w:r>
      <w:r>
        <w:rPr>
          <w:rFonts w:hint="default" w:ascii="Arial" w:hAnsi="Arial" w:eastAsia="宋体" w:cs="Arial"/>
          <w:sz w:val="24"/>
          <w:szCs w:val="24"/>
        </w:rPr>
        <w:t>m</w:t>
      </w:r>
      <w:r>
        <w:rPr>
          <w:rFonts w:hint="default" w:ascii="Arial" w:hAnsi="Arial" w:eastAsia="宋体" w:cs="Arial"/>
          <w:sz w:val="24"/>
          <w:szCs w:val="24"/>
          <w:vertAlign w:val="superscript"/>
        </w:rPr>
        <w:t>2</w:t>
      </w:r>
      <w:r>
        <w:rPr>
          <w:rFonts w:hint="default" w:ascii="Arial" w:hAnsi="Arial" w:eastAsia="宋体" w:cs="Arial"/>
          <w:sz w:val="24"/>
          <w:szCs w:val="24"/>
        </w:rPr>
        <w:t>，危废库独立隔间，暂存库及生产车间均采用水泥硬化、环氧树脂地坪铺设，距离周边敏感目标较远</w:t>
      </w:r>
      <w:r>
        <w:rPr>
          <w:rFonts w:hint="default" w:ascii="Arial" w:hAnsi="Arial" w:eastAsia="宋体" w:cs="Arial"/>
          <w:sz w:val="24"/>
          <w:szCs w:val="24"/>
          <w:lang w:eastAsia="zh-CN"/>
        </w:rPr>
        <w:t>。</w:t>
      </w:r>
      <w:r>
        <w:rPr>
          <w:rFonts w:hint="default" w:ascii="Arial" w:hAnsi="Arial" w:eastAsia="宋体" w:cs="Arial"/>
          <w:sz w:val="24"/>
          <w:szCs w:val="24"/>
          <w:lang w:val="en-US" w:eastAsia="zh-CN"/>
        </w:rPr>
        <w:t>此外，项目建设废水处理浓缩液专门贮存</w:t>
      </w:r>
      <w:r>
        <w:rPr>
          <w:rFonts w:hint="eastAsia" w:ascii="Arial" w:hAnsi="Arial" w:eastAsia="宋体" w:cs="Arial"/>
          <w:sz w:val="24"/>
          <w:szCs w:val="24"/>
          <w:lang w:val="en-US" w:eastAsia="zh-CN"/>
        </w:rPr>
        <w:t>库</w:t>
      </w:r>
      <w:r>
        <w:rPr>
          <w:rFonts w:hint="default" w:ascii="Arial" w:hAnsi="Arial" w:eastAsia="宋体" w:cs="Arial"/>
          <w:sz w:val="24"/>
          <w:szCs w:val="24"/>
          <w:lang w:val="en-US" w:eastAsia="zh-CN"/>
        </w:rPr>
        <w:t>，面积约40</w:t>
      </w:r>
      <w:r>
        <w:rPr>
          <w:rFonts w:hint="default" w:ascii="Arial" w:hAnsi="Arial" w:eastAsia="宋体" w:cs="Arial"/>
          <w:sz w:val="24"/>
          <w:szCs w:val="24"/>
        </w:rPr>
        <w:t>m</w:t>
      </w:r>
      <w:r>
        <w:rPr>
          <w:rFonts w:hint="default" w:ascii="Arial" w:hAnsi="Arial" w:eastAsia="宋体" w:cs="Arial"/>
          <w:sz w:val="24"/>
          <w:szCs w:val="24"/>
          <w:vertAlign w:val="superscript"/>
        </w:rPr>
        <w:t>2</w:t>
      </w:r>
      <w:r>
        <w:rPr>
          <w:rFonts w:hint="default" w:ascii="Arial" w:hAnsi="Arial" w:eastAsia="宋体" w:cs="Arial"/>
          <w:sz w:val="24"/>
          <w:szCs w:val="24"/>
          <w:lang w:val="en-US" w:eastAsia="zh-CN"/>
        </w:rPr>
        <w:t>，</w:t>
      </w:r>
      <w:r>
        <w:rPr>
          <w:rFonts w:hint="default" w:ascii="Arial" w:hAnsi="Arial" w:eastAsia="宋体" w:cs="Arial"/>
          <w:sz w:val="24"/>
          <w:szCs w:val="24"/>
        </w:rPr>
        <w:t>水泥硬化、环氧树脂地坪铺设</w:t>
      </w:r>
      <w:r>
        <w:rPr>
          <w:rFonts w:hint="default" w:ascii="Arial" w:hAnsi="Arial" w:eastAsia="宋体" w:cs="Arial"/>
          <w:sz w:val="24"/>
          <w:szCs w:val="24"/>
          <w:lang w:eastAsia="zh-CN"/>
        </w:rPr>
        <w:t>，</w:t>
      </w:r>
      <w:r>
        <w:rPr>
          <w:rFonts w:hint="default" w:ascii="Arial" w:hAnsi="Arial" w:eastAsia="宋体" w:cs="Arial"/>
          <w:sz w:val="24"/>
          <w:szCs w:val="24"/>
          <w:lang w:val="en-US" w:eastAsia="zh-CN"/>
        </w:rPr>
        <w:t>做到防风防晒防雨防渗漏。</w:t>
      </w:r>
      <w:r>
        <w:rPr>
          <w:rFonts w:hint="default" w:ascii="Arial" w:hAnsi="Arial" w:eastAsia="宋体" w:cs="Arial"/>
          <w:sz w:val="24"/>
          <w:szCs w:val="24"/>
        </w:rPr>
        <w:t>项目危险废物暂存不会对周围环境产生不良影响。</w:t>
      </w:r>
    </w:p>
    <w:p w14:paraId="2019CFD0">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（2）本项目</w:t>
      </w:r>
      <w:r>
        <w:rPr>
          <w:rFonts w:hint="default" w:ascii="Arial" w:hAnsi="Arial" w:eastAsia="宋体" w:cs="Arial"/>
          <w:sz w:val="24"/>
          <w:szCs w:val="24"/>
          <w:lang w:val="en-US" w:eastAsia="zh-CN"/>
        </w:rPr>
        <w:t>废含有金属屑、磨搓泥、废淬火液、废切削液、</w:t>
      </w:r>
      <w:r>
        <w:rPr>
          <w:rFonts w:hint="default" w:ascii="Arial" w:hAnsi="Arial" w:eastAsia="宋体" w:cs="Arial"/>
          <w:sz w:val="24"/>
          <w:szCs w:val="24"/>
        </w:rPr>
        <w:t>废化学品包装、</w:t>
      </w:r>
      <w:r>
        <w:rPr>
          <w:rFonts w:hint="default" w:ascii="Arial" w:hAnsi="Arial" w:eastAsia="宋体" w:cs="Arial"/>
          <w:sz w:val="24"/>
          <w:szCs w:val="24"/>
          <w:lang w:val="en-US" w:eastAsia="zh-CN"/>
        </w:rPr>
        <w:t>废水浓缩处理液</w:t>
      </w:r>
      <w:r>
        <w:rPr>
          <w:rFonts w:hint="default" w:ascii="Arial" w:hAnsi="Arial" w:eastAsia="宋体" w:cs="Arial"/>
          <w:sz w:val="24"/>
          <w:szCs w:val="24"/>
        </w:rPr>
        <w:t>、</w:t>
      </w:r>
      <w:r>
        <w:rPr>
          <w:rFonts w:hint="default" w:ascii="Arial" w:hAnsi="Arial" w:eastAsia="宋体" w:cs="Arial"/>
          <w:sz w:val="24"/>
          <w:szCs w:val="24"/>
          <w:lang w:val="en-US" w:eastAsia="zh-CN"/>
        </w:rPr>
        <w:t>废水处理废膜</w:t>
      </w:r>
      <w:r>
        <w:rPr>
          <w:rFonts w:hint="default" w:ascii="Arial" w:hAnsi="Arial" w:eastAsia="宋体" w:cs="Arial"/>
          <w:sz w:val="24"/>
          <w:szCs w:val="24"/>
        </w:rPr>
        <w:t>等的占用建设面积情况及分类储存情况见表4-</w:t>
      </w:r>
      <w:r>
        <w:rPr>
          <w:rFonts w:hint="default" w:ascii="Arial" w:hAnsi="Arial" w:eastAsia="宋体" w:cs="Arial"/>
          <w:sz w:val="24"/>
          <w:szCs w:val="24"/>
          <w:lang w:val="en-US" w:eastAsia="zh-CN"/>
        </w:rPr>
        <w:t>1</w:t>
      </w:r>
      <w:r>
        <w:rPr>
          <w:rFonts w:hint="eastAsia" w:ascii="Arial" w:hAnsi="Arial" w:eastAsia="宋体" w:cs="Arial"/>
          <w:sz w:val="24"/>
          <w:szCs w:val="24"/>
          <w:lang w:val="en-US" w:eastAsia="zh-CN"/>
        </w:rPr>
        <w:t>9</w:t>
      </w:r>
      <w:r>
        <w:rPr>
          <w:rFonts w:hint="default" w:ascii="Arial" w:hAnsi="Arial" w:eastAsia="宋体" w:cs="Arial"/>
          <w:sz w:val="24"/>
          <w:szCs w:val="24"/>
        </w:rPr>
        <w:t>。</w:t>
      </w:r>
    </w:p>
    <w:p w14:paraId="42332AD0">
      <w:pPr>
        <w:spacing w:line="360" w:lineRule="auto"/>
        <w:ind w:firstLine="480" w:firstLineChars="200"/>
        <w:rPr>
          <w:rFonts w:hint="default" w:ascii="Arial" w:hAnsi="Arial" w:eastAsia="宋体" w:cs="Arial"/>
          <w:sz w:val="24"/>
          <w:szCs w:val="24"/>
        </w:rPr>
      </w:pPr>
    </w:p>
    <w:p w14:paraId="31DAA42D">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本项目危险废物贮存情况</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913"/>
        <w:gridCol w:w="1236"/>
        <w:gridCol w:w="970"/>
        <w:gridCol w:w="1139"/>
        <w:gridCol w:w="962"/>
        <w:gridCol w:w="701"/>
        <w:gridCol w:w="703"/>
        <w:gridCol w:w="750"/>
      </w:tblGrid>
      <w:tr w14:paraId="2CC4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2B241004">
            <w:pPr>
              <w:jc w:val="center"/>
              <w:rPr>
                <w:rFonts w:hint="default" w:ascii="Arial" w:hAnsi="Arial" w:eastAsia="宋体" w:cs="Arial"/>
                <w:szCs w:val="21"/>
              </w:rPr>
            </w:pPr>
            <w:r>
              <w:rPr>
                <w:rFonts w:hint="default" w:ascii="Arial" w:hAnsi="Arial" w:eastAsia="宋体" w:cs="Arial"/>
                <w:szCs w:val="21"/>
              </w:rPr>
              <w:t>序号</w:t>
            </w:r>
          </w:p>
        </w:tc>
        <w:tc>
          <w:tcPr>
            <w:tcW w:w="913" w:type="dxa"/>
            <w:vAlign w:val="center"/>
          </w:tcPr>
          <w:p w14:paraId="1FD8C7FD">
            <w:pPr>
              <w:jc w:val="center"/>
              <w:rPr>
                <w:rFonts w:hint="default" w:ascii="Arial" w:hAnsi="Arial" w:eastAsia="宋体" w:cs="Arial"/>
                <w:szCs w:val="21"/>
              </w:rPr>
            </w:pPr>
            <w:r>
              <w:rPr>
                <w:rFonts w:hint="default" w:ascii="Arial" w:hAnsi="Arial" w:eastAsia="宋体" w:cs="Arial"/>
                <w:szCs w:val="21"/>
              </w:rPr>
              <w:t>贮存场所名称</w:t>
            </w:r>
          </w:p>
        </w:tc>
        <w:tc>
          <w:tcPr>
            <w:tcW w:w="1236" w:type="dxa"/>
            <w:vAlign w:val="center"/>
          </w:tcPr>
          <w:p w14:paraId="6F8D9545">
            <w:pPr>
              <w:jc w:val="center"/>
              <w:rPr>
                <w:rFonts w:hint="default" w:ascii="Arial" w:hAnsi="Arial" w:eastAsia="宋体" w:cs="Arial"/>
                <w:szCs w:val="21"/>
              </w:rPr>
            </w:pPr>
            <w:r>
              <w:rPr>
                <w:rFonts w:hint="default" w:ascii="Arial" w:hAnsi="Arial" w:eastAsia="宋体" w:cs="Arial"/>
                <w:szCs w:val="21"/>
              </w:rPr>
              <w:t>危险废物名称</w:t>
            </w:r>
          </w:p>
        </w:tc>
        <w:tc>
          <w:tcPr>
            <w:tcW w:w="970" w:type="dxa"/>
            <w:vAlign w:val="center"/>
          </w:tcPr>
          <w:p w14:paraId="1F4280D1">
            <w:pPr>
              <w:jc w:val="center"/>
              <w:rPr>
                <w:rFonts w:hint="default" w:ascii="Arial" w:hAnsi="Arial" w:eastAsia="宋体" w:cs="Arial"/>
                <w:szCs w:val="21"/>
              </w:rPr>
            </w:pPr>
            <w:r>
              <w:rPr>
                <w:rFonts w:hint="default" w:ascii="Arial" w:hAnsi="Arial" w:eastAsia="宋体" w:cs="Arial"/>
                <w:szCs w:val="21"/>
              </w:rPr>
              <w:t>危险废物类别</w:t>
            </w:r>
          </w:p>
        </w:tc>
        <w:tc>
          <w:tcPr>
            <w:tcW w:w="1139" w:type="dxa"/>
            <w:vAlign w:val="center"/>
          </w:tcPr>
          <w:p w14:paraId="62B6D55F">
            <w:pPr>
              <w:jc w:val="center"/>
              <w:rPr>
                <w:rFonts w:hint="default" w:ascii="Arial" w:hAnsi="Arial" w:eastAsia="宋体" w:cs="Arial"/>
                <w:szCs w:val="21"/>
              </w:rPr>
            </w:pPr>
            <w:r>
              <w:rPr>
                <w:rFonts w:hint="default" w:ascii="Arial" w:hAnsi="Arial" w:eastAsia="宋体" w:cs="Arial"/>
                <w:szCs w:val="21"/>
              </w:rPr>
              <w:t>危险废物代码</w:t>
            </w:r>
          </w:p>
        </w:tc>
        <w:tc>
          <w:tcPr>
            <w:tcW w:w="962" w:type="dxa"/>
            <w:vAlign w:val="center"/>
          </w:tcPr>
          <w:p w14:paraId="24B61DDA">
            <w:pPr>
              <w:jc w:val="center"/>
              <w:rPr>
                <w:rFonts w:hint="default" w:ascii="Arial" w:hAnsi="Arial" w:eastAsia="宋体" w:cs="Arial"/>
                <w:szCs w:val="21"/>
              </w:rPr>
            </w:pPr>
            <w:r>
              <w:rPr>
                <w:rFonts w:hint="default" w:ascii="Arial" w:hAnsi="Arial" w:eastAsia="宋体" w:cs="Arial"/>
                <w:szCs w:val="21"/>
              </w:rPr>
              <w:t>占用面积（m</w:t>
            </w:r>
            <w:r>
              <w:rPr>
                <w:rFonts w:hint="default" w:ascii="Arial" w:hAnsi="Arial" w:eastAsia="宋体" w:cs="Arial"/>
                <w:szCs w:val="21"/>
                <w:vertAlign w:val="superscript"/>
              </w:rPr>
              <w:t>2</w:t>
            </w:r>
            <w:r>
              <w:rPr>
                <w:rFonts w:hint="default" w:ascii="Arial" w:hAnsi="Arial" w:eastAsia="宋体" w:cs="Arial"/>
                <w:szCs w:val="21"/>
              </w:rPr>
              <w:t>）</w:t>
            </w:r>
          </w:p>
        </w:tc>
        <w:tc>
          <w:tcPr>
            <w:tcW w:w="701" w:type="dxa"/>
            <w:vAlign w:val="center"/>
          </w:tcPr>
          <w:p w14:paraId="0A39B371">
            <w:pPr>
              <w:jc w:val="center"/>
              <w:rPr>
                <w:rFonts w:hint="default" w:ascii="Arial" w:hAnsi="Arial" w:eastAsia="宋体" w:cs="Arial"/>
                <w:szCs w:val="21"/>
              </w:rPr>
            </w:pPr>
            <w:r>
              <w:rPr>
                <w:rFonts w:hint="default" w:ascii="Arial" w:hAnsi="Arial" w:eastAsia="宋体" w:cs="Arial"/>
                <w:szCs w:val="21"/>
              </w:rPr>
              <w:t>贮存方式</w:t>
            </w:r>
          </w:p>
        </w:tc>
        <w:tc>
          <w:tcPr>
            <w:tcW w:w="703" w:type="dxa"/>
            <w:vAlign w:val="center"/>
          </w:tcPr>
          <w:p w14:paraId="43884CC4">
            <w:pPr>
              <w:jc w:val="center"/>
              <w:rPr>
                <w:rFonts w:hint="default" w:ascii="Arial" w:hAnsi="Arial" w:eastAsia="宋体" w:cs="Arial"/>
                <w:szCs w:val="21"/>
              </w:rPr>
            </w:pPr>
            <w:r>
              <w:rPr>
                <w:rFonts w:hint="default" w:ascii="Arial" w:hAnsi="Arial" w:eastAsia="宋体" w:cs="Arial"/>
                <w:szCs w:val="21"/>
              </w:rPr>
              <w:t>贮存能力（t）</w:t>
            </w:r>
          </w:p>
        </w:tc>
        <w:tc>
          <w:tcPr>
            <w:tcW w:w="750" w:type="dxa"/>
            <w:vAlign w:val="center"/>
          </w:tcPr>
          <w:p w14:paraId="60C2EF83">
            <w:pPr>
              <w:jc w:val="center"/>
              <w:rPr>
                <w:rFonts w:hint="default" w:ascii="Arial" w:hAnsi="Arial" w:eastAsia="宋体" w:cs="Arial"/>
                <w:szCs w:val="21"/>
              </w:rPr>
            </w:pPr>
            <w:r>
              <w:rPr>
                <w:rFonts w:hint="default" w:ascii="Arial" w:hAnsi="Arial" w:eastAsia="宋体" w:cs="Arial"/>
                <w:szCs w:val="21"/>
              </w:rPr>
              <w:t>贮存周期</w:t>
            </w:r>
          </w:p>
        </w:tc>
      </w:tr>
      <w:tr w14:paraId="3B8B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15D2D42E">
            <w:pPr>
              <w:jc w:val="center"/>
              <w:rPr>
                <w:rFonts w:hint="default" w:ascii="Arial" w:hAnsi="Arial" w:eastAsia="宋体" w:cs="Arial"/>
                <w:szCs w:val="21"/>
              </w:rPr>
            </w:pPr>
            <w:r>
              <w:rPr>
                <w:rFonts w:hint="default" w:ascii="Arial" w:hAnsi="Arial" w:eastAsia="宋体" w:cs="Arial"/>
                <w:szCs w:val="21"/>
              </w:rPr>
              <w:t>1</w:t>
            </w:r>
          </w:p>
        </w:tc>
        <w:tc>
          <w:tcPr>
            <w:tcW w:w="913" w:type="dxa"/>
            <w:vMerge w:val="restart"/>
            <w:shd w:val="clear" w:color="auto" w:fill="auto"/>
            <w:vAlign w:val="center"/>
          </w:tcPr>
          <w:p w14:paraId="1AAF73F2">
            <w:pPr>
              <w:widowControl/>
              <w:jc w:val="left"/>
              <w:rPr>
                <w:rFonts w:hint="default" w:ascii="Arial" w:hAnsi="Arial" w:eastAsia="宋体" w:cs="Arial"/>
                <w:kern w:val="2"/>
                <w:sz w:val="21"/>
                <w:szCs w:val="21"/>
                <w:lang w:val="en-US" w:eastAsia="zh-CN" w:bidi="ar-SA"/>
              </w:rPr>
            </w:pPr>
            <w:r>
              <w:rPr>
                <w:rFonts w:hint="default" w:ascii="Arial" w:hAnsi="Arial" w:eastAsia="宋体" w:cs="Arial"/>
                <w:szCs w:val="21"/>
              </w:rPr>
              <w:t>危废仓库暂存</w:t>
            </w:r>
          </w:p>
        </w:tc>
        <w:tc>
          <w:tcPr>
            <w:tcW w:w="1236" w:type="dxa"/>
            <w:shd w:val="clear" w:color="auto" w:fill="auto"/>
            <w:vAlign w:val="center"/>
          </w:tcPr>
          <w:p w14:paraId="792328E1">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废含油金属屑</w:t>
            </w:r>
          </w:p>
        </w:tc>
        <w:tc>
          <w:tcPr>
            <w:tcW w:w="970" w:type="dxa"/>
            <w:shd w:val="clear" w:color="auto" w:fill="auto"/>
            <w:vAlign w:val="center"/>
          </w:tcPr>
          <w:p w14:paraId="72961601">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bCs/>
                <w:kern w:val="2"/>
                <w:sz w:val="21"/>
                <w:szCs w:val="21"/>
                <w:lang w:val="en-US" w:eastAsia="zh-CN" w:bidi="ar-SA"/>
              </w:rPr>
            </w:pPr>
            <w:r>
              <w:rPr>
                <w:rFonts w:hint="default" w:ascii="Arial" w:hAnsi="Arial" w:cs="Arial"/>
                <w:sz w:val="18"/>
                <w:szCs w:val="18"/>
              </w:rPr>
              <w:t>HW09</w:t>
            </w:r>
          </w:p>
        </w:tc>
        <w:tc>
          <w:tcPr>
            <w:tcW w:w="1139" w:type="dxa"/>
            <w:shd w:val="clear" w:color="auto" w:fill="auto"/>
            <w:vAlign w:val="center"/>
          </w:tcPr>
          <w:p w14:paraId="73F97E75">
            <w:pPr>
              <w:keepNext w:val="0"/>
              <w:keepLines w:val="0"/>
              <w:pageBreakBefore w:val="0"/>
              <w:kinsoku/>
              <w:wordWrap/>
              <w:overflowPunct/>
              <w:topLinePunct w:val="0"/>
              <w:autoSpaceDE/>
              <w:autoSpaceDN/>
              <w:bidi w:val="0"/>
              <w:adjustRightInd w:val="0"/>
              <w:snapToGrid w:val="0"/>
              <w:jc w:val="center"/>
              <w:textAlignment w:val="auto"/>
              <w:rPr>
                <w:rFonts w:hint="default" w:ascii="Arial" w:hAnsi="Arial" w:eastAsia="宋体" w:cs="Arial"/>
                <w:bCs/>
                <w:kern w:val="2"/>
                <w:sz w:val="21"/>
                <w:szCs w:val="21"/>
                <w:lang w:val="en-US" w:eastAsia="zh-CN" w:bidi="ar-SA"/>
              </w:rPr>
            </w:pPr>
            <w:r>
              <w:rPr>
                <w:rFonts w:hint="default" w:ascii="Arial" w:hAnsi="Arial" w:cs="Arial"/>
                <w:sz w:val="18"/>
                <w:szCs w:val="18"/>
              </w:rPr>
              <w:t>900-006-09</w:t>
            </w:r>
          </w:p>
        </w:tc>
        <w:tc>
          <w:tcPr>
            <w:tcW w:w="962" w:type="dxa"/>
            <w:vAlign w:val="center"/>
          </w:tcPr>
          <w:p w14:paraId="07429075">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1.4</w:t>
            </w:r>
          </w:p>
        </w:tc>
        <w:tc>
          <w:tcPr>
            <w:tcW w:w="701" w:type="dxa"/>
            <w:vAlign w:val="center"/>
          </w:tcPr>
          <w:p w14:paraId="61215F27">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密封袋</w:t>
            </w:r>
          </w:p>
        </w:tc>
        <w:tc>
          <w:tcPr>
            <w:tcW w:w="703" w:type="dxa"/>
            <w:vAlign w:val="center"/>
          </w:tcPr>
          <w:p w14:paraId="6AB091BB">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5</w:t>
            </w:r>
          </w:p>
        </w:tc>
        <w:tc>
          <w:tcPr>
            <w:tcW w:w="750" w:type="dxa"/>
            <w:vAlign w:val="center"/>
          </w:tcPr>
          <w:p w14:paraId="51A9ED1B">
            <w:pPr>
              <w:jc w:val="center"/>
              <w:rPr>
                <w:rFonts w:hint="default" w:ascii="Arial" w:hAnsi="Arial" w:eastAsia="宋体" w:cs="Arial"/>
                <w:color w:val="000000" w:themeColor="text1"/>
                <w:szCs w:val="21"/>
                <w:lang w:val="en-US" w:eastAsia="zh-CN"/>
                <w14:textFill>
                  <w14:solidFill>
                    <w14:schemeClr w14:val="tx1"/>
                  </w14:solidFill>
                </w14:textFill>
              </w:rPr>
            </w:pPr>
            <w:r>
              <w:rPr>
                <w:rFonts w:hint="default" w:ascii="Arial" w:hAnsi="Arial" w:eastAsia="宋体" w:cs="Arial"/>
                <w:color w:val="000000" w:themeColor="text1"/>
                <w:szCs w:val="21"/>
                <w:lang w:val="en-US" w:eastAsia="zh-CN"/>
                <w14:textFill>
                  <w14:solidFill>
                    <w14:schemeClr w14:val="tx1"/>
                  </w14:solidFill>
                </w14:textFill>
              </w:rPr>
              <w:t>年</w:t>
            </w:r>
          </w:p>
        </w:tc>
      </w:tr>
      <w:tr w14:paraId="245D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05AFEF1C">
            <w:pPr>
              <w:jc w:val="center"/>
              <w:rPr>
                <w:rFonts w:hint="default" w:ascii="Arial" w:hAnsi="Arial" w:eastAsia="宋体" w:cs="Arial"/>
                <w:szCs w:val="21"/>
              </w:rPr>
            </w:pPr>
            <w:r>
              <w:rPr>
                <w:rFonts w:hint="default" w:ascii="Arial" w:hAnsi="Arial" w:eastAsia="宋体" w:cs="Arial"/>
                <w:szCs w:val="21"/>
              </w:rPr>
              <w:t>2</w:t>
            </w:r>
          </w:p>
        </w:tc>
        <w:tc>
          <w:tcPr>
            <w:tcW w:w="913" w:type="dxa"/>
            <w:vMerge w:val="continue"/>
            <w:shd w:val="clear" w:color="auto" w:fill="auto"/>
            <w:vAlign w:val="center"/>
          </w:tcPr>
          <w:p w14:paraId="32A2A9BE">
            <w:pPr>
              <w:widowControl/>
              <w:jc w:val="left"/>
              <w:rPr>
                <w:rFonts w:hint="default" w:ascii="Arial" w:hAnsi="Arial" w:eastAsia="宋体" w:cs="Arial"/>
                <w:kern w:val="2"/>
                <w:sz w:val="21"/>
                <w:szCs w:val="21"/>
                <w:lang w:val="en-US" w:eastAsia="zh-CN" w:bidi="ar-SA"/>
              </w:rPr>
            </w:pPr>
          </w:p>
        </w:tc>
        <w:tc>
          <w:tcPr>
            <w:tcW w:w="1236" w:type="dxa"/>
            <w:shd w:val="clear" w:color="auto" w:fill="auto"/>
            <w:vAlign w:val="center"/>
          </w:tcPr>
          <w:p w14:paraId="55A52B88">
            <w:pPr>
              <w:jc w:val="center"/>
              <w:rPr>
                <w:rFonts w:hint="default" w:ascii="Arial" w:hAnsi="Arial" w:eastAsia="宋体" w:cs="Arial"/>
                <w:bCs/>
                <w:kern w:val="2"/>
                <w:sz w:val="21"/>
                <w:szCs w:val="21"/>
                <w:lang w:val="en-US" w:eastAsia="zh-CN" w:bidi="ar-SA"/>
              </w:rPr>
            </w:pPr>
            <w:r>
              <w:rPr>
                <w:rFonts w:hint="default" w:ascii="Arial" w:hAnsi="Arial" w:eastAsia="宋体" w:cs="Arial"/>
                <w:bCs/>
                <w:kern w:val="2"/>
                <w:sz w:val="21"/>
                <w:szCs w:val="21"/>
                <w:lang w:val="en-US" w:eastAsia="zh-CN" w:bidi="ar-SA"/>
              </w:rPr>
              <w:t>磨搓泥</w:t>
            </w:r>
          </w:p>
        </w:tc>
        <w:tc>
          <w:tcPr>
            <w:tcW w:w="970" w:type="dxa"/>
            <w:shd w:val="clear" w:color="auto" w:fill="auto"/>
            <w:vAlign w:val="center"/>
          </w:tcPr>
          <w:p w14:paraId="42D6C182">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HW08</w:t>
            </w:r>
          </w:p>
        </w:tc>
        <w:tc>
          <w:tcPr>
            <w:tcW w:w="1139" w:type="dxa"/>
            <w:shd w:val="clear" w:color="auto" w:fill="auto"/>
            <w:vAlign w:val="center"/>
          </w:tcPr>
          <w:p w14:paraId="559C2D9E">
            <w:pPr>
              <w:adjustRightInd w:val="0"/>
              <w:snapToGrid w:val="0"/>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900-200-08</w:t>
            </w:r>
          </w:p>
        </w:tc>
        <w:tc>
          <w:tcPr>
            <w:tcW w:w="962" w:type="dxa"/>
            <w:shd w:val="clear" w:color="auto" w:fill="auto"/>
            <w:vAlign w:val="center"/>
          </w:tcPr>
          <w:p w14:paraId="6DA9C065">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2.9</w:t>
            </w:r>
          </w:p>
        </w:tc>
        <w:tc>
          <w:tcPr>
            <w:tcW w:w="701" w:type="dxa"/>
            <w:shd w:val="clear" w:color="auto" w:fill="auto"/>
            <w:vAlign w:val="center"/>
          </w:tcPr>
          <w:p w14:paraId="7CB24145">
            <w:pPr>
              <w:jc w:val="center"/>
              <w:rPr>
                <w:rFonts w:hint="default" w:ascii="Arial" w:hAnsi="Arial" w:eastAsia="宋体" w:cs="Arial"/>
                <w:kern w:val="2"/>
                <w:sz w:val="21"/>
                <w:szCs w:val="21"/>
                <w:lang w:val="en-US" w:eastAsia="zh-CN" w:bidi="ar-SA"/>
              </w:rPr>
            </w:pPr>
            <w:r>
              <w:rPr>
                <w:rFonts w:hint="default" w:ascii="Arial" w:hAnsi="Arial" w:eastAsia="宋体" w:cs="Arial"/>
                <w:sz w:val="21"/>
                <w:szCs w:val="21"/>
              </w:rPr>
              <w:t>密封</w:t>
            </w:r>
            <w:r>
              <w:rPr>
                <w:rFonts w:hint="default" w:ascii="Arial" w:hAnsi="Arial" w:eastAsia="宋体" w:cs="Arial"/>
                <w:sz w:val="21"/>
                <w:szCs w:val="21"/>
                <w:lang w:val="en-US" w:eastAsia="zh-CN"/>
              </w:rPr>
              <w:t>袋</w:t>
            </w:r>
          </w:p>
        </w:tc>
        <w:tc>
          <w:tcPr>
            <w:tcW w:w="703" w:type="dxa"/>
            <w:shd w:val="clear" w:color="auto" w:fill="auto"/>
            <w:vAlign w:val="center"/>
          </w:tcPr>
          <w:p w14:paraId="3B46BC14">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12</w:t>
            </w:r>
          </w:p>
        </w:tc>
        <w:tc>
          <w:tcPr>
            <w:tcW w:w="750" w:type="dxa"/>
            <w:shd w:val="clear" w:color="auto" w:fill="auto"/>
            <w:vAlign w:val="center"/>
          </w:tcPr>
          <w:p w14:paraId="40EBEF1E">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年</w:t>
            </w:r>
          </w:p>
        </w:tc>
      </w:tr>
      <w:tr w14:paraId="3F68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2E4C2C35">
            <w:pPr>
              <w:jc w:val="center"/>
              <w:rPr>
                <w:rFonts w:hint="default" w:ascii="Arial" w:hAnsi="Arial" w:eastAsia="宋体" w:cs="Arial"/>
                <w:szCs w:val="21"/>
                <w:lang w:val="en-US" w:eastAsia="zh-CN"/>
              </w:rPr>
            </w:pPr>
            <w:r>
              <w:rPr>
                <w:rFonts w:hint="default" w:ascii="Arial" w:hAnsi="Arial" w:eastAsia="宋体" w:cs="Arial"/>
                <w:szCs w:val="21"/>
                <w:lang w:val="en-US" w:eastAsia="zh-CN"/>
              </w:rPr>
              <w:t>3</w:t>
            </w:r>
          </w:p>
        </w:tc>
        <w:tc>
          <w:tcPr>
            <w:tcW w:w="913" w:type="dxa"/>
            <w:vMerge w:val="continue"/>
            <w:vAlign w:val="center"/>
          </w:tcPr>
          <w:p w14:paraId="13DC5DC1">
            <w:pPr>
              <w:widowControl/>
              <w:jc w:val="left"/>
              <w:rPr>
                <w:rFonts w:hint="default" w:ascii="Arial" w:hAnsi="Arial" w:eastAsia="宋体" w:cs="Arial"/>
                <w:szCs w:val="21"/>
              </w:rPr>
            </w:pPr>
          </w:p>
        </w:tc>
        <w:tc>
          <w:tcPr>
            <w:tcW w:w="1236" w:type="dxa"/>
            <w:shd w:val="clear" w:color="auto" w:fill="auto"/>
            <w:vAlign w:val="center"/>
          </w:tcPr>
          <w:p w14:paraId="35F8CDFC">
            <w:pPr>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废淬火液</w:t>
            </w:r>
          </w:p>
        </w:tc>
        <w:tc>
          <w:tcPr>
            <w:tcW w:w="970" w:type="dxa"/>
            <w:shd w:val="clear" w:color="auto" w:fill="auto"/>
            <w:vAlign w:val="center"/>
          </w:tcPr>
          <w:p w14:paraId="49612085">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HW09</w:t>
            </w:r>
          </w:p>
        </w:tc>
        <w:tc>
          <w:tcPr>
            <w:tcW w:w="1139" w:type="dxa"/>
            <w:shd w:val="clear" w:color="auto" w:fill="auto"/>
            <w:vAlign w:val="center"/>
          </w:tcPr>
          <w:p w14:paraId="720214E3">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900-007-09</w:t>
            </w:r>
          </w:p>
        </w:tc>
        <w:tc>
          <w:tcPr>
            <w:tcW w:w="962" w:type="dxa"/>
            <w:vAlign w:val="center"/>
          </w:tcPr>
          <w:p w14:paraId="40762F50">
            <w:pPr>
              <w:jc w:val="center"/>
              <w:rPr>
                <w:rFonts w:hint="default" w:ascii="Arial" w:hAnsi="Arial" w:eastAsia="宋体" w:cs="Arial"/>
                <w:szCs w:val="21"/>
                <w:lang w:val="en-US" w:eastAsia="zh-CN"/>
              </w:rPr>
            </w:pPr>
            <w:r>
              <w:rPr>
                <w:rFonts w:hint="default" w:ascii="Arial" w:hAnsi="Arial" w:eastAsia="宋体" w:cs="Arial"/>
                <w:szCs w:val="21"/>
                <w:lang w:val="en-US" w:eastAsia="zh-CN"/>
              </w:rPr>
              <w:t>0.4</w:t>
            </w:r>
          </w:p>
        </w:tc>
        <w:tc>
          <w:tcPr>
            <w:tcW w:w="701" w:type="dxa"/>
            <w:vAlign w:val="center"/>
          </w:tcPr>
          <w:p w14:paraId="36F6788D">
            <w:pPr>
              <w:jc w:val="center"/>
              <w:rPr>
                <w:rFonts w:hint="default" w:ascii="Arial" w:hAnsi="Arial" w:eastAsia="宋体" w:cs="Arial"/>
                <w:szCs w:val="21"/>
                <w:lang w:val="en-US" w:eastAsia="zh-CN"/>
              </w:rPr>
            </w:pPr>
            <w:r>
              <w:rPr>
                <w:rFonts w:hint="default" w:ascii="Arial" w:hAnsi="Arial" w:eastAsia="宋体" w:cs="Arial"/>
                <w:sz w:val="21"/>
                <w:szCs w:val="21"/>
              </w:rPr>
              <w:t>密封桶</w:t>
            </w:r>
          </w:p>
        </w:tc>
        <w:tc>
          <w:tcPr>
            <w:tcW w:w="703" w:type="dxa"/>
            <w:vAlign w:val="center"/>
          </w:tcPr>
          <w:p w14:paraId="30D271ED">
            <w:pPr>
              <w:jc w:val="center"/>
              <w:rPr>
                <w:rFonts w:hint="default" w:ascii="Arial" w:hAnsi="Arial" w:eastAsia="宋体" w:cs="Arial"/>
                <w:szCs w:val="21"/>
                <w:lang w:val="en-US" w:eastAsia="zh-CN"/>
              </w:rPr>
            </w:pPr>
            <w:r>
              <w:rPr>
                <w:rFonts w:hint="default" w:ascii="Arial" w:hAnsi="Arial" w:eastAsia="宋体" w:cs="Arial"/>
                <w:szCs w:val="21"/>
                <w:lang w:val="en-US" w:eastAsia="zh-CN"/>
              </w:rPr>
              <w:t>1.0</w:t>
            </w:r>
          </w:p>
        </w:tc>
        <w:tc>
          <w:tcPr>
            <w:tcW w:w="750" w:type="dxa"/>
            <w:vAlign w:val="center"/>
          </w:tcPr>
          <w:p w14:paraId="4037E94F">
            <w:pPr>
              <w:jc w:val="center"/>
              <w:rPr>
                <w:rFonts w:hint="default" w:ascii="Arial" w:hAnsi="Arial" w:eastAsia="宋体" w:cs="Arial"/>
                <w:szCs w:val="21"/>
                <w:lang w:val="en-US" w:eastAsia="zh-CN"/>
              </w:rPr>
            </w:pPr>
            <w:r>
              <w:rPr>
                <w:rFonts w:hint="default" w:ascii="Arial" w:hAnsi="Arial" w:eastAsia="宋体" w:cs="Arial"/>
                <w:szCs w:val="21"/>
                <w:lang w:val="en-US" w:eastAsia="zh-CN"/>
              </w:rPr>
              <w:t>每天</w:t>
            </w:r>
          </w:p>
        </w:tc>
      </w:tr>
      <w:tr w14:paraId="1DFD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2837B449">
            <w:pPr>
              <w:jc w:val="center"/>
              <w:rPr>
                <w:rFonts w:hint="default" w:ascii="Arial" w:hAnsi="Arial" w:eastAsia="宋体" w:cs="Arial"/>
                <w:szCs w:val="21"/>
                <w:lang w:val="en-US" w:eastAsia="zh-CN"/>
              </w:rPr>
            </w:pPr>
            <w:r>
              <w:rPr>
                <w:rFonts w:hint="default" w:ascii="Arial" w:hAnsi="Arial" w:eastAsia="宋体" w:cs="Arial"/>
                <w:szCs w:val="21"/>
                <w:lang w:val="en-US" w:eastAsia="zh-CN"/>
              </w:rPr>
              <w:t>4</w:t>
            </w:r>
          </w:p>
        </w:tc>
        <w:tc>
          <w:tcPr>
            <w:tcW w:w="913" w:type="dxa"/>
            <w:vMerge w:val="continue"/>
            <w:vAlign w:val="center"/>
          </w:tcPr>
          <w:p w14:paraId="7F1CE433">
            <w:pPr>
              <w:widowControl/>
              <w:jc w:val="left"/>
              <w:rPr>
                <w:rFonts w:hint="default" w:ascii="Arial" w:hAnsi="Arial" w:eastAsia="宋体" w:cs="Arial"/>
                <w:szCs w:val="21"/>
              </w:rPr>
            </w:pPr>
          </w:p>
        </w:tc>
        <w:tc>
          <w:tcPr>
            <w:tcW w:w="1236" w:type="dxa"/>
            <w:shd w:val="clear" w:color="auto" w:fill="auto"/>
            <w:vAlign w:val="center"/>
          </w:tcPr>
          <w:p w14:paraId="41179010">
            <w:pPr>
              <w:jc w:val="center"/>
              <w:rPr>
                <w:rFonts w:hint="default" w:ascii="Arial" w:hAnsi="Arial" w:eastAsia="宋体" w:cs="Arial"/>
                <w:bCs/>
                <w:kern w:val="2"/>
                <w:sz w:val="21"/>
                <w:szCs w:val="21"/>
                <w:lang w:val="en-US" w:eastAsia="zh-CN" w:bidi="ar-SA"/>
              </w:rPr>
            </w:pPr>
            <w:r>
              <w:rPr>
                <w:rFonts w:hint="default" w:ascii="Arial" w:hAnsi="Arial" w:eastAsia="宋体" w:cs="Arial"/>
                <w:bCs/>
                <w:szCs w:val="21"/>
                <w:lang w:val="en-US" w:eastAsia="zh-CN"/>
              </w:rPr>
              <w:t>废切削液</w:t>
            </w:r>
          </w:p>
        </w:tc>
        <w:tc>
          <w:tcPr>
            <w:tcW w:w="970" w:type="dxa"/>
            <w:shd w:val="clear" w:color="auto" w:fill="auto"/>
            <w:vAlign w:val="center"/>
          </w:tcPr>
          <w:p w14:paraId="600FAAB5">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HW09</w:t>
            </w:r>
          </w:p>
        </w:tc>
        <w:tc>
          <w:tcPr>
            <w:tcW w:w="1139" w:type="dxa"/>
            <w:shd w:val="clear" w:color="auto" w:fill="auto"/>
            <w:vAlign w:val="center"/>
          </w:tcPr>
          <w:p w14:paraId="77BF5A40">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900-006-09</w:t>
            </w:r>
          </w:p>
        </w:tc>
        <w:tc>
          <w:tcPr>
            <w:tcW w:w="962" w:type="dxa"/>
            <w:vAlign w:val="center"/>
          </w:tcPr>
          <w:p w14:paraId="3DB1D0F6">
            <w:pPr>
              <w:jc w:val="center"/>
              <w:rPr>
                <w:rFonts w:hint="default" w:ascii="Arial" w:hAnsi="Arial" w:eastAsia="宋体" w:cs="Arial"/>
                <w:szCs w:val="21"/>
                <w:lang w:val="en-US" w:eastAsia="zh-CN"/>
              </w:rPr>
            </w:pPr>
            <w:r>
              <w:rPr>
                <w:rFonts w:hint="default" w:ascii="Arial" w:hAnsi="Arial" w:eastAsia="宋体" w:cs="Arial"/>
                <w:szCs w:val="21"/>
                <w:lang w:val="en-US" w:eastAsia="zh-CN"/>
              </w:rPr>
              <w:t>3.2</w:t>
            </w:r>
          </w:p>
        </w:tc>
        <w:tc>
          <w:tcPr>
            <w:tcW w:w="701" w:type="dxa"/>
            <w:vAlign w:val="center"/>
          </w:tcPr>
          <w:p w14:paraId="0653750B">
            <w:pPr>
              <w:jc w:val="center"/>
              <w:rPr>
                <w:rFonts w:hint="default" w:ascii="Arial" w:hAnsi="Arial" w:eastAsia="宋体" w:cs="Arial"/>
                <w:szCs w:val="21"/>
                <w:lang w:val="en-US" w:eastAsia="zh-CN"/>
              </w:rPr>
            </w:pPr>
            <w:r>
              <w:rPr>
                <w:rFonts w:hint="default" w:ascii="Arial" w:hAnsi="Arial" w:eastAsia="宋体" w:cs="Arial"/>
                <w:sz w:val="21"/>
                <w:szCs w:val="21"/>
              </w:rPr>
              <w:t>密封桶</w:t>
            </w:r>
          </w:p>
        </w:tc>
        <w:tc>
          <w:tcPr>
            <w:tcW w:w="703" w:type="dxa"/>
            <w:vAlign w:val="center"/>
          </w:tcPr>
          <w:p w14:paraId="0BCC8E81">
            <w:pPr>
              <w:jc w:val="center"/>
              <w:rPr>
                <w:rFonts w:hint="default" w:ascii="Arial" w:hAnsi="Arial" w:eastAsia="宋体" w:cs="Arial"/>
                <w:szCs w:val="21"/>
                <w:lang w:val="en-US" w:eastAsia="zh-CN"/>
              </w:rPr>
            </w:pPr>
            <w:r>
              <w:rPr>
                <w:rFonts w:hint="default" w:ascii="Arial" w:hAnsi="Arial" w:eastAsia="宋体" w:cs="Arial"/>
                <w:szCs w:val="21"/>
                <w:lang w:val="en-US" w:eastAsia="zh-CN"/>
              </w:rPr>
              <w:t>9.6</w:t>
            </w:r>
          </w:p>
        </w:tc>
        <w:tc>
          <w:tcPr>
            <w:tcW w:w="750" w:type="dxa"/>
            <w:vAlign w:val="center"/>
          </w:tcPr>
          <w:p w14:paraId="11485890">
            <w:pPr>
              <w:jc w:val="center"/>
              <w:rPr>
                <w:rFonts w:hint="default" w:ascii="Arial" w:hAnsi="Arial" w:eastAsia="宋体" w:cs="Arial"/>
                <w:szCs w:val="21"/>
                <w:lang w:val="en-US" w:eastAsia="zh-CN"/>
              </w:rPr>
            </w:pPr>
            <w:r>
              <w:rPr>
                <w:rFonts w:hint="default" w:ascii="Arial" w:hAnsi="Arial" w:eastAsia="宋体" w:cs="Arial"/>
                <w:szCs w:val="21"/>
                <w:lang w:val="en-US" w:eastAsia="zh-CN"/>
              </w:rPr>
              <w:t>1个月</w:t>
            </w:r>
          </w:p>
        </w:tc>
      </w:tr>
      <w:tr w14:paraId="7081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28ACC6F9">
            <w:pPr>
              <w:jc w:val="center"/>
              <w:rPr>
                <w:rFonts w:hint="default" w:ascii="Arial" w:hAnsi="Arial" w:eastAsia="宋体" w:cs="Arial"/>
                <w:szCs w:val="21"/>
                <w:lang w:val="en-US" w:eastAsia="zh-CN"/>
              </w:rPr>
            </w:pPr>
            <w:r>
              <w:rPr>
                <w:rFonts w:hint="default" w:ascii="Arial" w:hAnsi="Arial" w:eastAsia="宋体" w:cs="Arial"/>
                <w:szCs w:val="21"/>
                <w:lang w:val="en-US" w:eastAsia="zh-CN"/>
              </w:rPr>
              <w:t>5</w:t>
            </w:r>
          </w:p>
        </w:tc>
        <w:tc>
          <w:tcPr>
            <w:tcW w:w="913" w:type="dxa"/>
            <w:vMerge w:val="continue"/>
            <w:vAlign w:val="center"/>
          </w:tcPr>
          <w:p w14:paraId="456DB35A">
            <w:pPr>
              <w:widowControl/>
              <w:jc w:val="left"/>
              <w:rPr>
                <w:rFonts w:hint="default" w:ascii="Arial" w:hAnsi="Arial" w:eastAsia="宋体" w:cs="Arial"/>
                <w:szCs w:val="21"/>
              </w:rPr>
            </w:pPr>
          </w:p>
        </w:tc>
        <w:tc>
          <w:tcPr>
            <w:tcW w:w="1236" w:type="dxa"/>
            <w:shd w:val="clear" w:color="auto" w:fill="auto"/>
            <w:vAlign w:val="center"/>
          </w:tcPr>
          <w:p w14:paraId="14C832E4">
            <w:pPr>
              <w:jc w:val="center"/>
              <w:rPr>
                <w:rFonts w:hint="default" w:ascii="Arial" w:hAnsi="Arial" w:eastAsia="宋体" w:cs="Arial"/>
                <w:kern w:val="2"/>
                <w:sz w:val="21"/>
                <w:szCs w:val="21"/>
                <w:lang w:val="en-US" w:eastAsia="zh-CN" w:bidi="ar-SA"/>
              </w:rPr>
            </w:pPr>
            <w:r>
              <w:rPr>
                <w:rFonts w:hint="default" w:ascii="Arial" w:hAnsi="Arial" w:eastAsia="宋体" w:cs="Arial"/>
                <w:szCs w:val="21"/>
              </w:rPr>
              <w:t>废化学品包装</w:t>
            </w:r>
          </w:p>
        </w:tc>
        <w:tc>
          <w:tcPr>
            <w:tcW w:w="970" w:type="dxa"/>
            <w:shd w:val="clear" w:color="auto" w:fill="auto"/>
            <w:vAlign w:val="center"/>
          </w:tcPr>
          <w:p w14:paraId="3914CD00">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bCs/>
                <w:szCs w:val="21"/>
              </w:rPr>
              <w:t>HW49</w:t>
            </w:r>
          </w:p>
        </w:tc>
        <w:tc>
          <w:tcPr>
            <w:tcW w:w="1139" w:type="dxa"/>
            <w:shd w:val="clear" w:color="auto" w:fill="auto"/>
            <w:vAlign w:val="center"/>
          </w:tcPr>
          <w:p w14:paraId="67D68021">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bCs/>
                <w:szCs w:val="21"/>
              </w:rPr>
              <w:t>900-041-49</w:t>
            </w:r>
          </w:p>
        </w:tc>
        <w:tc>
          <w:tcPr>
            <w:tcW w:w="962" w:type="dxa"/>
            <w:shd w:val="clear" w:color="auto" w:fill="auto"/>
            <w:vAlign w:val="center"/>
          </w:tcPr>
          <w:p w14:paraId="07A47FA2">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2.</w:t>
            </w:r>
            <w:r>
              <w:rPr>
                <w:rFonts w:hint="eastAsia" w:ascii="Arial" w:hAnsi="Arial" w:eastAsia="宋体" w:cs="Arial"/>
                <w:kern w:val="2"/>
                <w:sz w:val="21"/>
                <w:szCs w:val="21"/>
                <w:lang w:val="en-US" w:eastAsia="zh-CN" w:bidi="ar-SA"/>
              </w:rPr>
              <w:t>5</w:t>
            </w:r>
          </w:p>
        </w:tc>
        <w:tc>
          <w:tcPr>
            <w:tcW w:w="701" w:type="dxa"/>
            <w:shd w:val="clear" w:color="auto" w:fill="auto"/>
            <w:vAlign w:val="center"/>
          </w:tcPr>
          <w:p w14:paraId="1D60C0CB">
            <w:pPr>
              <w:jc w:val="center"/>
              <w:rPr>
                <w:rFonts w:hint="default" w:ascii="Arial" w:hAnsi="Arial" w:eastAsia="宋体" w:cs="Arial"/>
                <w:kern w:val="2"/>
                <w:sz w:val="21"/>
                <w:szCs w:val="21"/>
                <w:lang w:val="en-US" w:eastAsia="zh-CN" w:bidi="ar-SA"/>
              </w:rPr>
            </w:pPr>
            <w:r>
              <w:rPr>
                <w:rFonts w:hint="default" w:ascii="Arial" w:hAnsi="Arial" w:eastAsia="宋体" w:cs="Arial"/>
                <w:szCs w:val="21"/>
              </w:rPr>
              <w:t>封盖塑封</w:t>
            </w:r>
          </w:p>
        </w:tc>
        <w:tc>
          <w:tcPr>
            <w:tcW w:w="703" w:type="dxa"/>
            <w:shd w:val="clear" w:color="auto" w:fill="auto"/>
            <w:vAlign w:val="center"/>
          </w:tcPr>
          <w:p w14:paraId="0ECFF4B9">
            <w:pPr>
              <w:jc w:val="center"/>
              <w:rPr>
                <w:rFonts w:hint="default" w:ascii="Arial" w:hAnsi="Arial" w:eastAsia="宋体" w:cs="Arial"/>
                <w:kern w:val="2"/>
                <w:sz w:val="21"/>
                <w:szCs w:val="21"/>
                <w:lang w:val="en-US" w:eastAsia="zh-CN" w:bidi="ar-SA"/>
              </w:rPr>
            </w:pPr>
            <w:r>
              <w:rPr>
                <w:rFonts w:hint="eastAsia" w:ascii="Arial" w:hAnsi="Arial" w:eastAsia="宋体" w:cs="Arial"/>
                <w:kern w:val="2"/>
                <w:sz w:val="21"/>
                <w:szCs w:val="21"/>
                <w:lang w:val="en-US" w:eastAsia="zh-CN" w:bidi="ar-SA"/>
              </w:rPr>
              <w:t>5.5</w:t>
            </w:r>
          </w:p>
        </w:tc>
        <w:tc>
          <w:tcPr>
            <w:tcW w:w="750" w:type="dxa"/>
            <w:shd w:val="clear" w:color="auto" w:fill="auto"/>
            <w:vAlign w:val="center"/>
          </w:tcPr>
          <w:p w14:paraId="376AE239">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半年</w:t>
            </w:r>
          </w:p>
        </w:tc>
      </w:tr>
      <w:tr w14:paraId="559E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4A4EE25E">
            <w:pPr>
              <w:jc w:val="center"/>
              <w:rPr>
                <w:rFonts w:hint="default" w:ascii="Arial" w:hAnsi="Arial" w:eastAsia="宋体" w:cs="Arial"/>
                <w:szCs w:val="21"/>
                <w:lang w:val="en-US" w:eastAsia="zh-CN"/>
              </w:rPr>
            </w:pPr>
            <w:r>
              <w:rPr>
                <w:rFonts w:hint="default" w:ascii="Arial" w:hAnsi="Arial" w:eastAsia="宋体" w:cs="Arial"/>
                <w:szCs w:val="21"/>
                <w:lang w:val="en-US" w:eastAsia="zh-CN"/>
              </w:rPr>
              <w:t>6</w:t>
            </w:r>
          </w:p>
        </w:tc>
        <w:tc>
          <w:tcPr>
            <w:tcW w:w="913" w:type="dxa"/>
            <w:vMerge w:val="continue"/>
            <w:vAlign w:val="center"/>
          </w:tcPr>
          <w:p w14:paraId="2F1521CA">
            <w:pPr>
              <w:widowControl/>
              <w:jc w:val="left"/>
              <w:rPr>
                <w:rFonts w:hint="default" w:ascii="Arial" w:hAnsi="Arial" w:eastAsia="宋体" w:cs="Arial"/>
                <w:szCs w:val="21"/>
              </w:rPr>
            </w:pPr>
          </w:p>
        </w:tc>
        <w:tc>
          <w:tcPr>
            <w:tcW w:w="1236" w:type="dxa"/>
            <w:shd w:val="clear" w:color="auto" w:fill="auto"/>
            <w:vAlign w:val="center"/>
          </w:tcPr>
          <w:p w14:paraId="765143B8">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废水处理废膜</w:t>
            </w:r>
          </w:p>
        </w:tc>
        <w:tc>
          <w:tcPr>
            <w:tcW w:w="970" w:type="dxa"/>
            <w:shd w:val="clear" w:color="auto" w:fill="auto"/>
            <w:vAlign w:val="center"/>
          </w:tcPr>
          <w:p w14:paraId="03ED5E9F">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bCs/>
                <w:szCs w:val="21"/>
                <w:lang w:val="en-US" w:eastAsia="zh-CN"/>
              </w:rPr>
              <w:t>HW49</w:t>
            </w:r>
          </w:p>
        </w:tc>
        <w:tc>
          <w:tcPr>
            <w:tcW w:w="1139" w:type="dxa"/>
            <w:shd w:val="clear" w:color="auto" w:fill="auto"/>
            <w:vAlign w:val="center"/>
          </w:tcPr>
          <w:p w14:paraId="5060B560">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bCs/>
                <w:szCs w:val="21"/>
                <w:lang w:val="en-US" w:eastAsia="zh-CN"/>
              </w:rPr>
              <w:t>900-041-49</w:t>
            </w:r>
          </w:p>
        </w:tc>
        <w:tc>
          <w:tcPr>
            <w:tcW w:w="962" w:type="dxa"/>
            <w:shd w:val="clear" w:color="auto" w:fill="auto"/>
            <w:vAlign w:val="center"/>
          </w:tcPr>
          <w:p w14:paraId="732842EB">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0.1</w:t>
            </w:r>
          </w:p>
        </w:tc>
        <w:tc>
          <w:tcPr>
            <w:tcW w:w="701" w:type="dxa"/>
            <w:shd w:val="clear" w:color="auto" w:fill="auto"/>
            <w:vAlign w:val="center"/>
          </w:tcPr>
          <w:p w14:paraId="53363404">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密封袋装</w:t>
            </w:r>
          </w:p>
        </w:tc>
        <w:tc>
          <w:tcPr>
            <w:tcW w:w="703" w:type="dxa"/>
            <w:shd w:val="clear" w:color="auto" w:fill="auto"/>
            <w:vAlign w:val="center"/>
          </w:tcPr>
          <w:p w14:paraId="2490481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0.1</w:t>
            </w:r>
          </w:p>
        </w:tc>
        <w:tc>
          <w:tcPr>
            <w:tcW w:w="750" w:type="dxa"/>
            <w:shd w:val="clear" w:color="auto" w:fill="auto"/>
            <w:vAlign w:val="center"/>
          </w:tcPr>
          <w:p w14:paraId="4F7E1EBC">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半年</w:t>
            </w:r>
          </w:p>
        </w:tc>
      </w:tr>
      <w:tr w14:paraId="374B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821" w:type="dxa"/>
            <w:gridSpan w:val="5"/>
            <w:vAlign w:val="center"/>
          </w:tcPr>
          <w:p w14:paraId="0CDF595A">
            <w:pPr>
              <w:adjustRightInd w:val="0"/>
              <w:snapToGrid w:val="0"/>
              <w:jc w:val="center"/>
              <w:rPr>
                <w:rFonts w:hint="default" w:ascii="Arial" w:hAnsi="Arial" w:eastAsia="宋体" w:cs="Arial"/>
                <w:bCs/>
                <w:szCs w:val="21"/>
                <w:lang w:val="en-US" w:eastAsia="zh-CN"/>
              </w:rPr>
            </w:pPr>
            <w:r>
              <w:rPr>
                <w:rFonts w:hint="default" w:ascii="Arial" w:hAnsi="Arial" w:eastAsia="宋体" w:cs="Arial"/>
                <w:bCs/>
                <w:szCs w:val="21"/>
                <w:lang w:val="en-US" w:eastAsia="zh-CN"/>
              </w:rPr>
              <w:t>合计</w:t>
            </w:r>
          </w:p>
        </w:tc>
        <w:tc>
          <w:tcPr>
            <w:tcW w:w="962" w:type="dxa"/>
            <w:shd w:val="clear" w:color="auto" w:fill="auto"/>
            <w:vAlign w:val="center"/>
          </w:tcPr>
          <w:p w14:paraId="203455BD">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10.</w:t>
            </w:r>
            <w:r>
              <w:rPr>
                <w:rFonts w:hint="eastAsia" w:ascii="Arial" w:hAnsi="Arial" w:eastAsia="宋体" w:cs="Arial"/>
                <w:kern w:val="2"/>
                <w:sz w:val="21"/>
                <w:szCs w:val="21"/>
                <w:lang w:val="en-US" w:eastAsia="zh-CN" w:bidi="ar-SA"/>
              </w:rPr>
              <w:t>5</w:t>
            </w:r>
          </w:p>
        </w:tc>
        <w:tc>
          <w:tcPr>
            <w:tcW w:w="701" w:type="dxa"/>
            <w:shd w:val="clear" w:color="auto" w:fill="auto"/>
            <w:vAlign w:val="center"/>
          </w:tcPr>
          <w:p w14:paraId="2490F595">
            <w:pPr>
              <w:jc w:val="center"/>
              <w:rPr>
                <w:rFonts w:hint="default" w:ascii="Arial" w:hAnsi="Arial" w:eastAsia="宋体" w:cs="Arial"/>
                <w:szCs w:val="21"/>
                <w:lang w:val="en-US" w:eastAsia="zh-CN"/>
              </w:rPr>
            </w:pPr>
            <w:r>
              <w:rPr>
                <w:rFonts w:hint="default" w:ascii="Arial" w:hAnsi="Arial" w:eastAsia="宋体" w:cs="Arial"/>
                <w:szCs w:val="21"/>
                <w:lang w:val="en-US" w:eastAsia="zh-CN"/>
              </w:rPr>
              <w:t>/</w:t>
            </w:r>
          </w:p>
        </w:tc>
        <w:tc>
          <w:tcPr>
            <w:tcW w:w="703" w:type="dxa"/>
            <w:shd w:val="clear" w:color="auto" w:fill="auto"/>
            <w:vAlign w:val="center"/>
          </w:tcPr>
          <w:p w14:paraId="4467E6C5">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3</w:t>
            </w:r>
            <w:r>
              <w:rPr>
                <w:rFonts w:hint="eastAsia" w:ascii="Arial" w:hAnsi="Arial" w:eastAsia="宋体" w:cs="Arial"/>
                <w:kern w:val="2"/>
                <w:sz w:val="21"/>
                <w:szCs w:val="21"/>
                <w:lang w:val="en-US" w:eastAsia="zh-CN" w:bidi="ar-SA"/>
              </w:rPr>
              <w:t>3.2</w:t>
            </w:r>
          </w:p>
        </w:tc>
        <w:tc>
          <w:tcPr>
            <w:tcW w:w="750" w:type="dxa"/>
            <w:shd w:val="clear" w:color="auto" w:fill="auto"/>
            <w:vAlign w:val="center"/>
          </w:tcPr>
          <w:p w14:paraId="2B2D5802">
            <w:pPr>
              <w:jc w:val="center"/>
              <w:rPr>
                <w:rFonts w:hint="default" w:ascii="Arial" w:hAnsi="Arial" w:eastAsia="宋体" w:cs="Arial"/>
                <w:szCs w:val="21"/>
                <w:lang w:val="en-US" w:eastAsia="zh-CN"/>
              </w:rPr>
            </w:pPr>
            <w:r>
              <w:rPr>
                <w:rFonts w:hint="default" w:ascii="Arial" w:hAnsi="Arial" w:eastAsia="宋体" w:cs="Arial"/>
                <w:szCs w:val="21"/>
                <w:lang w:val="en-US" w:eastAsia="zh-CN"/>
              </w:rPr>
              <w:t>/</w:t>
            </w:r>
          </w:p>
        </w:tc>
      </w:tr>
      <w:tr w14:paraId="4365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3" w:type="dxa"/>
            <w:vAlign w:val="center"/>
          </w:tcPr>
          <w:p w14:paraId="3826A901">
            <w:pPr>
              <w:jc w:val="center"/>
              <w:rPr>
                <w:rFonts w:hint="default" w:ascii="Arial" w:hAnsi="Arial" w:eastAsia="宋体" w:cs="Arial"/>
                <w:szCs w:val="21"/>
                <w:lang w:val="en-US" w:eastAsia="zh-CN"/>
              </w:rPr>
            </w:pPr>
            <w:r>
              <w:rPr>
                <w:rFonts w:hint="default" w:ascii="Arial" w:hAnsi="Arial" w:eastAsia="宋体" w:cs="Arial"/>
                <w:szCs w:val="21"/>
                <w:lang w:val="en-US" w:eastAsia="zh-CN"/>
              </w:rPr>
              <w:t>7</w:t>
            </w:r>
          </w:p>
        </w:tc>
        <w:tc>
          <w:tcPr>
            <w:tcW w:w="913" w:type="dxa"/>
            <w:shd w:val="clear" w:color="auto" w:fill="auto"/>
            <w:vAlign w:val="center"/>
          </w:tcPr>
          <w:p w14:paraId="33DACD8D">
            <w:pPr>
              <w:widowControl/>
              <w:jc w:val="left"/>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废水处理浓缩液贮存</w:t>
            </w:r>
            <w:r>
              <w:rPr>
                <w:rFonts w:hint="eastAsia" w:ascii="Arial" w:hAnsi="Arial" w:eastAsia="宋体" w:cs="Arial"/>
                <w:szCs w:val="21"/>
                <w:lang w:val="en-US" w:eastAsia="zh-CN"/>
              </w:rPr>
              <w:t>库</w:t>
            </w:r>
          </w:p>
        </w:tc>
        <w:tc>
          <w:tcPr>
            <w:tcW w:w="1236" w:type="dxa"/>
            <w:shd w:val="clear" w:color="auto" w:fill="auto"/>
            <w:vAlign w:val="center"/>
          </w:tcPr>
          <w:p w14:paraId="1504D395">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废水处理浓缩液</w:t>
            </w:r>
          </w:p>
        </w:tc>
        <w:tc>
          <w:tcPr>
            <w:tcW w:w="970" w:type="dxa"/>
            <w:shd w:val="clear" w:color="auto" w:fill="auto"/>
            <w:vAlign w:val="center"/>
          </w:tcPr>
          <w:p w14:paraId="778ABE4A">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lang w:val="en-US" w:eastAsia="zh-CN"/>
              </w:rPr>
              <w:t>HW09</w:t>
            </w:r>
          </w:p>
        </w:tc>
        <w:tc>
          <w:tcPr>
            <w:tcW w:w="1139" w:type="dxa"/>
            <w:shd w:val="clear" w:color="auto" w:fill="auto"/>
            <w:vAlign w:val="center"/>
          </w:tcPr>
          <w:p w14:paraId="6C5B78B1">
            <w:pPr>
              <w:adjustRightInd w:val="0"/>
              <w:snapToGrid w:val="0"/>
              <w:jc w:val="center"/>
              <w:rPr>
                <w:rFonts w:hint="default" w:ascii="Arial" w:hAnsi="Arial" w:eastAsia="宋体" w:cs="Arial"/>
                <w:kern w:val="0"/>
                <w:sz w:val="21"/>
                <w:szCs w:val="21"/>
                <w:lang w:val="en-US" w:eastAsia="zh-CN" w:bidi="ar-SA"/>
              </w:rPr>
            </w:pPr>
            <w:r>
              <w:rPr>
                <w:rFonts w:hint="default" w:ascii="Arial" w:hAnsi="Arial" w:eastAsia="宋体" w:cs="Arial"/>
                <w:bCs/>
                <w:kern w:val="2"/>
                <w:sz w:val="21"/>
                <w:szCs w:val="21"/>
                <w:lang w:val="en-US" w:eastAsia="zh-CN" w:bidi="ar-SA"/>
              </w:rPr>
              <w:t>900-007-09</w:t>
            </w:r>
          </w:p>
        </w:tc>
        <w:tc>
          <w:tcPr>
            <w:tcW w:w="962" w:type="dxa"/>
            <w:shd w:val="clear" w:color="auto" w:fill="auto"/>
            <w:vAlign w:val="center"/>
          </w:tcPr>
          <w:p w14:paraId="37664889">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10</w:t>
            </w:r>
          </w:p>
        </w:tc>
        <w:tc>
          <w:tcPr>
            <w:tcW w:w="701" w:type="dxa"/>
            <w:shd w:val="clear" w:color="auto" w:fill="auto"/>
            <w:vAlign w:val="center"/>
          </w:tcPr>
          <w:p w14:paraId="47B8345D">
            <w:pPr>
              <w:jc w:val="center"/>
              <w:rPr>
                <w:rFonts w:hint="default" w:ascii="Arial" w:hAnsi="Arial" w:eastAsia="宋体" w:cs="Arial"/>
                <w:kern w:val="2"/>
                <w:sz w:val="21"/>
                <w:szCs w:val="21"/>
                <w:lang w:val="en-US" w:eastAsia="zh-CN" w:bidi="ar-SA"/>
              </w:rPr>
            </w:pPr>
            <w:r>
              <w:rPr>
                <w:rFonts w:hint="default" w:ascii="Arial" w:hAnsi="Arial" w:eastAsia="宋体" w:cs="Arial"/>
                <w:szCs w:val="21"/>
              </w:rPr>
              <w:t>密封桶装</w:t>
            </w:r>
          </w:p>
        </w:tc>
        <w:tc>
          <w:tcPr>
            <w:tcW w:w="703" w:type="dxa"/>
            <w:shd w:val="clear" w:color="auto" w:fill="auto"/>
            <w:vAlign w:val="center"/>
          </w:tcPr>
          <w:p w14:paraId="3C4987D9">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10</w:t>
            </w:r>
          </w:p>
        </w:tc>
        <w:tc>
          <w:tcPr>
            <w:tcW w:w="750" w:type="dxa"/>
            <w:shd w:val="clear" w:color="auto" w:fill="auto"/>
            <w:vAlign w:val="center"/>
          </w:tcPr>
          <w:p w14:paraId="17E4AE86">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1个月</w:t>
            </w:r>
          </w:p>
        </w:tc>
      </w:tr>
    </w:tbl>
    <w:p w14:paraId="64EE8E8B">
      <w:pPr>
        <w:spacing w:line="360" w:lineRule="auto"/>
        <w:ind w:firstLine="480" w:firstLineChars="200"/>
        <w:rPr>
          <w:rFonts w:hint="default" w:ascii="Arial" w:hAnsi="Arial" w:eastAsia="宋体" w:cs="Arial"/>
          <w:sz w:val="24"/>
          <w:szCs w:val="24"/>
          <w:lang w:val="en-US" w:eastAsia="zh-CN"/>
        </w:rPr>
      </w:pPr>
      <w:r>
        <w:rPr>
          <w:rFonts w:hint="default" w:ascii="Arial" w:hAnsi="Arial" w:eastAsia="宋体" w:cs="Arial"/>
          <w:sz w:val="24"/>
          <w:szCs w:val="24"/>
        </w:rPr>
        <w:t>根据估算本项目</w:t>
      </w:r>
      <w:r>
        <w:rPr>
          <w:rFonts w:hint="default" w:ascii="Arial" w:hAnsi="Arial" w:eastAsia="宋体" w:cs="Arial"/>
          <w:sz w:val="24"/>
          <w:szCs w:val="24"/>
          <w:lang w:val="en-US" w:eastAsia="zh-CN"/>
        </w:rPr>
        <w:t>在危废暂存库暂存的</w:t>
      </w:r>
      <w:r>
        <w:rPr>
          <w:rFonts w:hint="default" w:ascii="Arial" w:hAnsi="Arial" w:eastAsia="宋体" w:cs="Arial"/>
          <w:sz w:val="24"/>
          <w:szCs w:val="24"/>
        </w:rPr>
        <w:t>危险废物所需占用建筑面积约</w:t>
      </w:r>
      <w:r>
        <w:rPr>
          <w:rFonts w:hint="default" w:ascii="Arial" w:hAnsi="Arial" w:eastAsia="宋体" w:cs="Arial"/>
          <w:sz w:val="24"/>
          <w:szCs w:val="24"/>
          <w:lang w:val="en-US" w:eastAsia="zh-CN"/>
        </w:rPr>
        <w:t>10.</w:t>
      </w:r>
      <w:r>
        <w:rPr>
          <w:rFonts w:hint="eastAsia" w:ascii="Arial" w:hAnsi="Arial" w:eastAsia="宋体" w:cs="Arial"/>
          <w:sz w:val="24"/>
          <w:szCs w:val="24"/>
          <w:lang w:val="en-US" w:eastAsia="zh-CN"/>
        </w:rPr>
        <w:t>5</w:t>
      </w:r>
      <w:r>
        <w:rPr>
          <w:rFonts w:hint="default" w:ascii="Arial" w:hAnsi="Arial" w:eastAsia="宋体" w:cs="Arial"/>
          <w:sz w:val="24"/>
          <w:szCs w:val="24"/>
        </w:rPr>
        <w:t>m</w:t>
      </w:r>
      <w:r>
        <w:rPr>
          <w:rFonts w:hint="default" w:ascii="Arial" w:hAnsi="Arial" w:eastAsia="宋体" w:cs="Arial"/>
          <w:sz w:val="24"/>
          <w:szCs w:val="24"/>
          <w:vertAlign w:val="superscript"/>
        </w:rPr>
        <w:t>2</w:t>
      </w:r>
      <w:r>
        <w:rPr>
          <w:rFonts w:hint="default" w:ascii="Arial" w:hAnsi="Arial" w:eastAsia="宋体" w:cs="Arial"/>
          <w:sz w:val="24"/>
          <w:szCs w:val="24"/>
        </w:rPr>
        <w:t>，企业</w:t>
      </w:r>
      <w:r>
        <w:rPr>
          <w:rFonts w:hint="default" w:ascii="Arial" w:hAnsi="Arial" w:eastAsia="宋体" w:cs="Arial"/>
          <w:sz w:val="24"/>
          <w:szCs w:val="24"/>
          <w:lang w:val="en-US" w:eastAsia="zh-CN"/>
        </w:rPr>
        <w:t>依托现有</w:t>
      </w:r>
      <w:r>
        <w:rPr>
          <w:rFonts w:hint="default" w:ascii="Arial" w:hAnsi="Arial" w:eastAsia="宋体" w:cs="Arial"/>
          <w:sz w:val="24"/>
          <w:szCs w:val="24"/>
        </w:rPr>
        <w:t>危废仓库约15m</w:t>
      </w:r>
      <w:r>
        <w:rPr>
          <w:rFonts w:hint="default" w:ascii="Arial" w:hAnsi="Arial" w:eastAsia="宋体" w:cs="Arial"/>
          <w:sz w:val="24"/>
          <w:szCs w:val="24"/>
          <w:vertAlign w:val="superscript"/>
        </w:rPr>
        <w:t>2</w:t>
      </w:r>
      <w:r>
        <w:rPr>
          <w:rFonts w:hint="default" w:ascii="Arial" w:hAnsi="Arial" w:eastAsia="宋体" w:cs="Arial"/>
          <w:sz w:val="24"/>
          <w:szCs w:val="24"/>
        </w:rPr>
        <w:t>用于贮存危废，能满足危险废物暂存的要求。</w:t>
      </w:r>
      <w:r>
        <w:rPr>
          <w:rFonts w:hint="default" w:ascii="Arial" w:hAnsi="Arial" w:eastAsia="宋体" w:cs="Arial"/>
          <w:sz w:val="24"/>
          <w:szCs w:val="24"/>
          <w:lang w:val="en-US" w:eastAsia="zh-CN"/>
        </w:rPr>
        <w:t>废水处理浓缩液贮存</w:t>
      </w:r>
      <w:r>
        <w:rPr>
          <w:rFonts w:hint="eastAsia" w:ascii="Arial" w:hAnsi="Arial" w:eastAsia="宋体" w:cs="Arial"/>
          <w:sz w:val="24"/>
          <w:szCs w:val="24"/>
          <w:lang w:val="en-US" w:eastAsia="zh-CN"/>
        </w:rPr>
        <w:t>库</w:t>
      </w:r>
      <w:r>
        <w:rPr>
          <w:rFonts w:hint="default" w:ascii="Arial" w:hAnsi="Arial" w:eastAsia="宋体" w:cs="Arial"/>
          <w:sz w:val="24"/>
          <w:szCs w:val="24"/>
          <w:lang w:val="en-US" w:eastAsia="zh-CN"/>
        </w:rPr>
        <w:t>需占用建筑面积约10m</w:t>
      </w:r>
      <w:r>
        <w:rPr>
          <w:rFonts w:hint="default" w:ascii="Arial" w:hAnsi="Arial" w:eastAsia="宋体" w:cs="Arial"/>
          <w:sz w:val="24"/>
          <w:szCs w:val="24"/>
          <w:vertAlign w:val="superscript"/>
          <w:lang w:val="en-US" w:eastAsia="zh-CN"/>
        </w:rPr>
        <w:t>2</w:t>
      </w:r>
      <w:r>
        <w:rPr>
          <w:rFonts w:hint="default" w:ascii="Arial" w:hAnsi="Arial" w:eastAsia="宋体" w:cs="Arial"/>
          <w:sz w:val="24"/>
          <w:szCs w:val="24"/>
          <w:lang w:val="en-US" w:eastAsia="zh-CN"/>
        </w:rPr>
        <w:t>，企业废水处理浓缩液贮存库面积为40m</w:t>
      </w:r>
      <w:r>
        <w:rPr>
          <w:rFonts w:hint="default" w:ascii="Arial" w:hAnsi="Arial" w:eastAsia="宋体" w:cs="Arial"/>
          <w:sz w:val="24"/>
          <w:szCs w:val="24"/>
          <w:vertAlign w:val="superscript"/>
          <w:lang w:val="en-US" w:eastAsia="zh-CN"/>
        </w:rPr>
        <w:t>2</w:t>
      </w:r>
      <w:r>
        <w:rPr>
          <w:rFonts w:hint="default" w:ascii="Arial" w:hAnsi="Arial" w:eastAsia="宋体" w:cs="Arial"/>
          <w:sz w:val="24"/>
          <w:szCs w:val="24"/>
          <w:lang w:val="en-US" w:eastAsia="zh-CN"/>
        </w:rPr>
        <w:t>，能满足存放要求。</w:t>
      </w:r>
    </w:p>
    <w:p w14:paraId="3A70627F">
      <w:pPr>
        <w:numPr>
          <w:ilvl w:val="0"/>
          <w:numId w:val="13"/>
        </w:numPr>
        <w:spacing w:line="360" w:lineRule="auto"/>
        <w:ind w:left="0" w:leftChars="0" w:firstLine="480" w:firstLineChars="200"/>
        <w:rPr>
          <w:rFonts w:hint="default" w:ascii="Arial" w:hAnsi="Arial" w:eastAsia="宋体" w:cs="Arial"/>
          <w:sz w:val="24"/>
          <w:szCs w:val="24"/>
        </w:rPr>
      </w:pPr>
      <w:r>
        <w:rPr>
          <w:rFonts w:hint="default" w:ascii="Arial" w:hAnsi="Arial" w:eastAsia="宋体" w:cs="Arial"/>
          <w:sz w:val="24"/>
          <w:szCs w:val="24"/>
        </w:rPr>
        <w:t>本项目暂存的</w:t>
      </w:r>
      <w:r>
        <w:rPr>
          <w:rFonts w:hint="eastAsia" w:ascii="Arial" w:hAnsi="Arial" w:eastAsia="宋体" w:cs="Arial"/>
          <w:sz w:val="24"/>
          <w:szCs w:val="24"/>
          <w:lang w:val="en-US" w:eastAsia="zh-CN"/>
        </w:rPr>
        <w:t>废水处理浓缩液</w:t>
      </w:r>
      <w:r>
        <w:rPr>
          <w:rFonts w:hint="default" w:ascii="Arial" w:hAnsi="Arial" w:eastAsia="宋体" w:cs="Arial"/>
          <w:sz w:val="24"/>
          <w:szCs w:val="24"/>
        </w:rPr>
        <w:t>、废</w:t>
      </w:r>
      <w:r>
        <w:rPr>
          <w:rFonts w:hint="eastAsia" w:ascii="Arial" w:hAnsi="Arial" w:eastAsia="宋体" w:cs="Arial"/>
          <w:sz w:val="24"/>
          <w:szCs w:val="24"/>
          <w:lang w:val="en-US" w:eastAsia="zh-CN"/>
        </w:rPr>
        <w:t>化学品</w:t>
      </w:r>
      <w:r>
        <w:rPr>
          <w:rFonts w:hint="default" w:ascii="Arial" w:hAnsi="Arial" w:eastAsia="宋体" w:cs="Arial"/>
          <w:sz w:val="24"/>
          <w:szCs w:val="24"/>
        </w:rPr>
        <w:t>包装和废</w:t>
      </w:r>
      <w:r>
        <w:rPr>
          <w:rFonts w:hint="eastAsia" w:ascii="Arial" w:hAnsi="Arial" w:eastAsia="宋体" w:cs="Arial"/>
          <w:sz w:val="24"/>
          <w:szCs w:val="24"/>
          <w:lang w:val="en-US" w:eastAsia="zh-CN"/>
        </w:rPr>
        <w:t>淬火液、废切削液、废含油金属屑、磨搓泥有中的油性物质挥发量极少，</w:t>
      </w:r>
      <w:r>
        <w:rPr>
          <w:rFonts w:hint="default" w:ascii="Arial" w:hAnsi="Arial" w:eastAsia="宋体" w:cs="Arial"/>
          <w:sz w:val="24"/>
          <w:szCs w:val="24"/>
        </w:rPr>
        <w:t>在采用密闭桶</w:t>
      </w:r>
      <w:r>
        <w:rPr>
          <w:rFonts w:hint="eastAsia" w:ascii="Arial" w:hAnsi="Arial" w:eastAsia="宋体" w:cs="Arial"/>
          <w:sz w:val="24"/>
          <w:szCs w:val="24"/>
          <w:lang w:eastAsia="zh-CN"/>
        </w:rPr>
        <w:t>、</w:t>
      </w:r>
      <w:r>
        <w:rPr>
          <w:rFonts w:hint="eastAsia" w:ascii="Arial" w:hAnsi="Arial" w:eastAsia="宋体" w:cs="Arial"/>
          <w:sz w:val="24"/>
          <w:szCs w:val="24"/>
          <w:lang w:val="en-US" w:eastAsia="zh-CN"/>
        </w:rPr>
        <w:t>密封袋</w:t>
      </w:r>
      <w:r>
        <w:rPr>
          <w:rFonts w:hint="default" w:ascii="Arial" w:hAnsi="Arial" w:eastAsia="宋体" w:cs="Arial"/>
          <w:sz w:val="24"/>
          <w:szCs w:val="24"/>
        </w:rPr>
        <w:t>存放后，不会</w:t>
      </w:r>
      <w:r>
        <w:rPr>
          <w:rFonts w:hint="eastAsia" w:ascii="Arial" w:hAnsi="Arial" w:eastAsia="宋体" w:cs="Arial"/>
          <w:sz w:val="24"/>
          <w:szCs w:val="24"/>
          <w:lang w:val="en-US" w:eastAsia="zh-CN"/>
        </w:rPr>
        <w:t>对</w:t>
      </w:r>
      <w:r>
        <w:rPr>
          <w:rFonts w:hint="default" w:ascii="Arial" w:hAnsi="Arial" w:eastAsia="宋体" w:cs="Arial"/>
          <w:sz w:val="24"/>
          <w:szCs w:val="24"/>
        </w:rPr>
        <w:t>周边大气环境产生影响。因此，本项目危废暂存库不需要设置气体收集装置和气体净化设施。</w:t>
      </w:r>
    </w:p>
    <w:p w14:paraId="5D3D7392">
      <w:pPr>
        <w:numPr>
          <w:ilvl w:val="0"/>
          <w:numId w:val="13"/>
        </w:numPr>
        <w:spacing w:line="360" w:lineRule="auto"/>
        <w:ind w:left="0" w:leftChars="0" w:firstLine="480" w:firstLineChars="200"/>
        <w:rPr>
          <w:rFonts w:hint="default" w:ascii="Arial" w:hAnsi="Arial" w:eastAsia="宋体" w:cs="Arial"/>
          <w:sz w:val="24"/>
          <w:szCs w:val="24"/>
        </w:rPr>
      </w:pPr>
      <w:r>
        <w:rPr>
          <w:rFonts w:hint="default" w:ascii="Arial" w:hAnsi="Arial" w:eastAsia="宋体" w:cs="Arial"/>
          <w:sz w:val="24"/>
          <w:szCs w:val="24"/>
        </w:rPr>
        <w:t>建设项目危废暂存库</w:t>
      </w:r>
      <w:r>
        <w:rPr>
          <w:rFonts w:hint="default" w:ascii="Arial" w:hAnsi="Arial" w:eastAsia="宋体" w:cs="Arial"/>
          <w:sz w:val="24"/>
          <w:szCs w:val="24"/>
          <w:lang w:eastAsia="zh-CN"/>
        </w:rPr>
        <w:t>、</w:t>
      </w:r>
      <w:r>
        <w:rPr>
          <w:rFonts w:hint="default" w:ascii="Arial" w:hAnsi="Arial" w:eastAsia="宋体" w:cs="Arial"/>
          <w:sz w:val="24"/>
          <w:szCs w:val="24"/>
          <w:lang w:val="en-US" w:eastAsia="zh-CN"/>
        </w:rPr>
        <w:t>废水处理浓缩液贮存库</w:t>
      </w:r>
      <w:r>
        <w:rPr>
          <w:rFonts w:hint="default" w:ascii="Arial" w:hAnsi="Arial" w:eastAsia="宋体" w:cs="Arial"/>
          <w:sz w:val="24"/>
          <w:szCs w:val="24"/>
        </w:rPr>
        <w:t>按《危险废物贮存污染控制标准》、《危险废物污染治理技术政策》、《中华人民共和国固体废物污染环境防治法》等的相关要求进行设置，地面按要求进行防腐、防渗处理；日常运行过程中，危险废物采用密闭容器进行包装贮存。建设项目危险废物按要求贮存后，贮存过程不会对环境空气、地表水、地下水、土壤以及环境敏感保护目标产生不良影响。</w:t>
      </w:r>
    </w:p>
    <w:p w14:paraId="22CB5382">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4.2.4.4运输过程的环境影响分析</w:t>
      </w:r>
    </w:p>
    <w:p w14:paraId="65C0EEE5">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sz w:val="24"/>
          <w:szCs w:val="24"/>
        </w:rPr>
        <w:t>建设项目危废暂存</w:t>
      </w:r>
      <w:r>
        <w:rPr>
          <w:rFonts w:hint="default" w:ascii="Arial" w:hAnsi="Arial" w:eastAsia="宋体" w:cs="Arial"/>
          <w:sz w:val="24"/>
          <w:szCs w:val="24"/>
          <w:lang w:val="en-US" w:eastAsia="zh-CN"/>
        </w:rPr>
        <w:t>场所</w:t>
      </w:r>
      <w:r>
        <w:rPr>
          <w:rFonts w:hint="default" w:ascii="Arial" w:hAnsi="Arial" w:eastAsia="宋体" w:cs="Arial"/>
          <w:sz w:val="24"/>
          <w:szCs w:val="24"/>
        </w:rPr>
        <w:t>与产污点距离较近，污染物转移时将利用密闭容器进行封存，只要加</w:t>
      </w:r>
      <w:r>
        <w:rPr>
          <w:rFonts w:hint="default" w:ascii="Arial" w:hAnsi="Arial" w:eastAsia="宋体" w:cs="Arial"/>
          <w:color w:val="000000" w:themeColor="text1"/>
          <w:sz w:val="24"/>
          <w:szCs w:val="24"/>
          <w14:textFill>
            <w14:solidFill>
              <w14:schemeClr w14:val="tx1"/>
            </w14:solidFill>
          </w14:textFill>
        </w:rPr>
        <w:t>强员工规范化作业培训，制定危废管理制度，落实相关责任。正常危废车间内转移过程不会对运输沿线产生不利的环境影响，不会对项目周围环境产生不利影响。</w:t>
      </w:r>
    </w:p>
    <w:p w14:paraId="78A4C856">
      <w:pPr>
        <w:spacing w:line="360" w:lineRule="auto"/>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4.2.4.5委托利用或者处置的环境影响分析</w:t>
      </w:r>
    </w:p>
    <w:p w14:paraId="0CAFEE04">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项目</w:t>
      </w:r>
      <w:r>
        <w:rPr>
          <w:rFonts w:hint="default" w:ascii="Arial" w:hAnsi="Arial" w:eastAsia="宋体" w:cs="Arial"/>
          <w:color w:val="000000" w:themeColor="text1"/>
          <w:sz w:val="24"/>
          <w:szCs w:val="24"/>
          <w:lang w:val="en-US" w:eastAsia="zh-CN"/>
          <w14:textFill>
            <w14:solidFill>
              <w14:schemeClr w14:val="tx1"/>
            </w14:solidFill>
          </w14:textFill>
        </w:rPr>
        <w:t>产生的</w:t>
      </w:r>
      <w:r>
        <w:rPr>
          <w:rFonts w:hint="default" w:ascii="Arial" w:hAnsi="Arial" w:eastAsia="宋体" w:cs="Arial"/>
          <w:color w:val="000000" w:themeColor="text1"/>
          <w:sz w:val="24"/>
          <w:szCs w:val="24"/>
          <w14:textFill>
            <w14:solidFill>
              <w14:schemeClr w14:val="tx1"/>
            </w14:solidFill>
          </w14:textFill>
        </w:rPr>
        <w:t>危险废物委托有资质单位进行处置。</w:t>
      </w:r>
      <w:r>
        <w:rPr>
          <w:rFonts w:hint="default" w:ascii="Arial" w:hAnsi="Arial" w:eastAsia="宋体" w:cs="Arial"/>
          <w:color w:val="000000" w:themeColor="text1"/>
          <w:sz w:val="24"/>
          <w:szCs w:val="24"/>
          <w:lang w:val="en-US" w:eastAsia="zh-CN"/>
          <w14:textFill>
            <w14:solidFill>
              <w14:schemeClr w14:val="tx1"/>
            </w14:solidFill>
          </w14:textFill>
        </w:rPr>
        <w:t>企业应与有相应类别的危废处理资质的单位签订危险废物的委托处理协议，定期委托处理。</w:t>
      </w:r>
    </w:p>
    <w:p w14:paraId="12E9BB28">
      <w:pPr>
        <w:spacing w:line="360" w:lineRule="auto"/>
        <w:outlineLvl w:val="3"/>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4.2.4.6一般固废日常管理要求</w:t>
      </w:r>
    </w:p>
    <w:p w14:paraId="183762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eastAsia="zh-CN"/>
          <w14:textFill>
            <w14:solidFill>
              <w14:schemeClr w14:val="tx1"/>
            </w14:solidFill>
          </w14:textFill>
        </w:rPr>
        <w:t>项目</w:t>
      </w:r>
      <w:r>
        <w:rPr>
          <w:rFonts w:hint="default" w:ascii="Arial" w:hAnsi="Arial" w:eastAsia="宋体" w:cs="Arial"/>
          <w:color w:val="000000" w:themeColor="text1"/>
          <w:sz w:val="24"/>
          <w:szCs w:val="24"/>
          <w14:textFill>
            <w14:solidFill>
              <w14:schemeClr w14:val="tx1"/>
            </w14:solidFill>
          </w14:textFill>
        </w:rPr>
        <w:t>应严格按照《一般工业固体废物贮存和填埋污染控制标准》（GB18599-2020）、《中华人民共和国固体废物污染环境防治法》</w:t>
      </w:r>
      <w:r>
        <w:rPr>
          <w:rFonts w:hint="default" w:ascii="Arial" w:hAnsi="Arial" w:eastAsia="宋体" w:cs="Arial"/>
          <w:color w:val="000000" w:themeColor="text1"/>
          <w:sz w:val="24"/>
          <w:szCs w:val="24"/>
          <w:lang w:val="en-US" w:eastAsia="zh-CN"/>
          <w14:textFill>
            <w14:solidFill>
              <w14:schemeClr w14:val="tx1"/>
            </w14:solidFill>
          </w14:textFill>
        </w:rPr>
        <w:t>等</w:t>
      </w:r>
      <w:r>
        <w:rPr>
          <w:rFonts w:hint="default" w:ascii="Arial" w:hAnsi="Arial" w:eastAsia="宋体" w:cs="Arial"/>
          <w:color w:val="000000" w:themeColor="text1"/>
          <w:sz w:val="24"/>
          <w:szCs w:val="24"/>
          <w14:textFill>
            <w14:solidFill>
              <w14:schemeClr w14:val="tx1"/>
            </w14:solidFill>
          </w14:textFill>
        </w:rPr>
        <w:t>有关规定，建设必要的固体废物分类收集和临时贮存设施，具体要求如下：</w:t>
      </w:r>
    </w:p>
    <w:p w14:paraId="042D23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①</w:t>
      </w:r>
      <w:r>
        <w:rPr>
          <w:rFonts w:hint="default" w:ascii="Arial" w:hAnsi="Arial" w:eastAsia="宋体" w:cs="Arial"/>
          <w:color w:val="000000" w:themeColor="text1"/>
          <w:sz w:val="24"/>
          <w:szCs w:val="24"/>
          <w14:textFill>
            <w14:solidFill>
              <w14:schemeClr w14:val="tx1"/>
            </w14:solidFill>
          </w14:textFill>
        </w:rPr>
        <w:t>一般工业固体废物应分类收集、储存，不能混存。</w:t>
      </w:r>
    </w:p>
    <w:p w14:paraId="680099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②</w:t>
      </w:r>
      <w:r>
        <w:rPr>
          <w:rFonts w:hint="default" w:ascii="Arial" w:hAnsi="Arial" w:eastAsia="宋体" w:cs="Arial"/>
          <w:color w:val="000000" w:themeColor="text1"/>
          <w:sz w:val="24"/>
          <w:szCs w:val="24"/>
          <w14:textFill>
            <w14:solidFill>
              <w14:schemeClr w14:val="tx1"/>
            </w14:solidFill>
          </w14:textFill>
        </w:rPr>
        <w:t>一般工业固体废物临时储存地点必须建有天棚，不允许露天堆放，以防雨水冲刷，雨水通过场地四周导流渠流向雨水排放管；临时堆放场地为水泥铺设地面，以防渗漏。</w:t>
      </w:r>
    </w:p>
    <w:p w14:paraId="44BDD5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default" w:ascii="Arial" w:hAnsi="Arial" w:eastAsia="宋体" w:cs="Arial"/>
          <w:sz w:val="24"/>
          <w:szCs w:val="24"/>
        </w:rPr>
      </w:pPr>
      <w:r>
        <w:rPr>
          <w:rFonts w:hint="default" w:ascii="Arial" w:hAnsi="Arial" w:eastAsia="宋体" w:cs="Arial"/>
          <w:color w:val="000000" w:themeColor="text1"/>
          <w:sz w:val="24"/>
          <w:szCs w:val="24"/>
          <w:lang w:val="en-US" w:eastAsia="zh-CN"/>
          <w14:textFill>
            <w14:solidFill>
              <w14:schemeClr w14:val="tx1"/>
            </w14:solidFill>
          </w14:textFill>
        </w:rPr>
        <w:t>③</w:t>
      </w:r>
      <w:r>
        <w:rPr>
          <w:rFonts w:hint="default" w:ascii="Arial" w:hAnsi="Arial" w:eastAsia="宋体" w:cs="Arial"/>
          <w:color w:val="000000" w:themeColor="text1"/>
          <w:sz w:val="24"/>
          <w:szCs w:val="24"/>
          <w14:textFill>
            <w14:solidFill>
              <w14:schemeClr w14:val="tx1"/>
            </w14:solidFill>
          </w14:textFill>
        </w:rPr>
        <w:t>储存场应加强监督管理，按G</w:t>
      </w:r>
      <w:r>
        <w:rPr>
          <w:rFonts w:hint="default" w:ascii="Arial" w:hAnsi="Arial" w:eastAsia="宋体" w:cs="Arial"/>
          <w:sz w:val="24"/>
          <w:szCs w:val="24"/>
        </w:rPr>
        <w:t>B15562.2设置环境保护图形标志。</w:t>
      </w:r>
    </w:p>
    <w:p w14:paraId="2087A05A">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lang w:val="en-US" w:eastAsia="zh-CN"/>
        </w:rPr>
        <w:t>④</w:t>
      </w:r>
      <w:r>
        <w:rPr>
          <w:rFonts w:hint="default" w:ascii="Arial" w:hAnsi="Arial" w:eastAsia="宋体" w:cs="Arial"/>
          <w:sz w:val="24"/>
          <w:szCs w:val="24"/>
        </w:rPr>
        <w:t>建立档案制度，将临时储存的一般工业固体废物的种类、数量和外运的一般工业固体废物的种类、数量详细记录在案，长期保存，供随时查阅。</w:t>
      </w:r>
    </w:p>
    <w:p w14:paraId="0B27965F">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4.2.4.7危险废物日常管理要求</w:t>
      </w:r>
    </w:p>
    <w:p w14:paraId="10D1B381">
      <w:pPr>
        <w:spacing w:line="360" w:lineRule="auto"/>
        <w:ind w:firstLine="480" w:firstLineChars="200"/>
        <w:rPr>
          <w:rFonts w:hint="default" w:ascii="Arial" w:hAnsi="Arial" w:eastAsia="宋体" w:cs="Arial"/>
          <w:sz w:val="24"/>
        </w:rPr>
      </w:pPr>
      <w:r>
        <w:rPr>
          <w:rFonts w:hint="default" w:ascii="Arial" w:hAnsi="Arial" w:eastAsia="宋体" w:cs="Arial"/>
          <w:sz w:val="24"/>
        </w:rPr>
        <w:t>要求企业履行申报的登记制度，建立工业危险废物台账管理制度。项目危险废物的产生、贮存、利用及处置去向需在“全国固体废物和化学品管理系统（固体废物管理信息系统）”中进行填报。</w:t>
      </w:r>
    </w:p>
    <w:p w14:paraId="4C58DAD1">
      <w:pPr>
        <w:spacing w:line="360" w:lineRule="auto"/>
        <w:ind w:firstLine="480" w:firstLineChars="200"/>
        <w:rPr>
          <w:rFonts w:hint="default" w:ascii="Arial" w:hAnsi="Arial" w:eastAsia="宋体" w:cs="Arial"/>
          <w:sz w:val="24"/>
        </w:rPr>
      </w:pPr>
      <w:r>
        <w:rPr>
          <w:rFonts w:hint="default" w:ascii="Arial" w:hAnsi="Arial" w:eastAsia="宋体" w:cs="Arial"/>
          <w:sz w:val="24"/>
        </w:rPr>
        <w:t>根据《危险废物贮存污染控制标准》（GB18597—2023），危险废物具有长期性、隐蔽性和潜在性，必须从以下几方面加强对危险固废的管理力度。</w:t>
      </w:r>
    </w:p>
    <w:p w14:paraId="7AC11E45">
      <w:pPr>
        <w:spacing w:line="360" w:lineRule="auto"/>
        <w:ind w:firstLine="480" w:firstLineChars="200"/>
        <w:rPr>
          <w:rFonts w:hint="default" w:ascii="Arial" w:hAnsi="Arial" w:eastAsia="宋体" w:cs="Arial"/>
          <w:sz w:val="24"/>
        </w:rPr>
      </w:pPr>
      <w:r>
        <w:rPr>
          <w:rFonts w:hint="default" w:ascii="Arial" w:hAnsi="Arial" w:eastAsia="宋体" w:cs="Arial"/>
          <w:sz w:val="24"/>
        </w:rPr>
        <w:t>①先对危险废物的产生源及固废产生量进行申报登记。</w:t>
      </w:r>
    </w:p>
    <w:p w14:paraId="781214E5">
      <w:pPr>
        <w:spacing w:line="360" w:lineRule="auto"/>
        <w:ind w:firstLine="480" w:firstLineChars="200"/>
        <w:rPr>
          <w:rFonts w:hint="default" w:ascii="Arial" w:hAnsi="Arial" w:eastAsia="宋体" w:cs="Arial"/>
          <w:sz w:val="24"/>
        </w:rPr>
      </w:pPr>
      <w:r>
        <w:rPr>
          <w:rFonts w:hint="default" w:ascii="Arial" w:hAnsi="Arial" w:eastAsia="宋体" w:cs="Arial"/>
          <w:sz w:val="24"/>
        </w:rPr>
        <w:t>②对危险废物的转移运输要实行《危险废物转移联单管理办法》，实行五联单制度。运输单位、接受单位及当地生态环境部门进行跟踪联单。</w:t>
      </w:r>
    </w:p>
    <w:p w14:paraId="3F7CA81E">
      <w:pPr>
        <w:spacing w:line="360" w:lineRule="auto"/>
        <w:ind w:firstLine="480" w:firstLineChars="200"/>
        <w:rPr>
          <w:rFonts w:hint="default" w:ascii="Arial" w:hAnsi="Arial" w:eastAsia="宋体" w:cs="Arial"/>
          <w:sz w:val="24"/>
        </w:rPr>
      </w:pPr>
      <w:r>
        <w:rPr>
          <w:rFonts w:hint="default" w:ascii="Arial" w:hAnsi="Arial" w:eastAsia="宋体" w:cs="Arial"/>
          <w:sz w:val="24"/>
        </w:rPr>
        <w:t>③考虑危险废物难以保证及时外运处置，必须考虑固废临时堆场，危险废物的暂存场必须有按规定设防渗漏等措施，并按《危险废物贮存污染控制标准》（GB 18597—2023）的相关要求落实危险废物的贮存容器。</w:t>
      </w:r>
    </w:p>
    <w:p w14:paraId="559B3558">
      <w:pPr>
        <w:spacing w:line="360" w:lineRule="auto"/>
        <w:ind w:firstLine="480" w:firstLineChars="200"/>
        <w:rPr>
          <w:rFonts w:hint="default" w:ascii="Arial" w:hAnsi="Arial" w:eastAsia="宋体" w:cs="Arial"/>
          <w:sz w:val="24"/>
        </w:rPr>
      </w:pPr>
      <w:r>
        <w:rPr>
          <w:rFonts w:hint="default" w:ascii="Arial" w:hAnsi="Arial" w:eastAsia="宋体" w:cs="Arial"/>
          <w:sz w:val="24"/>
        </w:rPr>
        <w:t>④项目固废处置时，尽可能采用减量化、资源化利用措施。委托处置的应与处置单位签订委托处置合同，报生态环境部门备案。危险废物转移需执行报批和转移联单等制度。各固废在外运处置前，须在厂内安全暂存，确保固废不产生二次污染。</w:t>
      </w:r>
    </w:p>
    <w:p w14:paraId="27769028">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4.2.4.8危险废物运输管理要求</w:t>
      </w:r>
    </w:p>
    <w:p w14:paraId="37D42F50">
      <w:pPr>
        <w:pStyle w:val="917"/>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Arial" w:hAnsi="Arial" w:eastAsia="宋体" w:cs="Arial"/>
          <w:kern w:val="0"/>
          <w:sz w:val="24"/>
          <w:szCs w:val="24"/>
          <w:lang w:val="en-US" w:eastAsia="zh-CN" w:bidi="ar-SA"/>
        </w:rPr>
      </w:pPr>
      <w:r>
        <w:rPr>
          <w:rFonts w:hint="default" w:ascii="Arial" w:hAnsi="Arial" w:eastAsia="宋体" w:cs="Arial"/>
          <w:kern w:val="0"/>
          <w:sz w:val="24"/>
          <w:szCs w:val="24"/>
          <w:lang w:val="en-US" w:eastAsia="zh-CN" w:bidi="ar-SA"/>
        </w:rPr>
        <w:t>企业在厂内由生产车间将各类危废运送至危废仓库时应防止撒落，意外撒落应做好收集工作。企业必须对在生产运行过程中产生的危险废物进行申报登记，制定定期外运制度，并对危险废物的流向和最终处置进行跟踪，确保固体废物得到有效处置，禁止在转移过程中将危险废物排放至环境中，防止运输过程中危险废物的污染损害是防止危险废物污染损害的主要环节之一。</w:t>
      </w:r>
    </w:p>
    <w:p w14:paraId="35756FA8">
      <w:pPr>
        <w:spacing w:line="360" w:lineRule="auto"/>
        <w:ind w:firstLine="456" w:firstLineChars="200"/>
        <w:rPr>
          <w:rFonts w:hint="default" w:ascii="Arial" w:hAnsi="Arial" w:eastAsia="宋体" w:cs="Arial"/>
          <w:sz w:val="24"/>
        </w:rPr>
      </w:pPr>
      <w:r>
        <w:rPr>
          <w:rFonts w:hint="default" w:ascii="Arial" w:hAnsi="Arial" w:eastAsia="宋体" w:cs="Arial"/>
          <w:spacing w:val="-6"/>
          <w:kern w:val="0"/>
          <w:sz w:val="24"/>
          <w:szCs w:val="24"/>
          <w:lang w:val="en-US" w:eastAsia="zh-CN" w:bidi="ar-SA"/>
        </w:rPr>
        <w:t>运输危险废物，必须同时符合两个要求，一是必须采取防止污染环境的措施，符合环境保护的要求，做到无害化的运输；二是必须将所运输的危险废物作为危险货物对待，遵守国家有关危险货物运输管理的规定，符合危险货物运输的安全防护要求，做到安全运输；则危废运输过程不会对周边环境产生影响。</w:t>
      </w:r>
    </w:p>
    <w:p w14:paraId="2F3C5A8C">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地下水及土壤环境影响和保护措施</w:t>
      </w:r>
    </w:p>
    <w:p w14:paraId="0A9BDEAD">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（1）地下水及土壤污染源</w:t>
      </w:r>
    </w:p>
    <w:p w14:paraId="7901D336">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根据本项目污染物产排情况及车间设备布局情况，可确定地下水及土壤污染源主要为</w:t>
      </w:r>
      <w:r>
        <w:rPr>
          <w:rFonts w:hint="default" w:ascii="Arial" w:hAnsi="Arial" w:eastAsia="宋体" w:cs="Arial"/>
          <w:sz w:val="24"/>
          <w:szCs w:val="24"/>
          <w:lang w:val="en-US" w:eastAsia="zh-CN"/>
        </w:rPr>
        <w:t>生产车间（废水处理设施）、</w:t>
      </w:r>
      <w:r>
        <w:rPr>
          <w:rFonts w:hint="default" w:ascii="Arial" w:hAnsi="Arial" w:eastAsia="宋体" w:cs="Arial"/>
          <w:sz w:val="24"/>
          <w:szCs w:val="24"/>
        </w:rPr>
        <w:t>危废仓库。主要污染物为</w:t>
      </w:r>
      <w:r>
        <w:rPr>
          <w:rFonts w:hint="default" w:ascii="Arial" w:hAnsi="Arial" w:eastAsia="宋体" w:cs="Arial"/>
          <w:sz w:val="24"/>
          <w:szCs w:val="24"/>
          <w:lang w:val="en-US" w:eastAsia="zh-CN"/>
        </w:rPr>
        <w:t>生产废水、化学品（清洗剂、防锈剂）</w:t>
      </w:r>
      <w:r>
        <w:rPr>
          <w:rFonts w:hint="default" w:ascii="Arial" w:hAnsi="Arial" w:eastAsia="宋体" w:cs="Arial"/>
          <w:sz w:val="24"/>
          <w:szCs w:val="24"/>
        </w:rPr>
        <w:t>、危险废物。</w:t>
      </w:r>
    </w:p>
    <w:p w14:paraId="4BEA59FE">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（2）污染途径分析</w:t>
      </w:r>
    </w:p>
    <w:p w14:paraId="18DDD628">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地下水和土壤污染防治措施以预防为主，按照“源头控制、末端防治、污染监控、应急响应”相结合的原则，从污染物的产生、入渗、扩散全阶段进行控制。从项目特点来看，可能造成地下水环及土壤境影响的污染来源主要为化学品仓库、危废仓库等。只要企业按照相关规范要求做好化学品仓库和危废仓库的防漏、防渗措施，定期修检管道，落实责任制度，定期组织隐患排查工作，地下水及土壤污染途径均能被有效的分区防控措施阻隔。因此，正常工况下，在企业设置有效的分区防控措施的前提下，本项目不存在地下水及土壤的污染途径。</w:t>
      </w:r>
    </w:p>
    <w:p w14:paraId="53729BEE">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（3）污染防治措施</w:t>
      </w:r>
    </w:p>
    <w:p w14:paraId="3EAC6DC2">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结合“源头控制、末端防治、污染监控、应急响应”原则，本项目地下水和土壤具体污染防治措施可参照如下要求执行：</w:t>
      </w:r>
    </w:p>
    <w:p w14:paraId="3D03BA51">
      <w:pPr>
        <w:pStyle w:val="76"/>
        <w:numPr>
          <w:ilvl w:val="0"/>
          <w:numId w:val="14"/>
        </w:numPr>
        <w:spacing w:line="360" w:lineRule="auto"/>
        <w:rPr>
          <w:rFonts w:hint="default" w:ascii="Arial" w:hAnsi="Arial" w:eastAsia="宋体" w:cs="Arial"/>
          <w:sz w:val="24"/>
          <w:szCs w:val="24"/>
        </w:rPr>
      </w:pPr>
      <w:r>
        <w:rPr>
          <w:rFonts w:hint="default" w:ascii="Arial" w:hAnsi="Arial" w:eastAsia="宋体" w:cs="Arial"/>
          <w:sz w:val="24"/>
          <w:szCs w:val="24"/>
        </w:rPr>
        <w:t>源头控制措施</w:t>
      </w:r>
    </w:p>
    <w:p w14:paraId="79F49003">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主要包括制定各类废物循环利用的具体方案，减少污染物的排放量；择优选取并落实工艺、管道、设备、污水储存及处理构筑物的污染控制措施，防止和降低污染物跑、冒、滴、漏。</w:t>
      </w:r>
    </w:p>
    <w:p w14:paraId="10D54B85">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②分区控制措施</w:t>
      </w:r>
    </w:p>
    <w:p w14:paraId="43532C2C">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主要包括厂内污染区地面的防渗措施和泄漏、渗漏污染物收集措施，即在污染区地面进行防渗处理，防止洒落地面的污染物渗入地下，并把滞留在地面的污染物收集起来；一般情况下应以水平防渗为主，对难以采取水平防渗的场地，可采用垂向防渗为主，局部水平防渗为辅的防控措施。分区防控原则，即：对重点防渗区、一般防渗区和简单防渗区采取有区别的防渗原则。</w:t>
      </w:r>
    </w:p>
    <w:p w14:paraId="1823640E">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根据项目可能泄漏至地面区域污染物的性质和生产单元的构筑方式，将厂区划分为简单防渗区、一般防渗区和重点防渗区。防渗区域划分及防渗要求见表4-</w:t>
      </w:r>
      <w:r>
        <w:rPr>
          <w:rFonts w:hint="eastAsia" w:ascii="Arial" w:hAnsi="Arial" w:eastAsia="宋体" w:cs="Arial"/>
          <w:sz w:val="24"/>
          <w:szCs w:val="24"/>
          <w:lang w:val="en-US" w:eastAsia="zh-CN"/>
        </w:rPr>
        <w:t>20</w:t>
      </w:r>
      <w:r>
        <w:rPr>
          <w:rFonts w:hint="default" w:ascii="Arial" w:hAnsi="Arial" w:eastAsia="宋体" w:cs="Arial"/>
          <w:sz w:val="24"/>
          <w:szCs w:val="24"/>
        </w:rPr>
        <w:t>。</w:t>
      </w:r>
    </w:p>
    <w:p w14:paraId="0967977D">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分区划分及防渗要求</w:t>
      </w:r>
    </w:p>
    <w:tbl>
      <w:tblPr>
        <w:tblStyle w:val="52"/>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57"/>
        <w:gridCol w:w="2915"/>
        <w:gridCol w:w="3646"/>
      </w:tblGrid>
      <w:tr w14:paraId="1B05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tblHeader/>
          <w:jc w:val="center"/>
        </w:trPr>
        <w:tc>
          <w:tcPr>
            <w:tcW w:w="1532" w:type="dxa"/>
            <w:tcMar>
              <w:top w:w="0" w:type="dxa"/>
              <w:left w:w="57" w:type="dxa"/>
              <w:bottom w:w="0" w:type="dxa"/>
              <w:right w:w="57" w:type="dxa"/>
            </w:tcMar>
            <w:vAlign w:val="center"/>
          </w:tcPr>
          <w:p w14:paraId="1FD2A526">
            <w:pPr>
              <w:contextualSpacing/>
              <w:jc w:val="center"/>
              <w:rPr>
                <w:rFonts w:hint="default" w:ascii="Arial" w:hAnsi="Arial" w:eastAsia="宋体" w:cs="Arial"/>
                <w:szCs w:val="21"/>
              </w:rPr>
            </w:pPr>
            <w:r>
              <w:rPr>
                <w:rFonts w:hint="default" w:ascii="Arial" w:hAnsi="Arial" w:eastAsia="宋体" w:cs="Arial"/>
                <w:szCs w:val="21"/>
              </w:rPr>
              <w:t>分区类比</w:t>
            </w:r>
          </w:p>
        </w:tc>
        <w:tc>
          <w:tcPr>
            <w:tcW w:w="3072" w:type="dxa"/>
            <w:tcMar>
              <w:top w:w="0" w:type="dxa"/>
              <w:left w:w="57" w:type="dxa"/>
              <w:bottom w:w="0" w:type="dxa"/>
              <w:right w:w="57" w:type="dxa"/>
            </w:tcMar>
            <w:vAlign w:val="center"/>
          </w:tcPr>
          <w:p w14:paraId="11C1612B">
            <w:pPr>
              <w:contextualSpacing/>
              <w:jc w:val="center"/>
              <w:rPr>
                <w:rFonts w:hint="default" w:ascii="Arial" w:hAnsi="Arial" w:eastAsia="宋体" w:cs="Arial"/>
                <w:szCs w:val="21"/>
              </w:rPr>
            </w:pPr>
            <w:r>
              <w:rPr>
                <w:rFonts w:hint="default" w:ascii="Arial" w:hAnsi="Arial" w:eastAsia="宋体" w:cs="Arial"/>
                <w:szCs w:val="21"/>
              </w:rPr>
              <w:t>分区举例</w:t>
            </w:r>
          </w:p>
        </w:tc>
        <w:tc>
          <w:tcPr>
            <w:tcW w:w="3844" w:type="dxa"/>
            <w:tcMar>
              <w:top w:w="0" w:type="dxa"/>
              <w:left w:w="57" w:type="dxa"/>
              <w:bottom w:w="0" w:type="dxa"/>
              <w:right w:w="57" w:type="dxa"/>
            </w:tcMar>
            <w:vAlign w:val="center"/>
          </w:tcPr>
          <w:p w14:paraId="2AED40FF">
            <w:pPr>
              <w:contextualSpacing/>
              <w:jc w:val="center"/>
              <w:rPr>
                <w:rFonts w:hint="default" w:ascii="Arial" w:hAnsi="Arial" w:eastAsia="宋体" w:cs="Arial"/>
                <w:szCs w:val="21"/>
              </w:rPr>
            </w:pPr>
            <w:r>
              <w:rPr>
                <w:rFonts w:hint="default" w:ascii="Arial" w:hAnsi="Arial" w:eastAsia="宋体" w:cs="Arial"/>
                <w:szCs w:val="21"/>
              </w:rPr>
              <w:t>防渗要求</w:t>
            </w:r>
          </w:p>
        </w:tc>
      </w:tr>
      <w:tr w14:paraId="087E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tblHeader/>
          <w:jc w:val="center"/>
        </w:trPr>
        <w:tc>
          <w:tcPr>
            <w:tcW w:w="1532" w:type="dxa"/>
            <w:tcMar>
              <w:top w:w="0" w:type="dxa"/>
              <w:left w:w="57" w:type="dxa"/>
              <w:bottom w:w="0" w:type="dxa"/>
              <w:right w:w="57" w:type="dxa"/>
            </w:tcMar>
            <w:vAlign w:val="center"/>
          </w:tcPr>
          <w:p w14:paraId="61FE52F8">
            <w:pPr>
              <w:contextualSpacing/>
              <w:jc w:val="center"/>
              <w:rPr>
                <w:rFonts w:hint="default" w:ascii="Arial" w:hAnsi="Arial" w:eastAsia="宋体" w:cs="Arial"/>
                <w:szCs w:val="21"/>
              </w:rPr>
            </w:pPr>
            <w:r>
              <w:rPr>
                <w:rFonts w:hint="default" w:ascii="Arial" w:hAnsi="Arial" w:eastAsia="宋体" w:cs="Arial"/>
                <w:szCs w:val="21"/>
              </w:rPr>
              <w:t>简单防渗区</w:t>
            </w:r>
          </w:p>
        </w:tc>
        <w:tc>
          <w:tcPr>
            <w:tcW w:w="3072" w:type="dxa"/>
            <w:tcMar>
              <w:top w:w="0" w:type="dxa"/>
              <w:left w:w="57" w:type="dxa"/>
              <w:bottom w:w="0" w:type="dxa"/>
              <w:right w:w="57" w:type="dxa"/>
            </w:tcMar>
            <w:vAlign w:val="center"/>
          </w:tcPr>
          <w:p w14:paraId="4E1535FB">
            <w:pPr>
              <w:contextualSpacing/>
              <w:jc w:val="center"/>
              <w:rPr>
                <w:rFonts w:hint="default" w:ascii="Arial" w:hAnsi="Arial" w:eastAsia="宋体" w:cs="Arial"/>
                <w:szCs w:val="21"/>
                <w:lang w:eastAsia="zh-CN"/>
              </w:rPr>
            </w:pPr>
            <w:r>
              <w:rPr>
                <w:rFonts w:hint="default" w:ascii="Arial" w:hAnsi="Arial" w:eastAsia="宋体" w:cs="Arial"/>
                <w:szCs w:val="21"/>
                <w:lang w:val="en-US" w:eastAsia="zh-CN"/>
              </w:rPr>
              <w:t>/</w:t>
            </w:r>
          </w:p>
        </w:tc>
        <w:tc>
          <w:tcPr>
            <w:tcW w:w="3844" w:type="dxa"/>
            <w:tcMar>
              <w:top w:w="0" w:type="dxa"/>
              <w:left w:w="57" w:type="dxa"/>
              <w:bottom w:w="0" w:type="dxa"/>
              <w:right w:w="57" w:type="dxa"/>
            </w:tcMar>
            <w:vAlign w:val="center"/>
          </w:tcPr>
          <w:p w14:paraId="35B250C9">
            <w:pPr>
              <w:contextualSpacing/>
              <w:jc w:val="center"/>
              <w:rPr>
                <w:rFonts w:hint="default" w:ascii="Arial" w:hAnsi="Arial" w:eastAsia="宋体" w:cs="Arial"/>
                <w:szCs w:val="21"/>
              </w:rPr>
            </w:pPr>
            <w:r>
              <w:rPr>
                <w:rFonts w:hint="default" w:ascii="Arial" w:hAnsi="Arial" w:eastAsia="宋体" w:cs="Arial"/>
                <w:szCs w:val="21"/>
              </w:rPr>
              <w:t>一般地面硬化</w:t>
            </w:r>
          </w:p>
        </w:tc>
      </w:tr>
      <w:tr w14:paraId="0B16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tblHeader/>
          <w:jc w:val="center"/>
        </w:trPr>
        <w:tc>
          <w:tcPr>
            <w:tcW w:w="1532" w:type="dxa"/>
            <w:tcMar>
              <w:top w:w="0" w:type="dxa"/>
              <w:left w:w="57" w:type="dxa"/>
              <w:bottom w:w="0" w:type="dxa"/>
              <w:right w:w="57" w:type="dxa"/>
            </w:tcMar>
            <w:vAlign w:val="center"/>
          </w:tcPr>
          <w:p w14:paraId="11CAC6AD">
            <w:pPr>
              <w:contextualSpacing/>
              <w:jc w:val="center"/>
              <w:rPr>
                <w:rFonts w:hint="default" w:ascii="Arial" w:hAnsi="Arial" w:eastAsia="宋体" w:cs="Arial"/>
                <w:szCs w:val="21"/>
              </w:rPr>
            </w:pPr>
            <w:r>
              <w:rPr>
                <w:rFonts w:hint="default" w:ascii="Arial" w:hAnsi="Arial" w:eastAsia="宋体" w:cs="Arial"/>
                <w:szCs w:val="21"/>
              </w:rPr>
              <w:t>一般防渗区</w:t>
            </w:r>
          </w:p>
        </w:tc>
        <w:tc>
          <w:tcPr>
            <w:tcW w:w="3072" w:type="dxa"/>
            <w:tcMar>
              <w:top w:w="0" w:type="dxa"/>
              <w:left w:w="57" w:type="dxa"/>
              <w:bottom w:w="0" w:type="dxa"/>
              <w:right w:w="57" w:type="dxa"/>
            </w:tcMar>
            <w:vAlign w:val="center"/>
          </w:tcPr>
          <w:p w14:paraId="09FA4FB5">
            <w:pPr>
              <w:contextualSpacing/>
              <w:jc w:val="center"/>
              <w:rPr>
                <w:rFonts w:hint="default" w:ascii="Arial" w:hAnsi="Arial" w:eastAsia="宋体" w:cs="Arial"/>
                <w:szCs w:val="21"/>
              </w:rPr>
            </w:pPr>
            <w:r>
              <w:rPr>
                <w:rFonts w:hint="default" w:ascii="Arial" w:hAnsi="Arial" w:eastAsia="宋体" w:cs="Arial"/>
                <w:szCs w:val="21"/>
              </w:rPr>
              <w:t>生产区域</w:t>
            </w:r>
          </w:p>
        </w:tc>
        <w:tc>
          <w:tcPr>
            <w:tcW w:w="3844" w:type="dxa"/>
            <w:tcMar>
              <w:top w:w="0" w:type="dxa"/>
              <w:left w:w="57" w:type="dxa"/>
              <w:bottom w:w="0" w:type="dxa"/>
              <w:right w:w="57" w:type="dxa"/>
            </w:tcMar>
            <w:vAlign w:val="center"/>
          </w:tcPr>
          <w:p w14:paraId="10202074">
            <w:pPr>
              <w:contextualSpacing/>
              <w:jc w:val="center"/>
              <w:rPr>
                <w:rFonts w:hint="default" w:ascii="Arial" w:hAnsi="Arial" w:eastAsia="宋体" w:cs="Arial"/>
                <w:szCs w:val="21"/>
              </w:rPr>
            </w:pPr>
            <w:r>
              <w:rPr>
                <w:rFonts w:hint="default" w:ascii="Arial" w:hAnsi="Arial" w:eastAsia="宋体" w:cs="Arial"/>
                <w:szCs w:val="21"/>
              </w:rPr>
              <w:t>等效黏土防渗层Mb≥1.5m，K≤1×10</w:t>
            </w:r>
            <w:r>
              <w:rPr>
                <w:rFonts w:hint="default" w:ascii="Arial" w:hAnsi="Arial" w:eastAsia="宋体" w:cs="Arial"/>
                <w:szCs w:val="21"/>
                <w:vertAlign w:val="superscript"/>
              </w:rPr>
              <w:t>-7</w:t>
            </w:r>
            <w:r>
              <w:rPr>
                <w:rFonts w:hint="default" w:ascii="Arial" w:hAnsi="Arial" w:eastAsia="宋体" w:cs="Arial"/>
                <w:szCs w:val="21"/>
              </w:rPr>
              <w:t>cm/s；或参照GB16889执行</w:t>
            </w:r>
          </w:p>
        </w:tc>
      </w:tr>
      <w:tr w14:paraId="25504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tblHeader/>
          <w:jc w:val="center"/>
        </w:trPr>
        <w:tc>
          <w:tcPr>
            <w:tcW w:w="1532" w:type="dxa"/>
            <w:tcMar>
              <w:top w:w="0" w:type="dxa"/>
              <w:left w:w="57" w:type="dxa"/>
              <w:bottom w:w="0" w:type="dxa"/>
              <w:right w:w="57" w:type="dxa"/>
            </w:tcMar>
            <w:vAlign w:val="center"/>
          </w:tcPr>
          <w:p w14:paraId="7945F05C">
            <w:pPr>
              <w:contextualSpacing/>
              <w:jc w:val="center"/>
              <w:rPr>
                <w:rFonts w:hint="default" w:ascii="Arial" w:hAnsi="Arial" w:eastAsia="宋体" w:cs="Arial"/>
                <w:szCs w:val="21"/>
              </w:rPr>
            </w:pPr>
            <w:r>
              <w:rPr>
                <w:rFonts w:hint="default" w:ascii="Arial" w:hAnsi="Arial" w:eastAsia="宋体" w:cs="Arial"/>
                <w:szCs w:val="21"/>
              </w:rPr>
              <w:t>重点防渗</w:t>
            </w:r>
          </w:p>
        </w:tc>
        <w:tc>
          <w:tcPr>
            <w:tcW w:w="3072" w:type="dxa"/>
            <w:tcMar>
              <w:top w:w="0" w:type="dxa"/>
              <w:left w:w="57" w:type="dxa"/>
              <w:bottom w:w="0" w:type="dxa"/>
              <w:right w:w="57" w:type="dxa"/>
            </w:tcMar>
            <w:vAlign w:val="center"/>
          </w:tcPr>
          <w:p w14:paraId="5D1C72C0">
            <w:pPr>
              <w:contextualSpacing/>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污水处理站、</w:t>
            </w:r>
            <w:r>
              <w:rPr>
                <w:rFonts w:hint="default" w:ascii="Arial" w:hAnsi="Arial" w:eastAsia="宋体" w:cs="Arial"/>
                <w:color w:val="auto"/>
                <w:szCs w:val="21"/>
              </w:rPr>
              <w:t>危废暂存库</w:t>
            </w:r>
            <w:r>
              <w:rPr>
                <w:rFonts w:hint="default" w:ascii="Arial" w:hAnsi="Arial" w:eastAsia="宋体" w:cs="Arial"/>
                <w:color w:val="auto"/>
                <w:szCs w:val="21"/>
                <w:lang w:eastAsia="zh-CN"/>
              </w:rPr>
              <w:t>、</w:t>
            </w:r>
            <w:r>
              <w:rPr>
                <w:rFonts w:hint="default" w:ascii="Arial" w:hAnsi="Arial" w:eastAsia="宋体" w:cs="Arial"/>
                <w:color w:val="auto"/>
                <w:szCs w:val="21"/>
                <w:lang w:val="en-US" w:eastAsia="zh-CN"/>
              </w:rPr>
              <w:t>废水处理浓缩液贮存库</w:t>
            </w:r>
          </w:p>
        </w:tc>
        <w:tc>
          <w:tcPr>
            <w:tcW w:w="3844" w:type="dxa"/>
            <w:tcMar>
              <w:top w:w="0" w:type="dxa"/>
              <w:left w:w="57" w:type="dxa"/>
              <w:bottom w:w="0" w:type="dxa"/>
              <w:right w:w="57" w:type="dxa"/>
            </w:tcMar>
            <w:vAlign w:val="center"/>
          </w:tcPr>
          <w:p w14:paraId="69277798">
            <w:pPr>
              <w:contextualSpacing/>
              <w:jc w:val="center"/>
              <w:rPr>
                <w:rFonts w:hint="default" w:ascii="Arial" w:hAnsi="Arial" w:eastAsia="宋体" w:cs="Arial"/>
                <w:color w:val="auto"/>
                <w:szCs w:val="21"/>
              </w:rPr>
            </w:pPr>
            <w:r>
              <w:rPr>
                <w:rFonts w:hint="default" w:ascii="Arial" w:hAnsi="Arial" w:eastAsia="宋体" w:cs="Arial"/>
                <w:color w:val="auto"/>
                <w:szCs w:val="21"/>
              </w:rPr>
              <w:t>等效黏土防渗层Mb≥6.0m，K≤1×10</w:t>
            </w:r>
            <w:r>
              <w:rPr>
                <w:rFonts w:hint="default" w:ascii="Arial" w:hAnsi="Arial" w:eastAsia="宋体" w:cs="Arial"/>
                <w:color w:val="auto"/>
                <w:szCs w:val="21"/>
                <w:vertAlign w:val="superscript"/>
              </w:rPr>
              <w:t>-7</w:t>
            </w:r>
            <w:r>
              <w:rPr>
                <w:rFonts w:hint="default" w:ascii="Arial" w:hAnsi="Arial" w:eastAsia="宋体" w:cs="Arial"/>
                <w:color w:val="auto"/>
                <w:szCs w:val="21"/>
              </w:rPr>
              <w:t>cm/s；或参照GB18598执行</w:t>
            </w:r>
          </w:p>
        </w:tc>
      </w:tr>
    </w:tbl>
    <w:p w14:paraId="66A80F90">
      <w:pPr>
        <w:pStyle w:val="76"/>
        <w:spacing w:line="360" w:lineRule="auto"/>
        <w:ind w:firstLine="480" w:firstLineChars="200"/>
        <w:rPr>
          <w:rFonts w:hint="default" w:ascii="Arial" w:hAnsi="Arial" w:eastAsia="宋体" w:cs="Arial"/>
          <w:sz w:val="24"/>
          <w:szCs w:val="24"/>
        </w:rPr>
      </w:pPr>
    </w:p>
    <w:p w14:paraId="0CDAE76D">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③建立地下水及土壤隐患排查制度</w:t>
      </w:r>
    </w:p>
    <w:p w14:paraId="5BCA4FFB">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通过建立地下水及土壤隐患排查制度，可及时发现地下水及土壤污染隐患并采取措施消除或降低隐患。隐患排查制度实施方案一般包括：确定排查范围、开展现场排查、落实隐患整改、档案建立与应用等。排查过程应重点关注：</w:t>
      </w:r>
    </w:p>
    <w:p w14:paraId="411E5A92">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a.重点场所和重点设施设备是否具有基本的防渗漏、流失、扬散的地下水及土壤污染预防功能（如：危废仓库规范化建设），以及有关预防地下水及土壤污染管理制度建立和执行情况。</w:t>
      </w:r>
    </w:p>
    <w:p w14:paraId="09A238CA">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b.在发生渗漏、流失、扬散的情况下，是否具有防止污染物进入地下水和土壤的设施，包括普通阻隔设施、防滴漏设施（如原料桶采用托盘盛放），以及防渗阻隔系统等。</w:t>
      </w:r>
    </w:p>
    <w:p w14:paraId="6BE43C68">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c.是否有能有效、及时发现并处理泄漏、渗漏或者地下水及土壤污染的设施或者措施。如泄漏检测设施、土壤和地下水环境定期监测、应急措施和应急物资储备等。普通阻隔设施需要更严格的管理措施，防渗阻隔系统需要定期检测防渗性能。</w:t>
      </w:r>
    </w:p>
    <w:p w14:paraId="17E5CBA5">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（4）跟踪监测计划</w:t>
      </w:r>
    </w:p>
    <w:p w14:paraId="77A66B73">
      <w:pPr>
        <w:pStyle w:val="76"/>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总之，企业要加强污染物源头控制，严格落实分区防渗控制措施，切实做好建设项目的事故风险防范措施，在落实上述要求后，本项目不存在地下水及土壤的污染途径，对地下水和土壤环境影响不大，无需开展地下水和土壤跟踪监测。</w:t>
      </w:r>
    </w:p>
    <w:p w14:paraId="19EE0903">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生态</w:t>
      </w:r>
    </w:p>
    <w:p w14:paraId="73F5756D">
      <w:pPr>
        <w:pStyle w:val="76"/>
        <w:spacing w:line="360" w:lineRule="auto"/>
        <w:ind w:left="105" w:leftChars="50" w:right="105" w:rightChars="50" w:firstLine="480"/>
        <w:rPr>
          <w:rFonts w:hint="default" w:ascii="Arial" w:hAnsi="Arial" w:eastAsia="宋体" w:cs="Arial"/>
          <w:sz w:val="24"/>
          <w:szCs w:val="24"/>
        </w:rPr>
      </w:pPr>
      <w:r>
        <w:rPr>
          <w:rFonts w:hint="default" w:ascii="Arial" w:hAnsi="Arial" w:eastAsia="宋体" w:cs="Arial"/>
          <w:sz w:val="24"/>
          <w:szCs w:val="24"/>
        </w:rPr>
        <w:t>本项目选址位于浙江省嘉兴市平湖市五洲路</w:t>
      </w:r>
      <w:r>
        <w:rPr>
          <w:rFonts w:hint="default" w:ascii="Arial" w:hAnsi="Arial" w:eastAsia="宋体" w:cs="Arial"/>
          <w:sz w:val="24"/>
          <w:szCs w:val="24"/>
          <w:lang w:val="en-US" w:eastAsia="zh-CN"/>
        </w:rPr>
        <w:t>1268</w:t>
      </w:r>
      <w:r>
        <w:rPr>
          <w:rFonts w:hint="default" w:ascii="Arial" w:hAnsi="Arial" w:eastAsia="宋体" w:cs="Arial"/>
          <w:sz w:val="24"/>
          <w:szCs w:val="24"/>
        </w:rPr>
        <w:t>号，</w:t>
      </w:r>
      <w:r>
        <w:rPr>
          <w:rFonts w:hint="default" w:ascii="Arial" w:hAnsi="Arial" w:eastAsia="宋体" w:cs="Arial"/>
          <w:sz w:val="24"/>
          <w:szCs w:val="24"/>
          <w:lang w:val="en-US" w:eastAsia="zh-CN"/>
        </w:rPr>
        <w:t>利用</w:t>
      </w:r>
      <w:r>
        <w:rPr>
          <w:rFonts w:hint="default" w:ascii="Arial" w:hAnsi="Arial" w:eastAsia="宋体" w:cs="Arial"/>
          <w:sz w:val="24"/>
          <w:szCs w:val="24"/>
        </w:rPr>
        <w:t>已建生产厂房实施，周边无生态环境保护目标。经分析，施工期主要为少量设备安装过程，不会对周围生态环境产生影响。营运期废水、噪声可达标排放，固体废物可妥善处置，对周边生态环境影响较小。</w:t>
      </w:r>
    </w:p>
    <w:p w14:paraId="3C552FEB">
      <w:pPr>
        <w:pStyle w:val="76"/>
        <w:numPr>
          <w:ilvl w:val="2"/>
          <w:numId w:val="4"/>
        </w:numPr>
        <w:spacing w:line="360" w:lineRule="auto"/>
        <w:ind w:left="210" w:leftChars="0" w:firstLine="0" w:firstLineChars="0"/>
        <w:outlineLvl w:val="2"/>
        <w:rPr>
          <w:rFonts w:hint="default" w:ascii="Arial" w:hAnsi="Arial" w:eastAsia="宋体" w:cs="Arial"/>
          <w:b/>
          <w:bCs/>
          <w:sz w:val="24"/>
          <w:szCs w:val="24"/>
        </w:rPr>
      </w:pPr>
      <w:r>
        <w:rPr>
          <w:rFonts w:hint="default" w:ascii="Arial" w:hAnsi="Arial" w:eastAsia="宋体" w:cs="Arial"/>
          <w:b/>
          <w:bCs/>
          <w:sz w:val="24"/>
          <w:szCs w:val="24"/>
        </w:rPr>
        <w:t>环境风险分析及风险防范措施</w:t>
      </w:r>
    </w:p>
    <w:p w14:paraId="3DD658C0">
      <w:pPr>
        <w:spacing w:line="360" w:lineRule="auto"/>
        <w:rPr>
          <w:rFonts w:hint="default" w:ascii="Arial" w:hAnsi="Arial" w:eastAsia="宋体" w:cs="Arial"/>
          <w:b/>
          <w:bCs/>
          <w:sz w:val="24"/>
          <w:szCs w:val="24"/>
        </w:rPr>
      </w:pPr>
      <w:r>
        <w:rPr>
          <w:rFonts w:hint="default" w:ascii="Arial" w:hAnsi="Arial" w:eastAsia="宋体" w:cs="Arial"/>
          <w:b/>
          <w:bCs/>
          <w:sz w:val="24"/>
          <w:szCs w:val="24"/>
        </w:rPr>
        <w:t>4.2.7.1危险物质数量和分布情况</w:t>
      </w:r>
    </w:p>
    <w:p w14:paraId="15CE96CC">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建设项目环境风险评价技术导则》（HJ 169—2018）附录B（重点关注的危险物质及临界量），本项目涉及的危险物质主要有</w:t>
      </w:r>
      <w:r>
        <w:rPr>
          <w:rFonts w:hint="eastAsia" w:ascii="Arial" w:hAnsi="Arial" w:eastAsia="宋体" w:cs="Arial"/>
          <w:sz w:val="24"/>
          <w:szCs w:val="24"/>
          <w:lang w:val="en-US" w:eastAsia="zh-CN"/>
        </w:rPr>
        <w:t>切削液</w:t>
      </w:r>
      <w:r>
        <w:rPr>
          <w:rFonts w:hint="default" w:ascii="Arial" w:hAnsi="Arial" w:eastAsia="宋体" w:cs="Arial"/>
          <w:sz w:val="24"/>
          <w:szCs w:val="24"/>
          <w:lang w:val="en-US" w:eastAsia="zh-CN"/>
        </w:rPr>
        <w:t>、</w:t>
      </w:r>
      <w:r>
        <w:rPr>
          <w:rFonts w:hint="default" w:ascii="Arial" w:hAnsi="Arial" w:eastAsia="宋体" w:cs="Arial"/>
          <w:sz w:val="24"/>
          <w:szCs w:val="24"/>
        </w:rPr>
        <w:t>危险废物，建设项目危险物质的数量及分布情况见表4-</w:t>
      </w:r>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1</w:t>
      </w:r>
      <w:r>
        <w:rPr>
          <w:rFonts w:hint="default" w:ascii="Arial" w:hAnsi="Arial" w:eastAsia="宋体" w:cs="Arial"/>
          <w:sz w:val="24"/>
          <w:szCs w:val="24"/>
        </w:rPr>
        <w:t>。</w:t>
      </w:r>
    </w:p>
    <w:p w14:paraId="2DA0D489">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建设项目涉及危险物质数量及分布情况</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58"/>
        <w:gridCol w:w="1619"/>
        <w:gridCol w:w="1870"/>
        <w:gridCol w:w="1870"/>
      </w:tblGrid>
      <w:tr w14:paraId="7472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14:paraId="028FE3D6">
            <w:pPr>
              <w:spacing w:line="0" w:lineRule="atLeast"/>
              <w:jc w:val="center"/>
              <w:rPr>
                <w:rFonts w:hint="default" w:ascii="Arial" w:hAnsi="Arial" w:eastAsia="宋体" w:cs="Arial"/>
                <w:szCs w:val="21"/>
              </w:rPr>
            </w:pPr>
            <w:r>
              <w:rPr>
                <w:rFonts w:hint="default" w:ascii="Arial" w:hAnsi="Arial" w:eastAsia="宋体" w:cs="Arial"/>
                <w:szCs w:val="21"/>
              </w:rPr>
              <w:t>序号</w:t>
            </w:r>
          </w:p>
        </w:tc>
        <w:tc>
          <w:tcPr>
            <w:tcW w:w="1858" w:type="dxa"/>
            <w:vAlign w:val="center"/>
          </w:tcPr>
          <w:p w14:paraId="32139CDE">
            <w:pPr>
              <w:jc w:val="center"/>
              <w:rPr>
                <w:rFonts w:hint="default" w:ascii="Arial" w:hAnsi="Arial" w:eastAsia="宋体" w:cs="Arial"/>
                <w:szCs w:val="21"/>
              </w:rPr>
            </w:pPr>
            <w:r>
              <w:rPr>
                <w:rFonts w:hint="default" w:ascii="Arial" w:hAnsi="Arial" w:eastAsia="宋体" w:cs="Arial"/>
                <w:szCs w:val="21"/>
              </w:rPr>
              <w:t>危险物质名称</w:t>
            </w:r>
          </w:p>
        </w:tc>
        <w:tc>
          <w:tcPr>
            <w:tcW w:w="1619" w:type="dxa"/>
            <w:vAlign w:val="center"/>
          </w:tcPr>
          <w:p w14:paraId="250EE99F">
            <w:pPr>
              <w:spacing w:line="0" w:lineRule="atLeast"/>
              <w:jc w:val="center"/>
              <w:rPr>
                <w:rFonts w:hint="default" w:ascii="Arial" w:hAnsi="Arial" w:eastAsia="宋体" w:cs="Arial"/>
                <w:szCs w:val="21"/>
              </w:rPr>
            </w:pPr>
            <w:r>
              <w:rPr>
                <w:rFonts w:hint="default" w:ascii="Arial" w:hAnsi="Arial" w:eastAsia="宋体" w:cs="Arial"/>
                <w:szCs w:val="21"/>
              </w:rPr>
              <w:t>厂区内最大存在总量/t</w:t>
            </w:r>
          </w:p>
        </w:tc>
        <w:tc>
          <w:tcPr>
            <w:tcW w:w="1870" w:type="dxa"/>
            <w:vAlign w:val="center"/>
          </w:tcPr>
          <w:p w14:paraId="0973FEC2">
            <w:pPr>
              <w:spacing w:line="0" w:lineRule="atLeast"/>
              <w:jc w:val="center"/>
              <w:rPr>
                <w:rFonts w:hint="default" w:ascii="Arial" w:hAnsi="Arial" w:eastAsia="宋体" w:cs="Arial"/>
                <w:szCs w:val="21"/>
              </w:rPr>
            </w:pPr>
            <w:r>
              <w:rPr>
                <w:rFonts w:hint="default" w:ascii="Arial" w:hAnsi="Arial" w:eastAsia="宋体" w:cs="Arial"/>
                <w:szCs w:val="21"/>
              </w:rPr>
              <w:t>判定依据</w:t>
            </w:r>
          </w:p>
        </w:tc>
        <w:tc>
          <w:tcPr>
            <w:tcW w:w="1870" w:type="dxa"/>
            <w:vAlign w:val="center"/>
          </w:tcPr>
          <w:p w14:paraId="08831913">
            <w:pPr>
              <w:spacing w:line="0" w:lineRule="atLeast"/>
              <w:jc w:val="center"/>
              <w:rPr>
                <w:rFonts w:hint="default" w:ascii="Arial" w:hAnsi="Arial" w:eastAsia="宋体" w:cs="Arial"/>
                <w:szCs w:val="21"/>
              </w:rPr>
            </w:pPr>
            <w:r>
              <w:rPr>
                <w:rFonts w:hint="default" w:ascii="Arial" w:hAnsi="Arial" w:eastAsia="宋体" w:cs="Arial"/>
                <w:szCs w:val="21"/>
              </w:rPr>
              <w:t>所在位置</w:t>
            </w:r>
          </w:p>
        </w:tc>
      </w:tr>
      <w:tr w14:paraId="5333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720" w:type="dxa"/>
            <w:vAlign w:val="center"/>
          </w:tcPr>
          <w:p w14:paraId="6E3F5CCD">
            <w:pPr>
              <w:spacing w:line="0" w:lineRule="atLeast"/>
              <w:jc w:val="center"/>
              <w:rPr>
                <w:rFonts w:hint="default" w:ascii="Arial" w:hAnsi="Arial" w:eastAsia="宋体" w:cs="Arial"/>
                <w:szCs w:val="21"/>
                <w:lang w:val="en-US" w:eastAsia="zh-CN"/>
              </w:rPr>
            </w:pPr>
            <w:r>
              <w:rPr>
                <w:rFonts w:hint="default" w:ascii="Arial" w:hAnsi="Arial" w:eastAsia="宋体" w:cs="Arial"/>
                <w:szCs w:val="21"/>
              </w:rPr>
              <w:t>1</w:t>
            </w:r>
          </w:p>
        </w:tc>
        <w:tc>
          <w:tcPr>
            <w:tcW w:w="1858" w:type="dxa"/>
            <w:shd w:val="clear" w:color="auto" w:fill="auto"/>
            <w:vAlign w:val="center"/>
          </w:tcPr>
          <w:p w14:paraId="6541B742">
            <w:pPr>
              <w:jc w:val="center"/>
              <w:rPr>
                <w:rFonts w:hint="default" w:ascii="Arial" w:hAnsi="Arial" w:eastAsia="宋体" w:cs="Arial"/>
                <w:kern w:val="2"/>
                <w:sz w:val="21"/>
                <w:szCs w:val="21"/>
                <w:lang w:val="en-US" w:eastAsia="zh-CN" w:bidi="ar-SA"/>
              </w:rPr>
            </w:pPr>
            <w:r>
              <w:rPr>
                <w:rFonts w:hint="default" w:ascii="Arial" w:hAnsi="Arial" w:eastAsia="宋体" w:cs="Arial"/>
                <w:kern w:val="2"/>
                <w:sz w:val="21"/>
                <w:szCs w:val="21"/>
                <w:lang w:val="en-US" w:eastAsia="zh-CN" w:bidi="ar-SA"/>
              </w:rPr>
              <w:t>切削液（油类）</w:t>
            </w:r>
          </w:p>
        </w:tc>
        <w:tc>
          <w:tcPr>
            <w:tcW w:w="1619" w:type="dxa"/>
            <w:shd w:val="clear" w:color="auto" w:fill="auto"/>
            <w:vAlign w:val="center"/>
          </w:tcPr>
          <w:p w14:paraId="447F8B44">
            <w:pPr>
              <w:spacing w:line="0" w:lineRule="atLeast"/>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5</w:t>
            </w:r>
          </w:p>
        </w:tc>
        <w:tc>
          <w:tcPr>
            <w:tcW w:w="1870" w:type="dxa"/>
            <w:vAlign w:val="center"/>
          </w:tcPr>
          <w:p w14:paraId="224FE740">
            <w:pPr>
              <w:spacing w:line="0" w:lineRule="atLeast"/>
              <w:jc w:val="center"/>
              <w:rPr>
                <w:rFonts w:hint="default" w:ascii="Arial" w:hAnsi="Arial" w:eastAsia="宋体" w:cs="Arial"/>
                <w:color w:val="auto"/>
                <w:szCs w:val="21"/>
              </w:rPr>
            </w:pPr>
            <w:r>
              <w:rPr>
                <w:rFonts w:hint="default" w:ascii="Arial" w:hAnsi="Arial" w:eastAsia="宋体" w:cs="Arial"/>
                <w:color w:val="auto"/>
                <w:szCs w:val="21"/>
              </w:rPr>
              <w:t>HJ 169-2018附录B和</w:t>
            </w:r>
            <w:r>
              <w:rPr>
                <w:rFonts w:hint="default" w:ascii="Arial" w:hAnsi="Arial" w:eastAsia="宋体" w:cs="Arial"/>
                <w:color w:val="auto"/>
                <w:szCs w:val="21"/>
                <w:lang w:val="zh-CN"/>
              </w:rPr>
              <w:t>GB 30000.18-2013</w:t>
            </w:r>
          </w:p>
        </w:tc>
        <w:tc>
          <w:tcPr>
            <w:tcW w:w="1870" w:type="dxa"/>
            <w:vAlign w:val="center"/>
          </w:tcPr>
          <w:p w14:paraId="17861535">
            <w:pPr>
              <w:spacing w:line="0" w:lineRule="atLeast"/>
              <w:jc w:val="center"/>
              <w:rPr>
                <w:rFonts w:hint="default" w:ascii="Arial" w:hAnsi="Arial" w:eastAsia="宋体" w:cs="Arial"/>
                <w:color w:val="auto"/>
                <w:szCs w:val="21"/>
              </w:rPr>
            </w:pPr>
            <w:r>
              <w:rPr>
                <w:rFonts w:hint="default" w:ascii="Arial" w:hAnsi="Arial" w:eastAsia="宋体" w:cs="Arial"/>
                <w:color w:val="auto"/>
                <w:szCs w:val="21"/>
              </w:rPr>
              <w:t>原材料仓库、生产车间</w:t>
            </w:r>
          </w:p>
        </w:tc>
      </w:tr>
      <w:tr w14:paraId="2994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0" w:type="dxa"/>
            <w:vAlign w:val="center"/>
          </w:tcPr>
          <w:p w14:paraId="24B7D8BF">
            <w:pPr>
              <w:spacing w:line="0" w:lineRule="atLeast"/>
              <w:jc w:val="center"/>
              <w:rPr>
                <w:rFonts w:hint="default" w:ascii="Arial" w:hAnsi="Arial" w:eastAsia="宋体" w:cs="Arial"/>
                <w:szCs w:val="21"/>
                <w:lang w:val="en-US" w:eastAsia="zh-CN"/>
              </w:rPr>
            </w:pPr>
            <w:r>
              <w:rPr>
                <w:rFonts w:hint="eastAsia" w:ascii="Arial" w:hAnsi="Arial" w:eastAsia="宋体" w:cs="Arial"/>
                <w:szCs w:val="21"/>
                <w:lang w:val="en-US" w:eastAsia="zh-CN"/>
              </w:rPr>
              <w:t>2</w:t>
            </w:r>
          </w:p>
        </w:tc>
        <w:tc>
          <w:tcPr>
            <w:tcW w:w="1858" w:type="dxa"/>
            <w:shd w:val="clear" w:color="auto" w:fill="auto"/>
            <w:vAlign w:val="center"/>
          </w:tcPr>
          <w:p w14:paraId="2BD1347B">
            <w:pPr>
              <w:jc w:val="center"/>
              <w:rPr>
                <w:rFonts w:hint="default" w:ascii="Arial" w:hAnsi="Arial" w:eastAsia="宋体" w:cs="Arial"/>
                <w:kern w:val="2"/>
                <w:sz w:val="21"/>
                <w:szCs w:val="21"/>
                <w:lang w:val="en-US" w:eastAsia="zh-CN" w:bidi="ar-SA"/>
              </w:rPr>
            </w:pPr>
            <w:r>
              <w:rPr>
                <w:rFonts w:hint="default" w:ascii="Arial" w:hAnsi="Arial" w:eastAsia="宋体" w:cs="Arial"/>
                <w:szCs w:val="21"/>
              </w:rPr>
              <w:t>危险废物</w:t>
            </w:r>
          </w:p>
        </w:tc>
        <w:tc>
          <w:tcPr>
            <w:tcW w:w="1619" w:type="dxa"/>
            <w:shd w:val="clear" w:color="auto" w:fill="auto"/>
            <w:vAlign w:val="center"/>
          </w:tcPr>
          <w:p w14:paraId="1332EDFF">
            <w:pPr>
              <w:spacing w:line="0" w:lineRule="atLeast"/>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42.6</w:t>
            </w:r>
          </w:p>
        </w:tc>
        <w:tc>
          <w:tcPr>
            <w:tcW w:w="1870" w:type="dxa"/>
            <w:shd w:val="clear" w:color="auto" w:fill="auto"/>
            <w:vAlign w:val="center"/>
          </w:tcPr>
          <w:p w14:paraId="53B69D80">
            <w:pPr>
              <w:spacing w:line="0" w:lineRule="atLeast"/>
              <w:jc w:val="center"/>
              <w:rPr>
                <w:rFonts w:hint="default" w:ascii="Arial" w:hAnsi="Arial" w:eastAsia="宋体" w:cs="Arial"/>
                <w:kern w:val="2"/>
                <w:sz w:val="21"/>
                <w:szCs w:val="21"/>
                <w:lang w:val="en-US" w:eastAsia="zh-CN" w:bidi="ar-SA"/>
              </w:rPr>
            </w:pPr>
            <w:r>
              <w:rPr>
                <w:rFonts w:hint="default" w:ascii="Arial" w:hAnsi="Arial" w:eastAsia="宋体" w:cs="Arial"/>
                <w:szCs w:val="21"/>
              </w:rPr>
              <w:t>HJ 169-2018附录B.2</w:t>
            </w:r>
          </w:p>
        </w:tc>
        <w:tc>
          <w:tcPr>
            <w:tcW w:w="1870" w:type="dxa"/>
            <w:shd w:val="clear" w:color="auto" w:fill="auto"/>
            <w:vAlign w:val="center"/>
          </w:tcPr>
          <w:p w14:paraId="436AAB45">
            <w:pPr>
              <w:spacing w:line="0" w:lineRule="atLeast"/>
              <w:jc w:val="center"/>
              <w:rPr>
                <w:rFonts w:hint="default" w:ascii="Arial" w:hAnsi="Arial" w:eastAsia="宋体" w:cs="Arial"/>
                <w:kern w:val="2"/>
                <w:sz w:val="21"/>
                <w:szCs w:val="21"/>
                <w:lang w:val="en-US" w:eastAsia="zh-CN" w:bidi="ar-SA"/>
              </w:rPr>
            </w:pPr>
            <w:r>
              <w:rPr>
                <w:rFonts w:hint="default" w:ascii="Arial" w:hAnsi="Arial" w:eastAsia="宋体" w:cs="Arial"/>
                <w:szCs w:val="21"/>
              </w:rPr>
              <w:t>危废仓库</w:t>
            </w:r>
            <w:r>
              <w:rPr>
                <w:rFonts w:hint="default" w:ascii="Arial" w:hAnsi="Arial" w:eastAsia="宋体" w:cs="Arial"/>
                <w:szCs w:val="21"/>
                <w:lang w:eastAsia="zh-CN"/>
              </w:rPr>
              <w:t>、</w:t>
            </w:r>
            <w:r>
              <w:rPr>
                <w:rFonts w:hint="default" w:ascii="Arial" w:hAnsi="Arial" w:eastAsia="宋体" w:cs="Arial"/>
                <w:szCs w:val="21"/>
                <w:lang w:val="en-US" w:eastAsia="zh-CN"/>
              </w:rPr>
              <w:t>废水处理浓缩液贮存库</w:t>
            </w:r>
          </w:p>
        </w:tc>
      </w:tr>
    </w:tbl>
    <w:p w14:paraId="27276C5D">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4.2.7.2环境风险潜势初判</w:t>
      </w:r>
    </w:p>
    <w:p w14:paraId="6B5B5CF7">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（1）危险物质数量与临界量比值（Q）</w:t>
      </w:r>
    </w:p>
    <w:p w14:paraId="59E694C2">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对照《建设项目环境风险评价技术导则》（HJ 169—2018）附录C，分别对危险物质数量与临界量比值（Q）、行业及生产工艺（M）进行判定，根据Q、M，确定危险物质及工艺系统危险性（P）。</w:t>
      </w:r>
    </w:p>
    <w:p w14:paraId="26E41D89">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当同一厂区内只涉及一种危险物质时，计算该物质的总量与其临界量比值，即为Q。当存在多种危险物质为时，则按式（1）计算物质总量与其临界量比值（Q）：</w:t>
      </w:r>
    </w:p>
    <w:p w14:paraId="25F950A9">
      <w:pPr>
        <w:spacing w:line="360" w:lineRule="auto"/>
        <w:ind w:firstLine="420" w:firstLineChars="200"/>
        <w:jc w:val="center"/>
        <w:rPr>
          <w:rFonts w:hint="default" w:ascii="Arial" w:hAnsi="Arial" w:eastAsia="宋体" w:cs="Arial"/>
          <w:sz w:val="24"/>
          <w:szCs w:val="24"/>
        </w:rPr>
      </w:pPr>
      <w:r>
        <w:rPr>
          <w:rFonts w:hint="default" w:ascii="Arial" w:hAnsi="Arial" w:eastAsia="宋体" w:cs="Arial"/>
          <w:szCs w:val="21"/>
        </w:rPr>
        <w:drawing>
          <wp:inline distT="0" distB="0" distL="0" distR="0">
            <wp:extent cx="1447165" cy="445135"/>
            <wp:effectExtent l="0" t="0" r="635" b="0"/>
            <wp:docPr id="2" name="图片 4" descr="C:\Users\Admin\AppData\Local\Temp\ksohtml510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C:\Users\Admin\AppData\Local\Temp\ksohtml5108\wps1.png"/>
                    <pic:cNvPicPr>
                      <a:picLocks noChangeAspect="1" noChangeArrowheads="1"/>
                    </pic:cNvPicPr>
                  </pic:nvPicPr>
                  <pic:blipFill>
                    <a:blip r:embed="rId87"/>
                    <a:srcRect/>
                    <a:stretch>
                      <a:fillRect/>
                    </a:stretch>
                  </pic:blipFill>
                  <pic:spPr>
                    <a:xfrm>
                      <a:off x="0" y="0"/>
                      <a:ext cx="1447165" cy="445135"/>
                    </a:xfrm>
                    <a:prstGeom prst="rect">
                      <a:avLst/>
                    </a:prstGeom>
                    <a:noFill/>
                    <a:ln w="9525">
                      <a:noFill/>
                      <a:miter lim="800000"/>
                      <a:headEnd/>
                      <a:tailEnd/>
                    </a:ln>
                  </pic:spPr>
                </pic:pic>
              </a:graphicData>
            </a:graphic>
          </wp:inline>
        </w:drawing>
      </w:r>
    </w:p>
    <w:p w14:paraId="1E7822D5">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式中：q1，q2……qn——每种危险物质的最大存在总量，t。</w:t>
      </w:r>
    </w:p>
    <w:p w14:paraId="2DDE522E">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 xml:space="preserve">      Q1，Q2……Qn——每种危险物质的临界量，t。</w:t>
      </w:r>
    </w:p>
    <w:p w14:paraId="6EB569F5">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当Q＜1时，该项目环境风险潜势为Ⅰ。</w:t>
      </w:r>
    </w:p>
    <w:p w14:paraId="4B7E6478">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当Q≥1时，将Q值划分为：（1）1≤Q＜10；（2）10≤Q＜100；（3）Q≥100。</w:t>
      </w:r>
    </w:p>
    <w:p w14:paraId="0ED7507C">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本项目危险物质数量与临界量比值（Q）判定结果见表4-</w:t>
      </w:r>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2</w:t>
      </w:r>
      <w:r>
        <w:rPr>
          <w:rFonts w:hint="default" w:ascii="Arial" w:hAnsi="Arial" w:eastAsia="宋体" w:cs="Arial"/>
          <w:sz w:val="24"/>
          <w:szCs w:val="24"/>
        </w:rPr>
        <w:t>。</w:t>
      </w:r>
    </w:p>
    <w:p w14:paraId="77971D54">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项目危险物质数量及临界量比值（Q）判定表</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979"/>
        <w:gridCol w:w="2186"/>
        <w:gridCol w:w="1384"/>
        <w:gridCol w:w="1563"/>
      </w:tblGrid>
      <w:tr w14:paraId="5E8B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dxa"/>
            <w:vAlign w:val="center"/>
          </w:tcPr>
          <w:p w14:paraId="7921854E">
            <w:pPr>
              <w:widowControl/>
              <w:jc w:val="center"/>
              <w:rPr>
                <w:rFonts w:hint="default" w:ascii="Arial" w:hAnsi="Arial" w:eastAsia="宋体" w:cs="Arial"/>
                <w:kern w:val="0"/>
                <w:szCs w:val="21"/>
              </w:rPr>
            </w:pPr>
            <w:r>
              <w:rPr>
                <w:rFonts w:hint="default" w:ascii="Arial" w:hAnsi="Arial" w:eastAsia="宋体" w:cs="Arial"/>
                <w:kern w:val="0"/>
                <w:szCs w:val="21"/>
              </w:rPr>
              <w:t>序号</w:t>
            </w:r>
          </w:p>
        </w:tc>
        <w:tc>
          <w:tcPr>
            <w:tcW w:w="1979" w:type="dxa"/>
            <w:vAlign w:val="center"/>
          </w:tcPr>
          <w:p w14:paraId="193C0C90">
            <w:pPr>
              <w:widowControl/>
              <w:jc w:val="center"/>
              <w:rPr>
                <w:rFonts w:hint="default" w:ascii="Arial" w:hAnsi="Arial" w:eastAsia="宋体" w:cs="Arial"/>
                <w:kern w:val="0"/>
                <w:szCs w:val="21"/>
              </w:rPr>
            </w:pPr>
            <w:r>
              <w:rPr>
                <w:rFonts w:hint="default" w:ascii="Arial" w:hAnsi="Arial" w:eastAsia="宋体" w:cs="Arial"/>
                <w:kern w:val="0"/>
                <w:szCs w:val="21"/>
              </w:rPr>
              <w:t>危险物质名称</w:t>
            </w:r>
          </w:p>
        </w:tc>
        <w:tc>
          <w:tcPr>
            <w:tcW w:w="2186" w:type="dxa"/>
            <w:vAlign w:val="center"/>
          </w:tcPr>
          <w:p w14:paraId="7967AF6E">
            <w:pPr>
              <w:widowControl/>
              <w:jc w:val="center"/>
              <w:rPr>
                <w:rFonts w:hint="default" w:ascii="Arial" w:hAnsi="Arial" w:eastAsia="宋体" w:cs="Arial"/>
                <w:kern w:val="0"/>
                <w:szCs w:val="21"/>
              </w:rPr>
            </w:pPr>
            <w:r>
              <w:rPr>
                <w:rFonts w:hint="default" w:ascii="Arial" w:hAnsi="Arial" w:eastAsia="宋体" w:cs="Arial"/>
                <w:kern w:val="0"/>
                <w:szCs w:val="21"/>
              </w:rPr>
              <w:t>最大存在总量q</w:t>
            </w:r>
            <w:r>
              <w:rPr>
                <w:rFonts w:hint="default" w:ascii="Arial" w:hAnsi="Arial" w:eastAsia="宋体" w:cs="Arial"/>
                <w:kern w:val="0"/>
                <w:szCs w:val="21"/>
                <w:vertAlign w:val="subscript"/>
              </w:rPr>
              <w:t>n</w:t>
            </w:r>
            <w:r>
              <w:rPr>
                <w:rFonts w:hint="default" w:ascii="Arial" w:hAnsi="Arial" w:eastAsia="宋体" w:cs="Arial"/>
                <w:kern w:val="0"/>
                <w:szCs w:val="21"/>
              </w:rPr>
              <w:t>/t</w:t>
            </w:r>
          </w:p>
        </w:tc>
        <w:tc>
          <w:tcPr>
            <w:tcW w:w="1384" w:type="dxa"/>
            <w:vAlign w:val="center"/>
          </w:tcPr>
          <w:p w14:paraId="63759FAE">
            <w:pPr>
              <w:widowControl/>
              <w:jc w:val="center"/>
              <w:rPr>
                <w:rFonts w:hint="default" w:ascii="Arial" w:hAnsi="Arial" w:eastAsia="宋体" w:cs="Arial"/>
                <w:kern w:val="0"/>
                <w:szCs w:val="21"/>
              </w:rPr>
            </w:pPr>
            <w:r>
              <w:rPr>
                <w:rFonts w:hint="default" w:ascii="Arial" w:hAnsi="Arial" w:eastAsia="宋体" w:cs="Arial"/>
                <w:kern w:val="0"/>
                <w:szCs w:val="21"/>
              </w:rPr>
              <w:t>临界量Q</w:t>
            </w:r>
            <w:r>
              <w:rPr>
                <w:rFonts w:hint="default" w:ascii="Arial" w:hAnsi="Arial" w:eastAsia="宋体" w:cs="Arial"/>
                <w:kern w:val="0"/>
                <w:szCs w:val="21"/>
                <w:vertAlign w:val="subscript"/>
              </w:rPr>
              <w:t>n</w:t>
            </w:r>
            <w:r>
              <w:rPr>
                <w:rFonts w:hint="default" w:ascii="Arial" w:hAnsi="Arial" w:eastAsia="宋体" w:cs="Arial"/>
                <w:kern w:val="0"/>
                <w:szCs w:val="21"/>
              </w:rPr>
              <w:t>/t</w:t>
            </w:r>
          </w:p>
        </w:tc>
        <w:tc>
          <w:tcPr>
            <w:tcW w:w="1563" w:type="dxa"/>
            <w:vAlign w:val="center"/>
          </w:tcPr>
          <w:p w14:paraId="6672F17B">
            <w:pPr>
              <w:widowControl/>
              <w:jc w:val="center"/>
              <w:rPr>
                <w:rFonts w:hint="default" w:ascii="Arial" w:hAnsi="Arial" w:eastAsia="宋体" w:cs="Arial"/>
                <w:kern w:val="0"/>
                <w:szCs w:val="21"/>
              </w:rPr>
            </w:pPr>
            <w:r>
              <w:rPr>
                <w:rFonts w:hint="default" w:ascii="Arial" w:hAnsi="Arial" w:eastAsia="宋体" w:cs="Arial"/>
                <w:kern w:val="0"/>
                <w:szCs w:val="21"/>
              </w:rPr>
              <w:t>Q值</w:t>
            </w:r>
          </w:p>
        </w:tc>
      </w:tr>
      <w:tr w14:paraId="27D2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dxa"/>
            <w:vAlign w:val="center"/>
          </w:tcPr>
          <w:p w14:paraId="4B147A44">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1</w:t>
            </w:r>
          </w:p>
        </w:tc>
        <w:tc>
          <w:tcPr>
            <w:tcW w:w="1979" w:type="dxa"/>
            <w:shd w:val="clear" w:color="auto" w:fill="auto"/>
            <w:vAlign w:val="center"/>
          </w:tcPr>
          <w:p w14:paraId="653563BB">
            <w:pPr>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切削液</w:t>
            </w:r>
          </w:p>
        </w:tc>
        <w:tc>
          <w:tcPr>
            <w:tcW w:w="2186" w:type="dxa"/>
            <w:shd w:val="clear" w:color="auto" w:fill="auto"/>
            <w:vAlign w:val="center"/>
          </w:tcPr>
          <w:p w14:paraId="4E687C07">
            <w:pPr>
              <w:spacing w:line="0" w:lineRule="atLeast"/>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5</w:t>
            </w:r>
          </w:p>
        </w:tc>
        <w:tc>
          <w:tcPr>
            <w:tcW w:w="1384" w:type="dxa"/>
            <w:shd w:val="clear" w:color="auto" w:fill="auto"/>
            <w:vAlign w:val="center"/>
          </w:tcPr>
          <w:p w14:paraId="69D2DBC7">
            <w:pPr>
              <w:widowControl/>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Cs w:val="21"/>
                <w:lang w:val="en-US" w:eastAsia="zh-CN"/>
              </w:rPr>
              <w:t>2500</w:t>
            </w:r>
          </w:p>
        </w:tc>
        <w:tc>
          <w:tcPr>
            <w:tcW w:w="1563" w:type="dxa"/>
            <w:shd w:val="clear" w:color="auto" w:fill="auto"/>
            <w:vAlign w:val="center"/>
          </w:tcPr>
          <w:p w14:paraId="02E8721D">
            <w:pPr>
              <w:widowControl/>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Cs w:val="21"/>
                <w:lang w:val="en-US" w:eastAsia="zh-CN"/>
              </w:rPr>
              <w:t>0.002</w:t>
            </w:r>
          </w:p>
        </w:tc>
      </w:tr>
      <w:tr w14:paraId="79EDA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dxa"/>
            <w:vAlign w:val="center"/>
          </w:tcPr>
          <w:p w14:paraId="77CDD659">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2</w:t>
            </w:r>
          </w:p>
        </w:tc>
        <w:tc>
          <w:tcPr>
            <w:tcW w:w="1979" w:type="dxa"/>
            <w:shd w:val="clear" w:color="auto" w:fill="auto"/>
            <w:vAlign w:val="center"/>
          </w:tcPr>
          <w:p w14:paraId="670E108D">
            <w:pPr>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rPr>
              <w:t>危险废物</w:t>
            </w:r>
          </w:p>
        </w:tc>
        <w:tc>
          <w:tcPr>
            <w:tcW w:w="2186" w:type="dxa"/>
            <w:shd w:val="clear" w:color="auto" w:fill="auto"/>
            <w:vAlign w:val="center"/>
          </w:tcPr>
          <w:p w14:paraId="6181D703">
            <w:pPr>
              <w:spacing w:line="0" w:lineRule="atLeast"/>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42.6</w:t>
            </w:r>
          </w:p>
        </w:tc>
        <w:tc>
          <w:tcPr>
            <w:tcW w:w="1384" w:type="dxa"/>
            <w:shd w:val="clear" w:color="auto" w:fill="auto"/>
            <w:vAlign w:val="center"/>
          </w:tcPr>
          <w:p w14:paraId="5B4EE2D1">
            <w:pPr>
              <w:widowControl/>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Cs w:val="21"/>
              </w:rPr>
              <w:t>50</w:t>
            </w:r>
          </w:p>
        </w:tc>
        <w:tc>
          <w:tcPr>
            <w:tcW w:w="1563" w:type="dxa"/>
            <w:shd w:val="clear" w:color="auto" w:fill="auto"/>
            <w:vAlign w:val="center"/>
          </w:tcPr>
          <w:p w14:paraId="3EBE50F3">
            <w:pPr>
              <w:widowControl/>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Cs w:val="21"/>
              </w:rPr>
              <w:t>0.</w:t>
            </w:r>
            <w:r>
              <w:rPr>
                <w:rFonts w:hint="default" w:ascii="Arial" w:hAnsi="Arial" w:eastAsia="宋体" w:cs="Arial"/>
                <w:color w:val="auto"/>
                <w:kern w:val="0"/>
                <w:szCs w:val="21"/>
                <w:lang w:val="en-US" w:eastAsia="zh-CN"/>
              </w:rPr>
              <w:t>852</w:t>
            </w:r>
          </w:p>
        </w:tc>
      </w:tr>
      <w:tr w14:paraId="5F464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74" w:type="dxa"/>
            <w:gridSpan w:val="4"/>
            <w:vAlign w:val="center"/>
          </w:tcPr>
          <w:p w14:paraId="6125CAC5">
            <w:pPr>
              <w:jc w:val="center"/>
              <w:rPr>
                <w:rFonts w:hint="default" w:ascii="Arial" w:hAnsi="Arial" w:eastAsia="宋体" w:cs="Arial"/>
                <w:color w:val="auto"/>
                <w:szCs w:val="21"/>
              </w:rPr>
            </w:pPr>
            <w:r>
              <w:rPr>
                <w:rFonts w:hint="default" w:ascii="Arial" w:hAnsi="Arial" w:eastAsia="宋体" w:cs="Arial"/>
                <w:color w:val="auto"/>
                <w:kern w:val="0"/>
                <w:szCs w:val="21"/>
              </w:rPr>
              <w:t>项目Q值∑</w:t>
            </w:r>
          </w:p>
        </w:tc>
        <w:tc>
          <w:tcPr>
            <w:tcW w:w="1563" w:type="dxa"/>
            <w:vAlign w:val="center"/>
          </w:tcPr>
          <w:p w14:paraId="6BF0A8BE">
            <w:pPr>
              <w:jc w:val="center"/>
              <w:rPr>
                <w:rFonts w:hint="default" w:ascii="Arial" w:hAnsi="Arial" w:eastAsia="宋体" w:cs="Arial"/>
                <w:color w:val="auto"/>
                <w:szCs w:val="21"/>
                <w:lang w:val="en-US" w:eastAsia="zh-CN"/>
              </w:rPr>
            </w:pPr>
            <w:r>
              <w:rPr>
                <w:rFonts w:hint="default" w:ascii="Arial" w:hAnsi="Arial" w:eastAsia="宋体" w:cs="Arial"/>
                <w:color w:val="auto"/>
                <w:szCs w:val="21"/>
              </w:rPr>
              <w:t>0.</w:t>
            </w:r>
            <w:r>
              <w:rPr>
                <w:rFonts w:hint="default" w:ascii="Arial" w:hAnsi="Arial" w:eastAsia="宋体" w:cs="Arial"/>
                <w:color w:val="auto"/>
                <w:szCs w:val="21"/>
                <w:lang w:val="en-US" w:eastAsia="zh-CN"/>
              </w:rPr>
              <w:t>8542</w:t>
            </w:r>
          </w:p>
        </w:tc>
      </w:tr>
    </w:tbl>
    <w:p w14:paraId="6BBAE5EA">
      <w:pPr>
        <w:spacing w:line="360" w:lineRule="auto"/>
        <w:ind w:firstLine="480" w:firstLineChars="200"/>
        <w:rPr>
          <w:rFonts w:hint="default" w:ascii="Arial" w:hAnsi="Arial" w:eastAsia="宋体" w:cs="Arial"/>
          <w:sz w:val="24"/>
          <w:szCs w:val="24"/>
        </w:rPr>
      </w:pPr>
      <w:r>
        <w:rPr>
          <w:rFonts w:hint="default" w:ascii="Arial" w:hAnsi="Arial" w:eastAsia="宋体" w:cs="Arial"/>
          <w:color w:val="auto"/>
          <w:sz w:val="24"/>
          <w:szCs w:val="24"/>
        </w:rPr>
        <w:t>由表可知，项目危险物质最大存储量与临界量比值Q=0.</w:t>
      </w:r>
      <w:r>
        <w:rPr>
          <w:rFonts w:hint="default" w:ascii="Arial" w:hAnsi="Arial" w:eastAsia="宋体" w:cs="Arial"/>
          <w:color w:val="auto"/>
          <w:sz w:val="24"/>
          <w:szCs w:val="24"/>
          <w:lang w:val="en-US" w:eastAsia="zh-CN"/>
        </w:rPr>
        <w:t>8542</w:t>
      </w:r>
      <w:r>
        <w:rPr>
          <w:rFonts w:hint="default" w:ascii="Arial" w:hAnsi="Arial" w:eastAsia="宋体" w:cs="Arial"/>
          <w:color w:val="auto"/>
          <w:sz w:val="24"/>
          <w:szCs w:val="24"/>
        </w:rPr>
        <w:t>，Q＜</w:t>
      </w:r>
      <w:r>
        <w:rPr>
          <w:rFonts w:hint="default" w:ascii="Arial" w:hAnsi="Arial" w:eastAsia="宋体" w:cs="Arial"/>
          <w:sz w:val="24"/>
          <w:szCs w:val="24"/>
        </w:rPr>
        <w:t>1，不设置环境风险专项评价。</w:t>
      </w:r>
    </w:p>
    <w:p w14:paraId="1E1467C2">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4.2.7.3环境风险识别及影响途径</w:t>
      </w:r>
    </w:p>
    <w:p w14:paraId="7EBE93D7">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1、危险物质识别</w:t>
      </w:r>
    </w:p>
    <w:p w14:paraId="6B8CD3D5">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本项目所用原料中所涉及的危险物质主要</w:t>
      </w:r>
      <w:r>
        <w:rPr>
          <w:rFonts w:hint="default" w:ascii="Arial" w:hAnsi="Arial" w:eastAsia="宋体" w:cs="Arial"/>
          <w:sz w:val="24"/>
          <w:szCs w:val="24"/>
          <w:lang w:val="en-US" w:eastAsia="zh-CN"/>
        </w:rPr>
        <w:t>为</w:t>
      </w:r>
      <w:r>
        <w:rPr>
          <w:rFonts w:hint="default" w:ascii="Arial" w:hAnsi="Arial" w:eastAsia="宋体" w:cs="Arial"/>
          <w:sz w:val="24"/>
          <w:szCs w:val="24"/>
        </w:rPr>
        <w:t>危险废物</w:t>
      </w:r>
      <w:r>
        <w:rPr>
          <w:rFonts w:hint="default" w:ascii="Arial" w:hAnsi="Arial" w:eastAsia="宋体" w:cs="Arial"/>
          <w:sz w:val="24"/>
          <w:szCs w:val="24"/>
          <w:lang w:eastAsia="zh-CN"/>
        </w:rPr>
        <w:t>，</w:t>
      </w:r>
      <w:r>
        <w:rPr>
          <w:rFonts w:hint="default" w:ascii="Arial" w:hAnsi="Arial" w:eastAsia="宋体" w:cs="Arial"/>
          <w:sz w:val="24"/>
          <w:szCs w:val="24"/>
        </w:rPr>
        <w:t>见表4-</w:t>
      </w:r>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3</w:t>
      </w:r>
      <w:r>
        <w:rPr>
          <w:rFonts w:hint="default" w:ascii="Arial" w:hAnsi="Arial" w:eastAsia="宋体" w:cs="Arial"/>
          <w:sz w:val="24"/>
          <w:szCs w:val="24"/>
        </w:rPr>
        <w:t>。</w:t>
      </w:r>
    </w:p>
    <w:p w14:paraId="6ABB936F">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危险物质特性一览表</w:t>
      </w:r>
    </w:p>
    <w:tbl>
      <w:tblPr>
        <w:tblStyle w:val="52"/>
        <w:tblW w:w="46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1722"/>
        <w:gridCol w:w="642"/>
        <w:gridCol w:w="1620"/>
        <w:gridCol w:w="1309"/>
        <w:gridCol w:w="2026"/>
      </w:tblGrid>
      <w:tr w14:paraId="04D1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Align w:val="center"/>
          </w:tcPr>
          <w:p w14:paraId="0CFD6C3E">
            <w:pPr>
              <w:jc w:val="center"/>
              <w:rPr>
                <w:rFonts w:hint="default" w:ascii="Arial" w:hAnsi="Arial" w:eastAsia="宋体" w:cs="Arial"/>
                <w:kern w:val="0"/>
                <w:szCs w:val="21"/>
              </w:rPr>
            </w:pPr>
            <w:r>
              <w:rPr>
                <w:rFonts w:hint="default" w:ascii="Arial" w:hAnsi="Arial" w:eastAsia="宋体" w:cs="Arial"/>
                <w:kern w:val="0"/>
                <w:szCs w:val="21"/>
              </w:rPr>
              <w:t>序号</w:t>
            </w:r>
          </w:p>
        </w:tc>
        <w:tc>
          <w:tcPr>
            <w:tcW w:w="1084" w:type="pct"/>
            <w:vAlign w:val="center"/>
          </w:tcPr>
          <w:p w14:paraId="211E4D60">
            <w:pPr>
              <w:jc w:val="center"/>
              <w:rPr>
                <w:rFonts w:hint="default" w:ascii="Arial" w:hAnsi="Arial" w:eastAsia="宋体" w:cs="Arial"/>
                <w:kern w:val="0"/>
                <w:szCs w:val="21"/>
              </w:rPr>
            </w:pPr>
            <w:r>
              <w:rPr>
                <w:rFonts w:hint="default" w:ascii="Arial" w:hAnsi="Arial" w:eastAsia="宋体" w:cs="Arial"/>
                <w:kern w:val="0"/>
                <w:szCs w:val="21"/>
              </w:rPr>
              <w:t>危险物质名称</w:t>
            </w:r>
          </w:p>
        </w:tc>
        <w:tc>
          <w:tcPr>
            <w:tcW w:w="404" w:type="pct"/>
            <w:vAlign w:val="center"/>
          </w:tcPr>
          <w:p w14:paraId="10A155D7">
            <w:pPr>
              <w:jc w:val="center"/>
              <w:rPr>
                <w:rFonts w:hint="default" w:ascii="Arial" w:hAnsi="Arial" w:eastAsia="宋体" w:cs="Arial"/>
                <w:kern w:val="0"/>
                <w:szCs w:val="21"/>
              </w:rPr>
            </w:pPr>
            <w:r>
              <w:rPr>
                <w:rFonts w:hint="default" w:ascii="Arial" w:hAnsi="Arial" w:eastAsia="宋体" w:cs="Arial"/>
                <w:kern w:val="0"/>
                <w:szCs w:val="21"/>
              </w:rPr>
              <w:t>相态</w:t>
            </w:r>
          </w:p>
        </w:tc>
        <w:tc>
          <w:tcPr>
            <w:tcW w:w="1020" w:type="pct"/>
            <w:vAlign w:val="center"/>
          </w:tcPr>
          <w:p w14:paraId="1180CBC5">
            <w:pPr>
              <w:jc w:val="center"/>
              <w:rPr>
                <w:rFonts w:hint="default" w:ascii="Arial" w:hAnsi="Arial" w:eastAsia="宋体" w:cs="Arial"/>
                <w:kern w:val="0"/>
                <w:szCs w:val="21"/>
              </w:rPr>
            </w:pPr>
            <w:r>
              <w:rPr>
                <w:rFonts w:hint="default" w:ascii="Arial" w:hAnsi="Arial" w:eastAsia="宋体" w:cs="Arial"/>
                <w:kern w:val="0"/>
                <w:szCs w:val="21"/>
              </w:rPr>
              <w:t>爆炸极限（%）</w:t>
            </w:r>
          </w:p>
        </w:tc>
        <w:tc>
          <w:tcPr>
            <w:tcW w:w="824" w:type="pct"/>
            <w:vAlign w:val="center"/>
          </w:tcPr>
          <w:p w14:paraId="7760042D">
            <w:pPr>
              <w:jc w:val="center"/>
              <w:rPr>
                <w:rFonts w:hint="default" w:ascii="Arial" w:hAnsi="Arial" w:eastAsia="宋体" w:cs="Arial"/>
                <w:kern w:val="0"/>
                <w:szCs w:val="21"/>
              </w:rPr>
            </w:pPr>
            <w:r>
              <w:rPr>
                <w:rFonts w:hint="default" w:ascii="Arial" w:hAnsi="Arial" w:eastAsia="宋体" w:cs="Arial"/>
                <w:kern w:val="0"/>
                <w:szCs w:val="21"/>
              </w:rPr>
              <w:t>危险特性</w:t>
            </w:r>
          </w:p>
        </w:tc>
        <w:tc>
          <w:tcPr>
            <w:tcW w:w="1275" w:type="pct"/>
            <w:vAlign w:val="center"/>
          </w:tcPr>
          <w:p w14:paraId="610203D0">
            <w:pPr>
              <w:jc w:val="center"/>
              <w:rPr>
                <w:rFonts w:hint="default" w:ascii="Arial" w:hAnsi="Arial" w:eastAsia="宋体" w:cs="Arial"/>
                <w:kern w:val="0"/>
                <w:szCs w:val="21"/>
              </w:rPr>
            </w:pPr>
            <w:r>
              <w:rPr>
                <w:rFonts w:hint="default" w:ascii="Arial" w:hAnsi="Arial" w:eastAsia="宋体" w:cs="Arial"/>
                <w:kern w:val="0"/>
                <w:szCs w:val="21"/>
              </w:rPr>
              <w:t>所在位置</w:t>
            </w:r>
          </w:p>
        </w:tc>
      </w:tr>
      <w:tr w14:paraId="7083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Align w:val="center"/>
          </w:tcPr>
          <w:p w14:paraId="100792CB">
            <w:pPr>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1</w:t>
            </w:r>
          </w:p>
        </w:tc>
        <w:tc>
          <w:tcPr>
            <w:tcW w:w="1084" w:type="pct"/>
            <w:vAlign w:val="center"/>
          </w:tcPr>
          <w:p w14:paraId="54AF6177">
            <w:pPr>
              <w:jc w:val="center"/>
              <w:rPr>
                <w:rFonts w:hint="default" w:ascii="Arial" w:hAnsi="Arial" w:eastAsia="宋体" w:cs="Arial"/>
                <w:kern w:val="0"/>
                <w:szCs w:val="21"/>
              </w:rPr>
            </w:pPr>
            <w:r>
              <w:rPr>
                <w:rFonts w:hint="default" w:ascii="Arial" w:hAnsi="Arial" w:eastAsia="宋体" w:cs="Arial"/>
                <w:szCs w:val="21"/>
              </w:rPr>
              <w:t>危险废物</w:t>
            </w:r>
          </w:p>
        </w:tc>
        <w:tc>
          <w:tcPr>
            <w:tcW w:w="404" w:type="pct"/>
            <w:vAlign w:val="center"/>
          </w:tcPr>
          <w:p w14:paraId="5FFF4ECA">
            <w:pPr>
              <w:jc w:val="center"/>
              <w:rPr>
                <w:rFonts w:hint="default" w:ascii="Arial" w:hAnsi="Arial" w:eastAsia="宋体" w:cs="Arial"/>
                <w:kern w:val="0"/>
                <w:szCs w:val="21"/>
                <w:lang w:val="en-US" w:eastAsia="zh-CN"/>
              </w:rPr>
            </w:pPr>
            <w:r>
              <w:rPr>
                <w:rFonts w:hint="default" w:ascii="Arial" w:hAnsi="Arial" w:eastAsia="宋体" w:cs="Arial"/>
                <w:kern w:val="0"/>
                <w:szCs w:val="21"/>
              </w:rPr>
              <w:t>固</w:t>
            </w:r>
            <w:r>
              <w:rPr>
                <w:rFonts w:hint="default" w:ascii="Arial" w:hAnsi="Arial" w:eastAsia="宋体" w:cs="Arial"/>
                <w:kern w:val="0"/>
                <w:szCs w:val="21"/>
                <w:lang w:val="en-US" w:eastAsia="zh-CN"/>
              </w:rPr>
              <w:t>/液</w:t>
            </w:r>
          </w:p>
        </w:tc>
        <w:tc>
          <w:tcPr>
            <w:tcW w:w="1020" w:type="pct"/>
            <w:vAlign w:val="center"/>
          </w:tcPr>
          <w:p w14:paraId="6C940B09">
            <w:pPr>
              <w:jc w:val="center"/>
              <w:rPr>
                <w:rFonts w:hint="default" w:ascii="Arial" w:hAnsi="Arial" w:eastAsia="宋体" w:cs="Arial"/>
                <w:kern w:val="0"/>
                <w:szCs w:val="21"/>
              </w:rPr>
            </w:pPr>
            <w:r>
              <w:rPr>
                <w:rFonts w:hint="default" w:ascii="Arial" w:hAnsi="Arial" w:eastAsia="宋体" w:cs="Arial"/>
                <w:kern w:val="0"/>
                <w:szCs w:val="21"/>
              </w:rPr>
              <w:t>/</w:t>
            </w:r>
          </w:p>
        </w:tc>
        <w:tc>
          <w:tcPr>
            <w:tcW w:w="824" w:type="pct"/>
            <w:vAlign w:val="center"/>
          </w:tcPr>
          <w:p w14:paraId="0C3B498C">
            <w:pPr>
              <w:jc w:val="center"/>
              <w:rPr>
                <w:rFonts w:hint="default" w:ascii="Arial" w:hAnsi="Arial" w:eastAsia="宋体" w:cs="Arial"/>
                <w:kern w:val="0"/>
                <w:szCs w:val="21"/>
              </w:rPr>
            </w:pPr>
            <w:r>
              <w:rPr>
                <w:rFonts w:hint="default" w:ascii="Arial" w:hAnsi="Arial" w:eastAsia="宋体" w:cs="Arial"/>
                <w:kern w:val="0"/>
                <w:szCs w:val="21"/>
              </w:rPr>
              <w:t>有毒、易燃</w:t>
            </w:r>
          </w:p>
        </w:tc>
        <w:tc>
          <w:tcPr>
            <w:tcW w:w="1275" w:type="pct"/>
            <w:vAlign w:val="center"/>
          </w:tcPr>
          <w:p w14:paraId="564E30A3">
            <w:pPr>
              <w:jc w:val="center"/>
              <w:rPr>
                <w:rFonts w:hint="default" w:ascii="Arial" w:hAnsi="Arial" w:eastAsia="宋体" w:cs="Arial"/>
                <w:kern w:val="0"/>
                <w:szCs w:val="21"/>
                <w:lang w:val="en-US" w:eastAsia="zh-CN"/>
              </w:rPr>
            </w:pPr>
            <w:r>
              <w:rPr>
                <w:rFonts w:hint="default" w:ascii="Arial" w:hAnsi="Arial" w:eastAsia="宋体" w:cs="Arial"/>
                <w:kern w:val="0"/>
                <w:szCs w:val="21"/>
              </w:rPr>
              <w:t>危废仓库</w:t>
            </w:r>
            <w:r>
              <w:rPr>
                <w:rFonts w:hint="default" w:ascii="Arial" w:hAnsi="Arial" w:eastAsia="宋体" w:cs="Arial"/>
                <w:kern w:val="0"/>
                <w:szCs w:val="21"/>
                <w:lang w:eastAsia="zh-CN"/>
              </w:rPr>
              <w:t>、</w:t>
            </w:r>
            <w:r>
              <w:rPr>
                <w:rFonts w:hint="default" w:ascii="Arial" w:hAnsi="Arial" w:eastAsia="宋体" w:cs="Arial"/>
                <w:kern w:val="0"/>
                <w:szCs w:val="21"/>
                <w:lang w:val="en-US" w:eastAsia="zh-CN"/>
              </w:rPr>
              <w:t>废水浓缩液贮存库</w:t>
            </w:r>
          </w:p>
        </w:tc>
      </w:tr>
      <w:tr w14:paraId="390F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9" w:type="pct"/>
            <w:vAlign w:val="center"/>
          </w:tcPr>
          <w:p w14:paraId="064027C6">
            <w:pPr>
              <w:jc w:val="center"/>
              <w:rPr>
                <w:rFonts w:hint="default" w:ascii="Arial" w:hAnsi="Arial" w:eastAsia="宋体" w:cs="Arial"/>
                <w:kern w:val="0"/>
                <w:szCs w:val="21"/>
                <w:lang w:val="en-US" w:eastAsia="zh-CN"/>
              </w:rPr>
            </w:pPr>
            <w:r>
              <w:rPr>
                <w:rFonts w:hint="default" w:ascii="Arial" w:hAnsi="Arial" w:eastAsia="宋体" w:cs="Arial"/>
                <w:kern w:val="0"/>
                <w:szCs w:val="21"/>
                <w:lang w:val="en-US" w:eastAsia="zh-CN"/>
              </w:rPr>
              <w:t>2</w:t>
            </w:r>
          </w:p>
        </w:tc>
        <w:tc>
          <w:tcPr>
            <w:tcW w:w="1084" w:type="pct"/>
            <w:shd w:val="clear" w:color="auto" w:fill="auto"/>
            <w:vAlign w:val="center"/>
          </w:tcPr>
          <w:p w14:paraId="60991F97">
            <w:pPr>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切削液</w:t>
            </w:r>
          </w:p>
        </w:tc>
        <w:tc>
          <w:tcPr>
            <w:tcW w:w="404" w:type="pct"/>
            <w:shd w:val="clear" w:color="auto" w:fill="auto"/>
            <w:vAlign w:val="center"/>
          </w:tcPr>
          <w:p w14:paraId="121B77A2">
            <w:pPr>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液</w:t>
            </w:r>
          </w:p>
        </w:tc>
        <w:tc>
          <w:tcPr>
            <w:tcW w:w="1020" w:type="pct"/>
            <w:shd w:val="clear" w:color="auto" w:fill="auto"/>
            <w:vAlign w:val="center"/>
          </w:tcPr>
          <w:p w14:paraId="7E88638E">
            <w:pPr>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w:t>
            </w:r>
          </w:p>
        </w:tc>
        <w:tc>
          <w:tcPr>
            <w:tcW w:w="824" w:type="pct"/>
            <w:shd w:val="clear" w:color="auto" w:fill="auto"/>
            <w:vAlign w:val="center"/>
          </w:tcPr>
          <w:p w14:paraId="23797B6B">
            <w:pPr>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rPr>
              <w:t>易燃</w:t>
            </w:r>
          </w:p>
        </w:tc>
        <w:tc>
          <w:tcPr>
            <w:tcW w:w="1275" w:type="pct"/>
            <w:shd w:val="clear" w:color="auto" w:fill="auto"/>
            <w:vAlign w:val="center"/>
          </w:tcPr>
          <w:p w14:paraId="3FAA89F4">
            <w:pPr>
              <w:jc w:val="center"/>
              <w:rPr>
                <w:rFonts w:hint="default" w:ascii="Arial" w:hAnsi="Arial" w:eastAsia="宋体" w:cs="Arial"/>
                <w:kern w:val="0"/>
                <w:sz w:val="21"/>
                <w:szCs w:val="21"/>
                <w:lang w:val="en-US" w:eastAsia="zh-CN" w:bidi="ar-SA"/>
              </w:rPr>
            </w:pPr>
            <w:r>
              <w:rPr>
                <w:rFonts w:hint="default" w:ascii="Arial" w:hAnsi="Arial" w:eastAsia="宋体" w:cs="Arial"/>
                <w:kern w:val="0"/>
                <w:szCs w:val="21"/>
                <w:lang w:val="en-US" w:eastAsia="zh-CN"/>
              </w:rPr>
              <w:t>原料仓库、生产车间</w:t>
            </w:r>
          </w:p>
        </w:tc>
      </w:tr>
    </w:tbl>
    <w:p w14:paraId="4DA80C2A">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2、环境风险源分布及影响途径</w:t>
      </w:r>
    </w:p>
    <w:p w14:paraId="6A34068F">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根据对项目的生产特征分析，结合物质危险性识别，根据不同的功能系统划分功能单元，对项目生产过程潜在危险型进行识别，具体见表4-</w:t>
      </w:r>
      <w:r>
        <w:rPr>
          <w:rFonts w:hint="default" w:ascii="Arial" w:hAnsi="Arial" w:eastAsia="宋体" w:cs="Arial"/>
          <w:sz w:val="24"/>
          <w:szCs w:val="24"/>
          <w:lang w:val="en-US" w:eastAsia="zh-CN"/>
        </w:rPr>
        <w:t>2</w:t>
      </w:r>
      <w:r>
        <w:rPr>
          <w:rFonts w:hint="eastAsia" w:ascii="Arial" w:hAnsi="Arial" w:eastAsia="宋体" w:cs="Arial"/>
          <w:sz w:val="24"/>
          <w:szCs w:val="24"/>
          <w:lang w:val="en-US" w:eastAsia="zh-CN"/>
        </w:rPr>
        <w:t>4</w:t>
      </w:r>
      <w:r>
        <w:rPr>
          <w:rFonts w:hint="default" w:ascii="Arial" w:hAnsi="Arial" w:eastAsia="宋体" w:cs="Arial"/>
          <w:sz w:val="24"/>
          <w:szCs w:val="24"/>
        </w:rPr>
        <w:t>。</w:t>
      </w:r>
    </w:p>
    <w:p w14:paraId="6BFE52CF">
      <w:pPr>
        <w:pStyle w:val="76"/>
        <w:numPr>
          <w:ilvl w:val="3"/>
          <w:numId w:val="4"/>
        </w:numPr>
        <w:ind w:left="777" w:leftChars="0" w:firstLineChars="0"/>
        <w:jc w:val="center"/>
        <w:outlineLvl w:val="3"/>
        <w:rPr>
          <w:rFonts w:hint="default" w:ascii="Arial" w:hAnsi="Arial" w:eastAsia="宋体" w:cs="Arial"/>
          <w:b/>
          <w:bCs/>
          <w:sz w:val="24"/>
          <w:szCs w:val="24"/>
        </w:rPr>
      </w:pPr>
      <w:r>
        <w:rPr>
          <w:rFonts w:hint="default" w:ascii="Arial" w:hAnsi="Arial" w:eastAsia="宋体" w:cs="Arial"/>
          <w:b/>
          <w:bCs/>
          <w:sz w:val="24"/>
          <w:szCs w:val="24"/>
        </w:rPr>
        <w:t xml:space="preserve">  建设项目生产过程潜在危险性识别</w:t>
      </w:r>
    </w:p>
    <w:tbl>
      <w:tblPr>
        <w:tblStyle w:val="5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698"/>
        <w:gridCol w:w="1127"/>
        <w:gridCol w:w="3184"/>
        <w:gridCol w:w="1831"/>
      </w:tblGrid>
      <w:tr w14:paraId="0D92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0" w:type="dxa"/>
            <w:vAlign w:val="center"/>
          </w:tcPr>
          <w:p w14:paraId="4FACF925">
            <w:pPr>
              <w:jc w:val="center"/>
              <w:rPr>
                <w:rFonts w:hint="default" w:ascii="Arial" w:hAnsi="Arial" w:eastAsia="宋体" w:cs="Arial"/>
                <w:szCs w:val="21"/>
              </w:rPr>
            </w:pPr>
            <w:r>
              <w:rPr>
                <w:rFonts w:hint="default" w:ascii="Arial" w:hAnsi="Arial" w:eastAsia="宋体" w:cs="Arial"/>
                <w:szCs w:val="21"/>
              </w:rPr>
              <w:t>风险单元</w:t>
            </w:r>
          </w:p>
        </w:tc>
        <w:tc>
          <w:tcPr>
            <w:tcW w:w="710" w:type="dxa"/>
            <w:vAlign w:val="center"/>
          </w:tcPr>
          <w:p w14:paraId="49B991F2">
            <w:pPr>
              <w:jc w:val="center"/>
              <w:rPr>
                <w:rFonts w:hint="default" w:ascii="Arial" w:hAnsi="Arial" w:eastAsia="宋体" w:cs="Arial"/>
                <w:szCs w:val="21"/>
              </w:rPr>
            </w:pPr>
            <w:r>
              <w:rPr>
                <w:rFonts w:hint="default" w:ascii="Arial" w:hAnsi="Arial" w:eastAsia="宋体" w:cs="Arial"/>
                <w:szCs w:val="21"/>
              </w:rPr>
              <w:t>风险类型</w:t>
            </w:r>
          </w:p>
        </w:tc>
        <w:tc>
          <w:tcPr>
            <w:tcW w:w="1151" w:type="dxa"/>
            <w:vAlign w:val="center"/>
          </w:tcPr>
          <w:p w14:paraId="040C58C4">
            <w:pPr>
              <w:jc w:val="center"/>
              <w:rPr>
                <w:rFonts w:hint="default" w:ascii="Arial" w:hAnsi="Arial" w:eastAsia="宋体" w:cs="Arial"/>
                <w:szCs w:val="21"/>
              </w:rPr>
            </w:pPr>
            <w:r>
              <w:rPr>
                <w:rFonts w:hint="default" w:ascii="Arial" w:hAnsi="Arial" w:eastAsia="宋体" w:cs="Arial"/>
                <w:szCs w:val="21"/>
              </w:rPr>
              <w:t>危险物质</w:t>
            </w:r>
          </w:p>
        </w:tc>
        <w:tc>
          <w:tcPr>
            <w:tcW w:w="3262" w:type="dxa"/>
            <w:vAlign w:val="center"/>
          </w:tcPr>
          <w:p w14:paraId="5B17E43F">
            <w:pPr>
              <w:jc w:val="center"/>
              <w:rPr>
                <w:rFonts w:hint="default" w:ascii="Arial" w:hAnsi="Arial" w:eastAsia="宋体" w:cs="Arial"/>
                <w:szCs w:val="21"/>
              </w:rPr>
            </w:pPr>
            <w:r>
              <w:rPr>
                <w:rFonts w:hint="default" w:ascii="Arial" w:hAnsi="Arial" w:eastAsia="宋体" w:cs="Arial"/>
                <w:szCs w:val="21"/>
              </w:rPr>
              <w:t>影响途径</w:t>
            </w:r>
          </w:p>
        </w:tc>
        <w:tc>
          <w:tcPr>
            <w:tcW w:w="1873" w:type="dxa"/>
            <w:vAlign w:val="center"/>
          </w:tcPr>
          <w:p w14:paraId="722F8A14">
            <w:pPr>
              <w:jc w:val="center"/>
              <w:rPr>
                <w:rFonts w:hint="default" w:ascii="Arial" w:hAnsi="Arial" w:eastAsia="宋体" w:cs="Arial"/>
                <w:szCs w:val="21"/>
              </w:rPr>
            </w:pPr>
            <w:r>
              <w:rPr>
                <w:rFonts w:hint="default" w:ascii="Arial" w:hAnsi="Arial" w:eastAsia="宋体" w:cs="Arial"/>
                <w:szCs w:val="21"/>
              </w:rPr>
              <w:t>可能受影响的环境敏感目标</w:t>
            </w:r>
          </w:p>
        </w:tc>
      </w:tr>
      <w:tr w14:paraId="6664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0" w:type="dxa"/>
            <w:vAlign w:val="center"/>
          </w:tcPr>
          <w:p w14:paraId="1AA6270F">
            <w:pPr>
              <w:jc w:val="center"/>
              <w:rPr>
                <w:rFonts w:hint="default" w:ascii="Arial" w:hAnsi="Arial" w:eastAsia="宋体" w:cs="Arial"/>
                <w:szCs w:val="21"/>
                <w:lang w:val="en-US" w:eastAsia="zh-CN"/>
              </w:rPr>
            </w:pPr>
            <w:r>
              <w:rPr>
                <w:rFonts w:hint="default" w:ascii="Arial" w:hAnsi="Arial" w:eastAsia="宋体" w:cs="Arial"/>
                <w:szCs w:val="21"/>
              </w:rPr>
              <w:t>危废仓库</w:t>
            </w:r>
            <w:r>
              <w:rPr>
                <w:rFonts w:hint="default" w:ascii="Arial" w:hAnsi="Arial" w:eastAsia="宋体" w:cs="Arial"/>
                <w:color w:val="auto"/>
                <w:szCs w:val="21"/>
                <w:lang w:eastAsia="zh-CN"/>
              </w:rPr>
              <w:t>、</w:t>
            </w:r>
            <w:r>
              <w:rPr>
                <w:rFonts w:hint="default" w:ascii="Arial" w:hAnsi="Arial" w:eastAsia="宋体" w:cs="Arial"/>
                <w:color w:val="auto"/>
                <w:szCs w:val="21"/>
                <w:lang w:val="en-US" w:eastAsia="zh-CN"/>
              </w:rPr>
              <w:t>废水浓缩液贮存库</w:t>
            </w:r>
          </w:p>
        </w:tc>
        <w:tc>
          <w:tcPr>
            <w:tcW w:w="710" w:type="dxa"/>
            <w:vAlign w:val="center"/>
          </w:tcPr>
          <w:p w14:paraId="3762801F">
            <w:pPr>
              <w:widowControl/>
              <w:jc w:val="center"/>
              <w:rPr>
                <w:rFonts w:hint="default" w:ascii="Arial" w:hAnsi="Arial" w:eastAsia="宋体" w:cs="Arial"/>
                <w:szCs w:val="21"/>
              </w:rPr>
            </w:pPr>
            <w:r>
              <w:rPr>
                <w:rFonts w:hint="default" w:ascii="Arial" w:hAnsi="Arial" w:eastAsia="宋体" w:cs="Arial"/>
                <w:szCs w:val="21"/>
              </w:rPr>
              <w:t>泄漏</w:t>
            </w:r>
          </w:p>
        </w:tc>
        <w:tc>
          <w:tcPr>
            <w:tcW w:w="1151" w:type="dxa"/>
            <w:vAlign w:val="center"/>
          </w:tcPr>
          <w:p w14:paraId="67A3D3EF">
            <w:pPr>
              <w:widowControl/>
              <w:jc w:val="left"/>
              <w:rPr>
                <w:rFonts w:hint="default" w:ascii="Arial" w:hAnsi="Arial" w:eastAsia="宋体" w:cs="Arial"/>
                <w:szCs w:val="21"/>
              </w:rPr>
            </w:pPr>
            <w:r>
              <w:rPr>
                <w:rFonts w:hint="default" w:ascii="Arial" w:hAnsi="Arial" w:eastAsia="宋体" w:cs="Arial"/>
                <w:szCs w:val="21"/>
              </w:rPr>
              <w:t>健康危险急性毒性物质</w:t>
            </w:r>
          </w:p>
        </w:tc>
        <w:tc>
          <w:tcPr>
            <w:tcW w:w="3262" w:type="dxa"/>
            <w:vAlign w:val="center"/>
          </w:tcPr>
          <w:p w14:paraId="4CB357F6">
            <w:pPr>
              <w:jc w:val="center"/>
              <w:rPr>
                <w:rFonts w:hint="default" w:ascii="Arial" w:hAnsi="Arial" w:eastAsia="宋体" w:cs="Arial"/>
                <w:szCs w:val="21"/>
              </w:rPr>
            </w:pPr>
            <w:r>
              <w:rPr>
                <w:rFonts w:hint="default" w:ascii="Arial" w:hAnsi="Arial" w:eastAsia="宋体" w:cs="Arial"/>
                <w:szCs w:val="21"/>
              </w:rPr>
              <w:t>1、泄露后流入地表水，渗透土壤，污染地下水；</w:t>
            </w:r>
          </w:p>
          <w:p w14:paraId="6927E923">
            <w:pPr>
              <w:rPr>
                <w:rFonts w:hint="default" w:ascii="Arial" w:hAnsi="Arial" w:eastAsia="宋体" w:cs="Arial"/>
                <w:szCs w:val="21"/>
              </w:rPr>
            </w:pPr>
            <w:r>
              <w:rPr>
                <w:rFonts w:hint="default" w:ascii="Arial" w:hAnsi="Arial" w:eastAsia="宋体" w:cs="Arial"/>
                <w:szCs w:val="21"/>
              </w:rPr>
              <w:t>2、泄漏后挥发至空气中；</w:t>
            </w:r>
          </w:p>
          <w:p w14:paraId="5733EF56">
            <w:pPr>
              <w:jc w:val="center"/>
              <w:rPr>
                <w:rFonts w:hint="default" w:ascii="Arial" w:hAnsi="Arial" w:eastAsia="宋体" w:cs="Arial"/>
                <w:szCs w:val="21"/>
              </w:rPr>
            </w:pPr>
            <w:r>
              <w:rPr>
                <w:rFonts w:hint="default" w:ascii="Arial" w:hAnsi="Arial" w:eastAsia="宋体" w:cs="Arial"/>
                <w:szCs w:val="21"/>
              </w:rPr>
              <w:t>3、遇明火发生火灾，燃烧二次污染物进入大气；</w:t>
            </w:r>
          </w:p>
          <w:p w14:paraId="1C65DE6B">
            <w:pPr>
              <w:jc w:val="center"/>
              <w:rPr>
                <w:rFonts w:hint="default" w:ascii="Arial" w:hAnsi="Arial" w:eastAsia="宋体" w:cs="Arial"/>
                <w:szCs w:val="21"/>
              </w:rPr>
            </w:pPr>
            <w:r>
              <w:rPr>
                <w:rFonts w:hint="default" w:ascii="Arial" w:hAnsi="Arial" w:eastAsia="宋体" w:cs="Arial"/>
                <w:szCs w:val="21"/>
              </w:rPr>
              <w:t>4、消防废水进入地表水体；</w:t>
            </w:r>
          </w:p>
        </w:tc>
        <w:tc>
          <w:tcPr>
            <w:tcW w:w="1873" w:type="dxa"/>
            <w:vAlign w:val="center"/>
          </w:tcPr>
          <w:p w14:paraId="41052ADC">
            <w:pPr>
              <w:rPr>
                <w:rFonts w:hint="default" w:ascii="Arial" w:hAnsi="Arial" w:eastAsia="宋体" w:cs="Arial"/>
                <w:szCs w:val="21"/>
              </w:rPr>
            </w:pPr>
            <w:r>
              <w:rPr>
                <w:rFonts w:hint="default" w:ascii="Arial" w:hAnsi="Arial" w:eastAsia="宋体" w:cs="Arial"/>
                <w:szCs w:val="21"/>
              </w:rPr>
              <w:t>1、途径地表水、地下水；</w:t>
            </w:r>
          </w:p>
          <w:p w14:paraId="07454C95">
            <w:pPr>
              <w:rPr>
                <w:rFonts w:hint="default" w:ascii="Arial" w:hAnsi="Arial" w:eastAsia="宋体" w:cs="Arial"/>
                <w:szCs w:val="21"/>
              </w:rPr>
            </w:pPr>
            <w:r>
              <w:rPr>
                <w:rFonts w:hint="default" w:ascii="Arial" w:hAnsi="Arial" w:eastAsia="宋体" w:cs="Arial"/>
                <w:szCs w:val="21"/>
              </w:rPr>
              <w:t>2、周边土壤及生物。</w:t>
            </w:r>
          </w:p>
          <w:p w14:paraId="1510CD93">
            <w:pPr>
              <w:rPr>
                <w:rFonts w:hint="default" w:ascii="Arial" w:hAnsi="Arial" w:eastAsia="宋体" w:cs="Arial"/>
                <w:szCs w:val="21"/>
              </w:rPr>
            </w:pPr>
            <w:r>
              <w:rPr>
                <w:rFonts w:hint="default" w:ascii="Arial" w:hAnsi="Arial" w:eastAsia="宋体" w:cs="Arial"/>
                <w:szCs w:val="21"/>
              </w:rPr>
              <w:t>3、周边工作人员</w:t>
            </w:r>
          </w:p>
        </w:tc>
      </w:tr>
    </w:tbl>
    <w:p w14:paraId="7216FBED">
      <w:pPr>
        <w:spacing w:line="360" w:lineRule="auto"/>
        <w:outlineLvl w:val="3"/>
        <w:rPr>
          <w:rFonts w:hint="default" w:ascii="Arial" w:hAnsi="Arial" w:eastAsia="宋体" w:cs="Arial"/>
          <w:b/>
          <w:bCs/>
          <w:sz w:val="24"/>
          <w:szCs w:val="24"/>
        </w:rPr>
      </w:pPr>
    </w:p>
    <w:p w14:paraId="0511BC28">
      <w:pPr>
        <w:spacing w:line="360" w:lineRule="auto"/>
        <w:outlineLvl w:val="3"/>
        <w:rPr>
          <w:rFonts w:hint="default" w:ascii="Arial" w:hAnsi="Arial" w:eastAsia="宋体" w:cs="Arial"/>
          <w:b/>
          <w:bCs/>
          <w:sz w:val="24"/>
          <w:szCs w:val="24"/>
        </w:rPr>
      </w:pPr>
    </w:p>
    <w:p w14:paraId="6C9552CC">
      <w:pPr>
        <w:spacing w:line="360" w:lineRule="auto"/>
        <w:outlineLvl w:val="3"/>
        <w:rPr>
          <w:rFonts w:hint="default" w:ascii="Arial" w:hAnsi="Arial" w:eastAsia="宋体" w:cs="Arial"/>
          <w:b/>
          <w:bCs/>
          <w:sz w:val="24"/>
          <w:szCs w:val="24"/>
        </w:rPr>
      </w:pPr>
    </w:p>
    <w:p w14:paraId="4FAAE9A5">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4.2.7.4环境敏感目标概况</w:t>
      </w:r>
    </w:p>
    <w:p w14:paraId="5D09FF11">
      <w:pPr>
        <w:spacing w:line="360" w:lineRule="auto"/>
        <w:ind w:firstLine="480" w:firstLineChars="200"/>
        <w:jc w:val="left"/>
        <w:rPr>
          <w:rFonts w:hint="default" w:ascii="Arial" w:hAnsi="Arial" w:eastAsia="宋体" w:cs="Arial"/>
          <w:bCs/>
          <w:sz w:val="24"/>
          <w:szCs w:val="20"/>
        </w:rPr>
      </w:pPr>
      <w:r>
        <w:rPr>
          <w:rFonts w:hint="default" w:ascii="Arial" w:hAnsi="Arial" w:eastAsia="宋体" w:cs="Arial"/>
          <w:bCs/>
          <w:sz w:val="24"/>
          <w:szCs w:val="20"/>
        </w:rPr>
        <w:t>根据现场踏勘，项目拟建地周边500</w:t>
      </w:r>
      <w:r>
        <w:rPr>
          <w:rFonts w:hint="default" w:ascii="Arial" w:hAnsi="Arial" w:eastAsia="宋体" w:cs="Arial"/>
          <w:bCs/>
          <w:sz w:val="24"/>
          <w:szCs w:val="20"/>
          <w:lang w:val="en-US" w:eastAsia="zh-CN"/>
        </w:rPr>
        <w:t>m</w:t>
      </w:r>
      <w:r>
        <w:rPr>
          <w:rFonts w:hint="default" w:ascii="Arial" w:hAnsi="Arial" w:eastAsia="宋体" w:cs="Arial"/>
          <w:bCs/>
          <w:sz w:val="24"/>
          <w:szCs w:val="20"/>
        </w:rPr>
        <w:t>范围主要包括了</w:t>
      </w:r>
      <w:r>
        <w:rPr>
          <w:rFonts w:hint="default" w:ascii="Arial" w:hAnsi="Arial" w:eastAsia="宋体" w:cs="Arial"/>
          <w:bCs/>
          <w:sz w:val="24"/>
          <w:szCs w:val="20"/>
          <w:lang w:val="en-US" w:eastAsia="zh-CN"/>
        </w:rPr>
        <w:t>南湖区南村部分</w:t>
      </w:r>
      <w:r>
        <w:rPr>
          <w:rFonts w:hint="default" w:ascii="Arial" w:hAnsi="Arial" w:eastAsia="宋体" w:cs="Arial"/>
          <w:bCs/>
          <w:sz w:val="24"/>
          <w:szCs w:val="20"/>
        </w:rPr>
        <w:t>民居，具体环境风险敏感目标分布情况如下。</w:t>
      </w:r>
    </w:p>
    <w:p w14:paraId="29C63AB7">
      <w:pPr>
        <w:pStyle w:val="76"/>
        <w:keepNext/>
        <w:keepLines w:val="0"/>
        <w:pageBreakBefore w:val="0"/>
        <w:widowControl w:val="0"/>
        <w:numPr>
          <w:ilvl w:val="3"/>
          <w:numId w:val="4"/>
        </w:numPr>
        <w:kinsoku/>
        <w:wordWrap/>
        <w:overflowPunct/>
        <w:topLinePunct w:val="0"/>
        <w:autoSpaceDE/>
        <w:autoSpaceDN/>
        <w:bidi w:val="0"/>
        <w:adjustRightInd/>
        <w:snapToGrid/>
        <w:spacing w:line="360" w:lineRule="auto"/>
        <w:ind w:left="210" w:leftChars="0" w:firstLineChars="0"/>
        <w:jc w:val="center"/>
        <w:textAlignment w:val="auto"/>
        <w:outlineLvl w:val="3"/>
        <w:rPr>
          <w:rFonts w:hint="default" w:ascii="Arial" w:hAnsi="Arial" w:eastAsia="宋体" w:cs="Arial"/>
          <w:b/>
          <w:bCs/>
          <w:sz w:val="24"/>
          <w:szCs w:val="24"/>
        </w:rPr>
      </w:pPr>
      <w:r>
        <w:rPr>
          <w:rFonts w:hint="default" w:ascii="Arial" w:hAnsi="Arial" w:eastAsia="宋体" w:cs="Arial"/>
          <w:b/>
          <w:bCs/>
          <w:sz w:val="24"/>
          <w:szCs w:val="24"/>
        </w:rPr>
        <w:t xml:space="preserve">  建设项目周边环境风险敏感目标及敏感特征汇总表</w:t>
      </w:r>
    </w:p>
    <w:tbl>
      <w:tblPr>
        <w:tblStyle w:val="52"/>
        <w:tblW w:w="48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434"/>
        <w:gridCol w:w="665"/>
        <w:gridCol w:w="682"/>
        <w:gridCol w:w="1262"/>
        <w:gridCol w:w="968"/>
        <w:gridCol w:w="936"/>
        <w:gridCol w:w="979"/>
        <w:gridCol w:w="2146"/>
      </w:tblGrid>
      <w:tr w14:paraId="1FFA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40" w:hRule="atLeast"/>
          <w:tblHeader/>
          <w:jc w:val="center"/>
        </w:trPr>
        <w:tc>
          <w:tcPr>
            <w:tcW w:w="434" w:type="dxa"/>
            <w:shd w:val="clear" w:color="auto" w:fill="auto"/>
            <w:vAlign w:val="center"/>
          </w:tcPr>
          <w:p w14:paraId="6BDA2594">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类别</w:t>
            </w:r>
          </w:p>
        </w:tc>
        <w:tc>
          <w:tcPr>
            <w:tcW w:w="7638" w:type="dxa"/>
            <w:gridSpan w:val="7"/>
            <w:shd w:val="clear" w:color="auto" w:fill="auto"/>
            <w:vAlign w:val="center"/>
          </w:tcPr>
          <w:p w14:paraId="44B5310F">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环境敏感特征</w:t>
            </w:r>
          </w:p>
        </w:tc>
      </w:tr>
      <w:tr w14:paraId="3947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40" w:hRule="atLeast"/>
          <w:jc w:val="center"/>
        </w:trPr>
        <w:tc>
          <w:tcPr>
            <w:tcW w:w="434" w:type="dxa"/>
            <w:vMerge w:val="restart"/>
            <w:shd w:val="clear" w:color="auto" w:fill="auto"/>
            <w:vAlign w:val="center"/>
          </w:tcPr>
          <w:p w14:paraId="2880A50C">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环境空气</w:t>
            </w:r>
          </w:p>
        </w:tc>
        <w:tc>
          <w:tcPr>
            <w:tcW w:w="7638" w:type="dxa"/>
            <w:gridSpan w:val="7"/>
            <w:shd w:val="clear" w:color="auto" w:fill="auto"/>
            <w:vAlign w:val="center"/>
          </w:tcPr>
          <w:p w14:paraId="0BFE932E">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厂址周边500m范围内</w:t>
            </w:r>
          </w:p>
        </w:tc>
      </w:tr>
      <w:tr w14:paraId="1855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40" w:hRule="atLeast"/>
          <w:jc w:val="center"/>
        </w:trPr>
        <w:tc>
          <w:tcPr>
            <w:tcW w:w="434" w:type="dxa"/>
            <w:vMerge w:val="continue"/>
            <w:shd w:val="clear" w:color="auto" w:fill="auto"/>
            <w:vAlign w:val="center"/>
          </w:tcPr>
          <w:p w14:paraId="29B31762">
            <w:pPr>
              <w:widowControl/>
              <w:spacing w:line="240" w:lineRule="exact"/>
              <w:jc w:val="center"/>
              <w:rPr>
                <w:rFonts w:hint="default" w:ascii="Arial" w:hAnsi="Arial" w:eastAsia="宋体" w:cs="Arial"/>
                <w:szCs w:val="21"/>
                <w:lang w:bidi="ar"/>
              </w:rPr>
            </w:pPr>
          </w:p>
        </w:tc>
        <w:tc>
          <w:tcPr>
            <w:tcW w:w="665" w:type="dxa"/>
            <w:shd w:val="clear" w:color="auto" w:fill="auto"/>
            <w:vAlign w:val="center"/>
          </w:tcPr>
          <w:p w14:paraId="606B7BDB">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序号</w:t>
            </w:r>
          </w:p>
        </w:tc>
        <w:tc>
          <w:tcPr>
            <w:tcW w:w="1944" w:type="dxa"/>
            <w:gridSpan w:val="2"/>
            <w:shd w:val="clear" w:color="auto" w:fill="auto"/>
            <w:vAlign w:val="center"/>
          </w:tcPr>
          <w:p w14:paraId="42D35D44">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敏感目标名称</w:t>
            </w:r>
          </w:p>
        </w:tc>
        <w:tc>
          <w:tcPr>
            <w:tcW w:w="968" w:type="dxa"/>
            <w:shd w:val="clear" w:color="auto" w:fill="auto"/>
            <w:vAlign w:val="center"/>
          </w:tcPr>
          <w:p w14:paraId="02718CBA">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相对方位</w:t>
            </w:r>
          </w:p>
        </w:tc>
        <w:tc>
          <w:tcPr>
            <w:tcW w:w="936" w:type="dxa"/>
            <w:shd w:val="clear" w:color="auto" w:fill="auto"/>
            <w:vAlign w:val="center"/>
          </w:tcPr>
          <w:p w14:paraId="0FF92C3B">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最近距离/m</w:t>
            </w:r>
          </w:p>
        </w:tc>
        <w:tc>
          <w:tcPr>
            <w:tcW w:w="979" w:type="dxa"/>
            <w:shd w:val="clear" w:color="auto" w:fill="auto"/>
            <w:vAlign w:val="center"/>
          </w:tcPr>
          <w:p w14:paraId="4EFEF833">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属性</w:t>
            </w:r>
          </w:p>
        </w:tc>
        <w:tc>
          <w:tcPr>
            <w:tcW w:w="2146" w:type="dxa"/>
            <w:shd w:val="clear" w:color="auto" w:fill="auto"/>
            <w:vAlign w:val="center"/>
          </w:tcPr>
          <w:p w14:paraId="452890C5">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人口数</w:t>
            </w:r>
          </w:p>
        </w:tc>
      </w:tr>
      <w:tr w14:paraId="7B40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40" w:hRule="atLeast"/>
          <w:jc w:val="center"/>
        </w:trPr>
        <w:tc>
          <w:tcPr>
            <w:tcW w:w="434" w:type="dxa"/>
            <w:vMerge w:val="continue"/>
            <w:shd w:val="clear" w:color="auto" w:fill="auto"/>
            <w:vAlign w:val="center"/>
          </w:tcPr>
          <w:p w14:paraId="20FB7F82">
            <w:pPr>
              <w:widowControl/>
              <w:spacing w:line="240" w:lineRule="exact"/>
              <w:jc w:val="center"/>
              <w:rPr>
                <w:rFonts w:hint="default" w:ascii="Arial" w:hAnsi="Arial" w:eastAsia="宋体" w:cs="Arial"/>
                <w:szCs w:val="21"/>
                <w:lang w:bidi="ar"/>
              </w:rPr>
            </w:pPr>
          </w:p>
        </w:tc>
        <w:tc>
          <w:tcPr>
            <w:tcW w:w="665" w:type="dxa"/>
            <w:shd w:val="clear" w:color="auto" w:fill="auto"/>
            <w:vAlign w:val="center"/>
          </w:tcPr>
          <w:p w14:paraId="188B54D1">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1</w:t>
            </w:r>
          </w:p>
        </w:tc>
        <w:tc>
          <w:tcPr>
            <w:tcW w:w="682" w:type="dxa"/>
            <w:shd w:val="clear" w:color="auto" w:fill="auto"/>
            <w:vAlign w:val="center"/>
          </w:tcPr>
          <w:p w14:paraId="32D8D3C6">
            <w:pPr>
              <w:widowControl/>
              <w:spacing w:line="240" w:lineRule="exact"/>
              <w:jc w:val="center"/>
              <w:rPr>
                <w:rFonts w:hint="default" w:ascii="Arial" w:hAnsi="Arial" w:eastAsia="宋体" w:cs="Arial"/>
                <w:szCs w:val="21"/>
                <w:lang w:val="en-US" w:eastAsia="zh-CN" w:bidi="ar"/>
              </w:rPr>
            </w:pPr>
            <w:r>
              <w:rPr>
                <w:rFonts w:hint="default" w:ascii="Arial" w:hAnsi="Arial" w:eastAsia="宋体" w:cs="Arial"/>
                <w:szCs w:val="21"/>
                <w:lang w:val="en-US" w:eastAsia="zh-CN" w:bidi="ar"/>
              </w:rPr>
              <w:t>南湖区</w:t>
            </w:r>
          </w:p>
        </w:tc>
        <w:tc>
          <w:tcPr>
            <w:tcW w:w="1262" w:type="dxa"/>
            <w:shd w:val="clear" w:color="auto" w:fill="auto"/>
            <w:vAlign w:val="center"/>
          </w:tcPr>
          <w:p w14:paraId="13A43797">
            <w:pPr>
              <w:widowControl/>
              <w:spacing w:line="240" w:lineRule="exact"/>
              <w:jc w:val="center"/>
              <w:rPr>
                <w:rFonts w:hint="default" w:ascii="Arial" w:hAnsi="Arial" w:eastAsia="宋体" w:cs="Arial"/>
                <w:szCs w:val="21"/>
                <w:lang w:val="en-US" w:eastAsia="zh-CN" w:bidi="ar"/>
              </w:rPr>
            </w:pPr>
            <w:r>
              <w:rPr>
                <w:rFonts w:hint="default" w:ascii="Arial" w:hAnsi="Arial" w:eastAsia="宋体" w:cs="Arial"/>
                <w:szCs w:val="21"/>
                <w:lang w:val="en-US" w:eastAsia="zh-CN" w:bidi="ar"/>
              </w:rPr>
              <w:t>南村</w:t>
            </w:r>
          </w:p>
        </w:tc>
        <w:tc>
          <w:tcPr>
            <w:tcW w:w="968" w:type="dxa"/>
            <w:shd w:val="clear" w:color="auto" w:fill="auto"/>
            <w:vAlign w:val="center"/>
          </w:tcPr>
          <w:p w14:paraId="53F73DCC">
            <w:pPr>
              <w:widowControl/>
              <w:spacing w:line="240" w:lineRule="exact"/>
              <w:jc w:val="center"/>
              <w:rPr>
                <w:rFonts w:hint="default" w:ascii="Arial" w:hAnsi="Arial" w:eastAsia="宋体" w:cs="Arial"/>
                <w:szCs w:val="21"/>
                <w:lang w:val="en-US" w:eastAsia="zh-CN" w:bidi="ar"/>
              </w:rPr>
            </w:pPr>
            <w:r>
              <w:rPr>
                <w:rFonts w:hint="default" w:ascii="Arial" w:hAnsi="Arial" w:eastAsia="宋体" w:cs="Arial"/>
                <w:szCs w:val="21"/>
              </w:rPr>
              <w:t>N</w:t>
            </w:r>
            <w:r>
              <w:rPr>
                <w:rFonts w:hint="default" w:ascii="Arial" w:hAnsi="Arial" w:eastAsia="宋体" w:cs="Arial"/>
                <w:szCs w:val="21"/>
                <w:lang w:val="en-US" w:eastAsia="zh-CN"/>
              </w:rPr>
              <w:t>W</w:t>
            </w:r>
          </w:p>
        </w:tc>
        <w:tc>
          <w:tcPr>
            <w:tcW w:w="936" w:type="dxa"/>
            <w:shd w:val="clear" w:color="auto" w:fill="auto"/>
            <w:vAlign w:val="center"/>
          </w:tcPr>
          <w:p w14:paraId="328848A5">
            <w:pPr>
              <w:widowControl/>
              <w:spacing w:line="240" w:lineRule="exact"/>
              <w:jc w:val="center"/>
              <w:rPr>
                <w:rFonts w:hint="default" w:ascii="Arial" w:hAnsi="Arial" w:eastAsia="宋体" w:cs="Arial"/>
                <w:szCs w:val="21"/>
                <w:lang w:val="en-US" w:eastAsia="zh-CN" w:bidi="ar"/>
              </w:rPr>
            </w:pPr>
            <w:r>
              <w:rPr>
                <w:rFonts w:hint="default" w:ascii="Arial" w:hAnsi="Arial" w:eastAsia="宋体" w:cs="Arial"/>
                <w:szCs w:val="21"/>
                <w:lang w:bidi="ar"/>
              </w:rPr>
              <w:t>约2</w:t>
            </w:r>
            <w:r>
              <w:rPr>
                <w:rFonts w:hint="default" w:ascii="Arial" w:hAnsi="Arial" w:eastAsia="宋体" w:cs="Arial"/>
                <w:szCs w:val="21"/>
                <w:lang w:val="en-US" w:eastAsia="zh-CN" w:bidi="ar"/>
              </w:rPr>
              <w:t>30</w:t>
            </w:r>
          </w:p>
        </w:tc>
        <w:tc>
          <w:tcPr>
            <w:tcW w:w="979" w:type="dxa"/>
            <w:shd w:val="clear" w:color="auto" w:fill="auto"/>
            <w:vAlign w:val="center"/>
          </w:tcPr>
          <w:p w14:paraId="4C2EFB3D">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居住区</w:t>
            </w:r>
          </w:p>
        </w:tc>
        <w:tc>
          <w:tcPr>
            <w:tcW w:w="2146" w:type="dxa"/>
            <w:shd w:val="clear" w:color="auto" w:fill="auto"/>
            <w:vAlign w:val="center"/>
          </w:tcPr>
          <w:p w14:paraId="3B24E9AE">
            <w:pPr>
              <w:widowControl/>
              <w:spacing w:line="240" w:lineRule="exact"/>
              <w:jc w:val="center"/>
              <w:rPr>
                <w:rFonts w:hint="default" w:ascii="Arial" w:hAnsi="Arial" w:eastAsia="宋体" w:cs="Arial"/>
                <w:szCs w:val="21"/>
                <w:lang w:bidi="ar"/>
              </w:rPr>
            </w:pPr>
            <w:r>
              <w:rPr>
                <w:rFonts w:hint="default" w:ascii="Arial" w:hAnsi="Arial" w:eastAsia="宋体" w:cs="Arial"/>
                <w:szCs w:val="21"/>
                <w:lang w:bidi="ar"/>
              </w:rPr>
              <w:t>约</w:t>
            </w:r>
            <w:r>
              <w:rPr>
                <w:rFonts w:hint="default" w:ascii="Arial" w:hAnsi="Arial" w:eastAsia="宋体" w:cs="Arial"/>
                <w:szCs w:val="21"/>
                <w:lang w:val="en-US" w:eastAsia="zh-CN" w:bidi="ar"/>
              </w:rPr>
              <w:t>20</w:t>
            </w:r>
            <w:r>
              <w:rPr>
                <w:rFonts w:hint="default" w:ascii="Arial" w:hAnsi="Arial" w:eastAsia="宋体" w:cs="Arial"/>
                <w:szCs w:val="21"/>
                <w:lang w:bidi="ar"/>
              </w:rPr>
              <w:t>户</w:t>
            </w:r>
          </w:p>
        </w:tc>
      </w:tr>
    </w:tbl>
    <w:p w14:paraId="0E2A1FD5">
      <w:pPr>
        <w:spacing w:line="360" w:lineRule="auto"/>
        <w:ind w:firstLine="600" w:firstLineChars="250"/>
        <w:rPr>
          <w:rFonts w:hint="default" w:ascii="Arial" w:hAnsi="Arial" w:eastAsia="宋体" w:cs="Arial"/>
          <w:bCs/>
          <w:sz w:val="24"/>
          <w:szCs w:val="24"/>
        </w:rPr>
      </w:pPr>
      <w:r>
        <w:rPr>
          <w:rFonts w:hint="default" w:ascii="Arial" w:hAnsi="Arial" w:eastAsia="宋体" w:cs="Arial"/>
          <w:bCs/>
          <w:sz w:val="24"/>
          <w:szCs w:val="24"/>
        </w:rPr>
        <w:t>项目厂界外500m范围内无地下水集中式饮用水水源、分散式饮用水水源地和特殊地下水资源等环境敏感区。</w:t>
      </w:r>
    </w:p>
    <w:p w14:paraId="02BD3D06">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4.2.7.5环境风险防范措施及应急要求</w:t>
      </w:r>
    </w:p>
    <w:p w14:paraId="22C6A409">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针对企业可能产生的环境风险隐患，采取一系列方法措施。为进一步减少环境风险可能产生的环境影响，在采取预防措施基础上加强以下风险防范和管理措施。</w:t>
      </w:r>
    </w:p>
    <w:p w14:paraId="6CCDE3E9">
      <w:pPr>
        <w:spacing w:line="360" w:lineRule="auto"/>
        <w:ind w:firstLine="482" w:firstLineChars="200"/>
        <w:rPr>
          <w:rFonts w:hint="default" w:ascii="Arial" w:hAnsi="Arial" w:eastAsia="宋体" w:cs="Arial"/>
          <w:sz w:val="24"/>
          <w:szCs w:val="24"/>
        </w:rPr>
      </w:pPr>
      <w:r>
        <w:rPr>
          <w:rFonts w:hint="default" w:ascii="Arial" w:hAnsi="Arial" w:eastAsia="宋体" w:cs="Arial"/>
          <w:b/>
          <w:bCs/>
          <w:sz w:val="24"/>
          <w:szCs w:val="24"/>
        </w:rPr>
        <w:t>1、总图布置风险防范措施</w:t>
      </w:r>
    </w:p>
    <w:p w14:paraId="487AD878">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厂区中配套建设应急救援设施，救援通道，应急疏散避难所等防护设施，按《安全标准》规定在生产区、贮存区设置有关的安全标志。</w:t>
      </w:r>
    </w:p>
    <w:p w14:paraId="270BD526">
      <w:pPr>
        <w:spacing w:line="360" w:lineRule="auto"/>
        <w:ind w:firstLine="482" w:firstLineChars="200"/>
        <w:rPr>
          <w:rFonts w:hint="default" w:ascii="Arial" w:hAnsi="Arial" w:eastAsia="宋体" w:cs="Arial"/>
          <w:b/>
          <w:bCs/>
          <w:sz w:val="24"/>
          <w:szCs w:val="24"/>
        </w:rPr>
      </w:pPr>
      <w:r>
        <w:rPr>
          <w:rFonts w:hint="default" w:ascii="Arial" w:hAnsi="Arial" w:eastAsia="宋体" w:cs="Arial"/>
          <w:b/>
          <w:bCs/>
          <w:sz w:val="24"/>
          <w:szCs w:val="24"/>
        </w:rPr>
        <w:t>2、运输过程中的事故防范措施</w:t>
      </w:r>
    </w:p>
    <w:p w14:paraId="10A82DB8">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（1）车间转运</w:t>
      </w:r>
    </w:p>
    <w:p w14:paraId="5952F9A5">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危险废物转移时采用密闭容器进行封存，配备专人负责。转运路线应合理规划，转运时间应错开人流高峰，转运完成做好记录。</w:t>
      </w:r>
    </w:p>
    <w:p w14:paraId="68135716">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（2）道路转运</w:t>
      </w:r>
    </w:p>
    <w:p w14:paraId="1A24E8FE">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危废转运委托有运输资质的公司承运，并且采用专业带有警示标志的运输车辆。在正常运输情况下，合理规划运输线路，避免车流高峰以及恶劣天气，可大幅降低交通事故发生概率。</w:t>
      </w:r>
    </w:p>
    <w:p w14:paraId="5F35E275">
      <w:pPr>
        <w:spacing w:line="360" w:lineRule="auto"/>
        <w:ind w:firstLine="480" w:firstLineChars="200"/>
        <w:rPr>
          <w:rFonts w:hint="default" w:ascii="Arial" w:hAnsi="Arial" w:eastAsia="宋体" w:cs="Arial"/>
          <w:sz w:val="24"/>
          <w:szCs w:val="24"/>
        </w:rPr>
      </w:pPr>
    </w:p>
    <w:p w14:paraId="6CCFB27B">
      <w:pPr>
        <w:spacing w:line="360" w:lineRule="auto"/>
        <w:ind w:firstLine="482" w:firstLineChars="200"/>
        <w:rPr>
          <w:rFonts w:hint="default" w:ascii="Arial" w:hAnsi="Arial" w:eastAsia="宋体" w:cs="Arial"/>
          <w:b/>
          <w:bCs/>
          <w:sz w:val="24"/>
          <w:szCs w:val="24"/>
        </w:rPr>
      </w:pPr>
      <w:r>
        <w:rPr>
          <w:rFonts w:hint="default" w:ascii="Arial" w:hAnsi="Arial" w:eastAsia="宋体" w:cs="Arial"/>
          <w:b/>
          <w:bCs/>
          <w:sz w:val="24"/>
          <w:szCs w:val="24"/>
        </w:rPr>
        <w:t>3、贮存过程中的安全防范措施</w:t>
      </w:r>
    </w:p>
    <w:p w14:paraId="1A630331">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按照《危险废物贮存污染控制标准》、《危险废物污染治理技术政策》、《中华人民共和国固体废物污染环境防治法》等的相关要求设置危废仓库，选址合理，避免易燃、易爆等危险品使用区域；地面按要求进行防腐、防渗处理，场内设集液池和废水导排渠；日常运行过程中，采用密闭容器进行包装贮存，危险废物转移过程中须严格执行转移联单制度，并做好记录台账，防止危险废物在转移过程中发生环境风险事故。</w:t>
      </w:r>
    </w:p>
    <w:p w14:paraId="3C873CA6">
      <w:pPr>
        <w:spacing w:line="360" w:lineRule="auto"/>
        <w:ind w:firstLine="482" w:firstLineChars="200"/>
        <w:rPr>
          <w:rFonts w:hint="default" w:ascii="Arial" w:hAnsi="Arial" w:eastAsia="宋体" w:cs="Arial"/>
          <w:b/>
          <w:bCs/>
          <w:sz w:val="24"/>
          <w:szCs w:val="24"/>
        </w:rPr>
      </w:pPr>
      <w:r>
        <w:rPr>
          <w:rFonts w:hint="default" w:ascii="Arial" w:hAnsi="Arial" w:eastAsia="宋体" w:cs="Arial"/>
          <w:b/>
          <w:bCs/>
          <w:sz w:val="24"/>
          <w:szCs w:val="24"/>
        </w:rPr>
        <w:t>4、使用过程防范措施</w:t>
      </w:r>
    </w:p>
    <w:p w14:paraId="77159143">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对突发性污染事故的防治对策对于已建成的企业应从以上几点严格控制和管理，加强事故预防措施和事故应急处理处置的技能，懂得紧急救援的知识。“ 预防为主、安全第一”是减少污染事故发生、降低污染事故损害的重要保障。针对该企业的特点，本评价要求采取下列风险防范措施，以避免事故的发生：</w:t>
      </w:r>
    </w:p>
    <w:p w14:paraId="542AAD67">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（1）建议项目设专人负责安全生产，主要负责、检查和监督全厂的安全生产和环保设施的正常运转情况。</w:t>
      </w:r>
    </w:p>
    <w:p w14:paraId="05EB4B3A">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（2）严格遵守国家有关安全生产法律、法规和国家标准的安全管理制度，并按照安全操作规程操作。</w:t>
      </w:r>
    </w:p>
    <w:p w14:paraId="3618C56A">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（3）按要求建立安全生产责任制、安全生产检查制度等各项安全环保管理规章制度和岗位安全操作规程，并在生产过程中严格按制度规程执行。</w:t>
      </w:r>
    </w:p>
    <w:p w14:paraId="34991EBD">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（4）在生产岗位设置事故柜和急救器材、救生器、防护面罩、衣、护目镜、胶皮手套、耳塞等防护、急救用具、用品。</w:t>
      </w:r>
    </w:p>
    <w:p w14:paraId="028B8534">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（5）加强管理，提高员工水平和意识，防止有毒有害物料泄漏。</w:t>
      </w:r>
    </w:p>
    <w:p w14:paraId="25C55651">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（6）岗位操作人员应经过作业培训，并取得上岗资格。日常运营过程，要定期对员工进行安全教育，加强技术培训，严格管理，提高安全意识。</w:t>
      </w:r>
    </w:p>
    <w:p w14:paraId="44833EC4">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（7）加强日常生产检查，定期对生产设施、环保设施进行检查，杜绝事故的发生。</w:t>
      </w:r>
    </w:p>
    <w:p w14:paraId="2CB17613">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（8）制定完善的设备检修制度，对生产设备及环保设备进行定期检查，同时在进料时应密切关切各生产过程，以便及时发现问题及时解决。</w:t>
      </w:r>
    </w:p>
    <w:p w14:paraId="251EB86D">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（9）提高应急处理的能力</w:t>
      </w:r>
    </w:p>
    <w:p w14:paraId="2182F588">
      <w:pPr>
        <w:spacing w:line="360" w:lineRule="auto"/>
        <w:ind w:firstLine="480" w:firstLineChars="200"/>
        <w:rPr>
          <w:rFonts w:hint="default" w:ascii="Arial" w:hAnsi="Arial" w:eastAsia="宋体" w:cs="Arial"/>
          <w:color w:val="000000" w:themeColor="text1"/>
          <w:sz w:val="24"/>
          <w:szCs w:val="24"/>
          <w14:textFill>
            <w14:solidFill>
              <w14:schemeClr w14:val="tx1"/>
            </w14:solidFill>
          </w14:textFill>
        </w:rPr>
      </w:pPr>
      <w:r>
        <w:rPr>
          <w:rFonts w:hint="default" w:ascii="Arial" w:hAnsi="Arial" w:eastAsia="宋体" w:cs="Arial"/>
          <w:color w:val="000000" w:themeColor="text1"/>
          <w:sz w:val="24"/>
          <w:szCs w:val="24"/>
          <w14:textFill>
            <w14:solidFill>
              <w14:schemeClr w14:val="tx1"/>
            </w14:solidFill>
          </w14:textFill>
        </w:rPr>
        <w:t>建设项目应对具有高危害设备设置保险措施，对危险车间或工段可设置必备的应急措施。并制定厂内的应急计划、定期进行安全环保宣传教育以及紧急事故模拟演习，配备必要和适当的通讯工具和应急设施。</w:t>
      </w:r>
    </w:p>
    <w:p w14:paraId="2F1670D6">
      <w:pPr>
        <w:keepNext/>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Arial" w:hAnsi="Arial" w:eastAsia="宋体" w:cs="Arial"/>
          <w:b/>
          <w:bCs/>
          <w:sz w:val="24"/>
          <w:szCs w:val="24"/>
        </w:rPr>
      </w:pPr>
      <w:r>
        <w:rPr>
          <w:rFonts w:hint="default" w:ascii="Arial" w:hAnsi="Arial" w:eastAsia="宋体" w:cs="Arial"/>
          <w:b/>
          <w:bCs/>
          <w:sz w:val="24"/>
          <w:szCs w:val="24"/>
        </w:rPr>
        <w:t>5、管理对策措施</w:t>
      </w:r>
    </w:p>
    <w:p w14:paraId="7F6B5DE9">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1）加强员工的安全、环保知识和风险事故安全教育，提高职工的风险意识，减少风险发生的概率。所有从业人员应当掌握本职工作所需的化学品安全知识和技能，严格遵守化学品安全规章制度和操作规程，了解其作业场所和工作存在的危险有害因素以及企业所采取的防范措施和环境突发事故应急措施。危险岗位的操作工，必须按规定经过安全操作的技术培训，取得合格证后才能单独上岗。</w:t>
      </w:r>
    </w:p>
    <w:p w14:paraId="4D212EB7">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2）加强对安全管理的领导，建立健全各项安全、消防管理网络。建立健全各项安全管理制度，如：岗位责任制、安全教育、培训制度；辅料的运输、储存制度；设备等设施的定期检验、维护、保养、检修制度；以及安全操作规程等。</w:t>
      </w:r>
    </w:p>
    <w:p w14:paraId="728EF114">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3）按照企业可能存在的环境风险事故，编写环境突发事故应急救援预案并落实到人，一旦发生事故，就能迅速采取防范措施进行控制，把事故所造成的影响降低到最小程度。并且应制定相应的培训计划和演练计划。</w:t>
      </w:r>
    </w:p>
    <w:p w14:paraId="45F0858D">
      <w:pPr>
        <w:spacing w:line="360" w:lineRule="auto"/>
        <w:ind w:firstLine="480"/>
        <w:rPr>
          <w:rFonts w:hint="default" w:ascii="Arial" w:hAnsi="Arial" w:eastAsia="宋体" w:cs="Arial"/>
          <w:sz w:val="24"/>
        </w:rPr>
      </w:pPr>
      <w:r>
        <w:rPr>
          <w:rFonts w:hint="default" w:ascii="Arial" w:hAnsi="Arial" w:eastAsia="宋体" w:cs="Arial"/>
          <w:sz w:val="24"/>
        </w:rPr>
        <w:t>（4）企业应严格执行《浙江省应急管理厅 浙江省生态环境厅关于加强工业企业环保设施安全生产工作的指导意见》（浙应急基础[2022]143号）中相关要求，应委托有相应资质（建设部门核发的综合、行业专项等设计资质）的设计单位对项目主要环保设施（</w:t>
      </w:r>
      <w:r>
        <w:rPr>
          <w:rFonts w:hint="default" w:ascii="Arial" w:hAnsi="Arial" w:eastAsia="宋体" w:cs="Arial"/>
          <w:sz w:val="24"/>
          <w:lang w:val="en-US" w:eastAsia="zh-CN"/>
        </w:rPr>
        <w:t>废水</w:t>
      </w:r>
      <w:r>
        <w:rPr>
          <w:rFonts w:hint="default" w:ascii="Arial" w:hAnsi="Arial" w:eastAsia="宋体" w:cs="Arial"/>
          <w:sz w:val="24"/>
        </w:rPr>
        <w:t>治理设施等）进行设计，落实安全生产相关技术要求。</w:t>
      </w:r>
    </w:p>
    <w:p w14:paraId="5D351693">
      <w:pPr>
        <w:spacing w:line="360" w:lineRule="auto"/>
        <w:outlineLvl w:val="3"/>
        <w:rPr>
          <w:rFonts w:hint="default" w:ascii="Arial" w:hAnsi="Arial" w:eastAsia="宋体" w:cs="Arial"/>
          <w:b/>
          <w:bCs/>
          <w:sz w:val="24"/>
          <w:szCs w:val="24"/>
        </w:rPr>
      </w:pPr>
      <w:r>
        <w:rPr>
          <w:rFonts w:hint="default" w:ascii="Arial" w:hAnsi="Arial" w:eastAsia="宋体" w:cs="Arial"/>
          <w:b/>
          <w:bCs/>
          <w:sz w:val="24"/>
          <w:szCs w:val="24"/>
        </w:rPr>
        <w:t>4.2.7.6应急预案</w:t>
      </w:r>
    </w:p>
    <w:p w14:paraId="25F58E71">
      <w:pPr>
        <w:spacing w:line="360" w:lineRule="auto"/>
        <w:ind w:firstLine="480" w:firstLineChars="200"/>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sz w:val="24"/>
          <w:szCs w:val="24"/>
        </w:rPr>
        <w:t>突发环境事件应急预案预案是针对具体设备、设施、场所和环境，为降低事故造成的人身、财产与环境损失，就事故发生后的应急救援机构和人员，应急救援的设备、设施、条件和环境，行动的步骤和纲领，控制事故发展的方法和程序等，预先做出的科学而有效的计划和安排。根据《企业事业单位突发环境事件应急预案备案管理办法（试行）》(环发[2015]4号)相关要求，企业需自行或委托相关单位编制本</w:t>
      </w:r>
      <w:r>
        <w:rPr>
          <w:rFonts w:hint="default" w:ascii="Arial" w:hAnsi="Arial" w:eastAsia="宋体" w:cs="Arial"/>
          <w:color w:val="000000" w:themeColor="text1"/>
          <w:sz w:val="24"/>
          <w:szCs w:val="24"/>
          <w14:textFill>
            <w14:solidFill>
              <w14:schemeClr w14:val="tx1"/>
            </w14:solidFill>
          </w14:textFill>
        </w:rPr>
        <w:t>项目突发环境事件应急预案，并报当地生态环境管理部门备案。</w:t>
      </w:r>
    </w:p>
    <w:p w14:paraId="52E6A5F0">
      <w:pPr>
        <w:pStyle w:val="76"/>
        <w:numPr>
          <w:ilvl w:val="2"/>
          <w:numId w:val="4"/>
        </w:numPr>
        <w:spacing w:line="360" w:lineRule="auto"/>
        <w:ind w:left="210" w:leftChars="0" w:firstLine="0" w:firstLineChars="0"/>
        <w:outlineLvl w:val="2"/>
        <w:rPr>
          <w:rFonts w:hint="default" w:ascii="Arial" w:hAnsi="Arial" w:eastAsia="宋体" w:cs="Arial"/>
          <w:b/>
          <w:bCs/>
          <w:color w:val="000000" w:themeColor="text1"/>
          <w:sz w:val="24"/>
          <w:szCs w:val="24"/>
          <w14:textFill>
            <w14:solidFill>
              <w14:schemeClr w14:val="tx1"/>
            </w14:solidFill>
          </w14:textFill>
        </w:rPr>
      </w:pPr>
      <w:r>
        <w:rPr>
          <w:rFonts w:hint="default" w:ascii="Arial" w:hAnsi="Arial" w:eastAsia="宋体" w:cs="Arial"/>
          <w:b/>
          <w:bCs/>
          <w:color w:val="000000" w:themeColor="text1"/>
          <w:sz w:val="24"/>
          <w:szCs w:val="24"/>
          <w14:textFill>
            <w14:solidFill>
              <w14:schemeClr w14:val="tx1"/>
            </w14:solidFill>
          </w14:textFill>
        </w:rPr>
        <w:t>电磁辐射</w:t>
      </w:r>
    </w:p>
    <w:p w14:paraId="6CEDCAAB">
      <w:pPr>
        <w:spacing w:line="360" w:lineRule="auto"/>
        <w:ind w:firstLine="480" w:firstLineChars="200"/>
        <w:outlineLvl w:val="3"/>
        <w:rPr>
          <w:rFonts w:hint="default" w:ascii="Arial" w:hAnsi="Arial" w:eastAsia="宋体" w:cs="Arial"/>
          <w:bCs/>
          <w:color w:val="000000" w:themeColor="text1"/>
          <w:sz w:val="24"/>
          <w:szCs w:val="24"/>
          <w14:textFill>
            <w14:solidFill>
              <w14:schemeClr w14:val="tx1"/>
            </w14:solidFill>
          </w14:textFill>
        </w:rPr>
      </w:pPr>
      <w:r>
        <w:rPr>
          <w:rFonts w:hint="default" w:ascii="Arial" w:hAnsi="Arial" w:eastAsia="宋体" w:cs="Arial"/>
          <w:bCs/>
          <w:color w:val="000000" w:themeColor="text1"/>
          <w:sz w:val="24"/>
          <w:szCs w:val="24"/>
          <w14:textFill>
            <w14:solidFill>
              <w14:schemeClr w14:val="tx1"/>
            </w14:solidFill>
          </w14:textFill>
        </w:rPr>
        <w:t>本项目不涉及电磁辐射类相关内容。</w:t>
      </w:r>
    </w:p>
    <w:p w14:paraId="3F683D6E">
      <w:pPr>
        <w:spacing w:line="360" w:lineRule="auto"/>
        <w:outlineLvl w:val="3"/>
        <w:rPr>
          <w:rFonts w:hint="default" w:ascii="Arial" w:hAnsi="Arial" w:eastAsia="宋体" w:cs="Arial"/>
          <w:b/>
          <w:bCs/>
          <w:color w:val="000000" w:themeColor="text1"/>
          <w:sz w:val="24"/>
          <w:szCs w:val="24"/>
          <w14:textFill>
            <w14:solidFill>
              <w14:schemeClr w14:val="tx1"/>
            </w14:solidFill>
          </w14:textFill>
        </w:rPr>
        <w:sectPr>
          <w:headerReference r:id="rId27" w:type="default"/>
          <w:pgSz w:w="11906" w:h="16838"/>
          <w:pgMar w:top="1440" w:right="1287" w:bottom="1440" w:left="2381" w:header="851" w:footer="992" w:gutter="0"/>
          <w:pgBorders>
            <w:top w:val="single" w:color="auto" w:sz="4" w:space="1"/>
            <w:left w:val="none" w:sz="0" w:space="0"/>
            <w:bottom w:val="single" w:color="auto" w:sz="4" w:space="1"/>
            <w:right w:val="single" w:color="auto" w:sz="4" w:space="4"/>
          </w:pgBorders>
          <w:cols w:space="425" w:num="1"/>
          <w:docGrid w:type="lines" w:linePitch="340" w:charSpace="0"/>
        </w:sectPr>
      </w:pPr>
    </w:p>
    <w:tbl>
      <w:tblPr>
        <w:tblStyle w:val="52"/>
        <w:tblW w:w="9085"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57" w:type="dxa"/>
          <w:left w:w="113" w:type="dxa"/>
          <w:bottom w:w="57" w:type="dxa"/>
          <w:right w:w="113" w:type="dxa"/>
        </w:tblCellMar>
      </w:tblPr>
      <w:tblGrid>
        <w:gridCol w:w="1209"/>
        <w:gridCol w:w="1701"/>
        <w:gridCol w:w="1418"/>
        <w:gridCol w:w="2135"/>
        <w:gridCol w:w="2622"/>
      </w:tblGrid>
      <w:tr w14:paraId="3E35AF7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tcBorders>
              <w:tl2br w:val="single" w:color="auto" w:sz="4" w:space="0"/>
            </w:tcBorders>
            <w:vAlign w:val="center"/>
          </w:tcPr>
          <w:p w14:paraId="7FE5D78A">
            <w:pPr>
              <w:jc w:val="right"/>
              <w:rPr>
                <w:rFonts w:hint="default" w:ascii="Arial" w:hAnsi="Arial" w:eastAsia="宋体" w:cs="Arial"/>
                <w:sz w:val="21"/>
                <w:szCs w:val="21"/>
              </w:rPr>
            </w:pPr>
            <w:r>
              <w:rPr>
                <w:rFonts w:hint="default" w:ascii="Arial" w:hAnsi="Arial" w:eastAsia="宋体" w:cs="Arial"/>
                <w:sz w:val="21"/>
                <w:szCs w:val="21"/>
              </w:rPr>
              <w:t>内容</w:t>
            </w:r>
          </w:p>
          <w:p w14:paraId="2A794382">
            <w:pPr>
              <w:rPr>
                <w:rFonts w:hint="default" w:ascii="Arial" w:hAnsi="Arial" w:eastAsia="宋体" w:cs="Arial"/>
                <w:sz w:val="21"/>
                <w:szCs w:val="21"/>
              </w:rPr>
            </w:pPr>
            <w:r>
              <w:rPr>
                <w:rFonts w:hint="default" w:ascii="Arial" w:hAnsi="Arial" w:eastAsia="宋体" w:cs="Arial"/>
                <w:sz w:val="21"/>
                <w:szCs w:val="21"/>
              </w:rPr>
              <w:t>要素</w:t>
            </w:r>
          </w:p>
        </w:tc>
        <w:tc>
          <w:tcPr>
            <w:tcW w:w="1701" w:type="dxa"/>
            <w:vAlign w:val="center"/>
          </w:tcPr>
          <w:p w14:paraId="4387D483">
            <w:pPr>
              <w:rPr>
                <w:rFonts w:hint="default" w:ascii="Arial" w:hAnsi="Arial" w:eastAsia="宋体" w:cs="Arial"/>
                <w:sz w:val="21"/>
                <w:szCs w:val="21"/>
              </w:rPr>
            </w:pPr>
            <w:r>
              <w:rPr>
                <w:rFonts w:hint="default" w:ascii="Arial" w:hAnsi="Arial" w:eastAsia="宋体" w:cs="Arial"/>
                <w:sz w:val="21"/>
                <w:szCs w:val="21"/>
              </w:rPr>
              <w:t>排放口（编号、名称）/污染源</w:t>
            </w:r>
          </w:p>
        </w:tc>
        <w:tc>
          <w:tcPr>
            <w:tcW w:w="1418" w:type="dxa"/>
            <w:vAlign w:val="center"/>
          </w:tcPr>
          <w:p w14:paraId="4381824A">
            <w:pPr>
              <w:rPr>
                <w:rFonts w:hint="default" w:ascii="Arial" w:hAnsi="Arial" w:eastAsia="宋体" w:cs="Arial"/>
                <w:sz w:val="21"/>
                <w:szCs w:val="21"/>
              </w:rPr>
            </w:pPr>
            <w:r>
              <w:rPr>
                <w:rFonts w:hint="default" w:ascii="Arial" w:hAnsi="Arial" w:eastAsia="宋体" w:cs="Arial"/>
                <w:sz w:val="21"/>
                <w:szCs w:val="21"/>
              </w:rPr>
              <w:t>污染物项目</w:t>
            </w:r>
          </w:p>
        </w:tc>
        <w:tc>
          <w:tcPr>
            <w:tcW w:w="2135" w:type="dxa"/>
            <w:vAlign w:val="center"/>
          </w:tcPr>
          <w:p w14:paraId="58162F71">
            <w:pPr>
              <w:jc w:val="center"/>
              <w:rPr>
                <w:rFonts w:hint="default" w:ascii="Arial" w:hAnsi="Arial" w:eastAsia="宋体" w:cs="Arial"/>
                <w:sz w:val="21"/>
                <w:szCs w:val="21"/>
              </w:rPr>
            </w:pPr>
            <w:r>
              <w:rPr>
                <w:rFonts w:hint="default" w:ascii="Arial" w:hAnsi="Arial" w:eastAsia="宋体" w:cs="Arial"/>
                <w:sz w:val="21"/>
                <w:szCs w:val="21"/>
              </w:rPr>
              <w:t>环境保护措施</w:t>
            </w:r>
          </w:p>
        </w:tc>
        <w:tc>
          <w:tcPr>
            <w:tcW w:w="2622" w:type="dxa"/>
            <w:vAlign w:val="center"/>
          </w:tcPr>
          <w:p w14:paraId="2B5170D1">
            <w:pPr>
              <w:jc w:val="center"/>
              <w:rPr>
                <w:rFonts w:hint="default" w:ascii="Arial" w:hAnsi="Arial" w:eastAsia="宋体" w:cs="Arial"/>
                <w:sz w:val="21"/>
                <w:szCs w:val="21"/>
              </w:rPr>
            </w:pPr>
            <w:r>
              <w:rPr>
                <w:rFonts w:hint="default" w:ascii="Arial" w:hAnsi="Arial" w:eastAsia="宋体" w:cs="Arial"/>
                <w:sz w:val="21"/>
                <w:szCs w:val="21"/>
              </w:rPr>
              <w:t>执行标准</w:t>
            </w:r>
          </w:p>
        </w:tc>
      </w:tr>
      <w:tr w14:paraId="31CC2C6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Align w:val="center"/>
          </w:tcPr>
          <w:p w14:paraId="0112D969">
            <w:pPr>
              <w:jc w:val="center"/>
              <w:rPr>
                <w:rFonts w:hint="default" w:ascii="Arial" w:hAnsi="Arial" w:eastAsia="宋体" w:cs="Arial"/>
                <w:sz w:val="21"/>
                <w:szCs w:val="21"/>
              </w:rPr>
            </w:pPr>
            <w:r>
              <w:rPr>
                <w:rFonts w:hint="default" w:ascii="Arial" w:hAnsi="Arial" w:eastAsia="宋体" w:cs="Arial"/>
                <w:sz w:val="21"/>
                <w:szCs w:val="21"/>
              </w:rPr>
              <w:t>大气环境</w:t>
            </w:r>
          </w:p>
        </w:tc>
        <w:tc>
          <w:tcPr>
            <w:tcW w:w="1701" w:type="dxa"/>
            <w:vAlign w:val="center"/>
          </w:tcPr>
          <w:p w14:paraId="415B3EF8">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生产车间</w:t>
            </w:r>
          </w:p>
        </w:tc>
        <w:tc>
          <w:tcPr>
            <w:tcW w:w="1418" w:type="dxa"/>
            <w:vAlign w:val="center"/>
          </w:tcPr>
          <w:p w14:paraId="06BD01F1">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非甲烷总烃、颗粒物</w:t>
            </w:r>
          </w:p>
        </w:tc>
        <w:tc>
          <w:tcPr>
            <w:tcW w:w="2135" w:type="dxa"/>
            <w:vAlign w:val="center"/>
          </w:tcPr>
          <w:p w14:paraId="4D6C2C52">
            <w:pPr>
              <w:jc w:val="center"/>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w:t>
            </w:r>
          </w:p>
        </w:tc>
        <w:tc>
          <w:tcPr>
            <w:tcW w:w="2622" w:type="dxa"/>
            <w:vAlign w:val="center"/>
          </w:tcPr>
          <w:p w14:paraId="2C493653">
            <w:pPr>
              <w:jc w:val="center"/>
              <w:rPr>
                <w:rFonts w:hint="default" w:ascii="Arial" w:hAnsi="Arial" w:eastAsia="宋体" w:cs="Arial"/>
                <w:color w:val="000000" w:themeColor="text1"/>
                <w:sz w:val="21"/>
                <w:szCs w:val="21"/>
                <w:lang w:eastAsia="zh-CN"/>
                <w14:textFill>
                  <w14:solidFill>
                    <w14:schemeClr w14:val="tx1"/>
                  </w14:solidFill>
                </w14:textFill>
              </w:rPr>
            </w:pPr>
            <w:r>
              <w:rPr>
                <w:rFonts w:hint="default" w:ascii="Arial" w:hAnsi="Arial" w:eastAsia="宋体" w:cs="Arial"/>
                <w:b w:val="0"/>
                <w:bCs w:val="0"/>
                <w:color w:val="000000" w:themeColor="text1"/>
                <w:sz w:val="21"/>
                <w:szCs w:val="21"/>
                <w14:textFill>
                  <w14:solidFill>
                    <w14:schemeClr w14:val="tx1"/>
                  </w14:solidFill>
                </w14:textFill>
              </w:rPr>
              <w:t>《挥发性有机物无组织排放控制标准》（GB37822-2019）</w:t>
            </w:r>
            <w:r>
              <w:rPr>
                <w:rFonts w:hint="default" w:ascii="Arial" w:hAnsi="Arial" w:eastAsia="宋体" w:cs="Arial"/>
                <w:b w:val="0"/>
                <w:bCs w:val="0"/>
                <w:color w:val="000000" w:themeColor="text1"/>
                <w:sz w:val="21"/>
                <w:szCs w:val="21"/>
                <w:lang w:eastAsia="zh-CN"/>
                <w14:textFill>
                  <w14:solidFill>
                    <w14:schemeClr w14:val="tx1"/>
                  </w14:solidFill>
                </w14:textFill>
              </w:rPr>
              <w:t>、</w:t>
            </w:r>
            <w:r>
              <w:rPr>
                <w:rFonts w:hint="default" w:ascii="Arial" w:hAnsi="Arial" w:eastAsia="宋体" w:cs="Arial"/>
                <w:b w:val="0"/>
                <w:bCs w:val="0"/>
                <w:color w:val="000000" w:themeColor="text1"/>
                <w:sz w:val="21"/>
                <w:szCs w:val="21"/>
                <w14:textFill>
                  <w14:solidFill>
                    <w14:schemeClr w14:val="tx1"/>
                  </w14:solidFill>
                </w14:textFill>
              </w:rPr>
              <w:t>《大气污染物综合排放标准》（GB 16297-1996）</w:t>
            </w:r>
          </w:p>
        </w:tc>
      </w:tr>
      <w:tr w14:paraId="1ACA8BC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Align w:val="center"/>
          </w:tcPr>
          <w:p w14:paraId="46DD0AE4">
            <w:pPr>
              <w:jc w:val="center"/>
              <w:rPr>
                <w:rFonts w:hint="default" w:ascii="Arial" w:hAnsi="Arial" w:eastAsia="宋体" w:cs="Arial"/>
                <w:sz w:val="21"/>
                <w:szCs w:val="21"/>
              </w:rPr>
            </w:pPr>
            <w:r>
              <w:rPr>
                <w:rFonts w:hint="default" w:ascii="Arial" w:hAnsi="Arial" w:eastAsia="宋体" w:cs="Arial"/>
                <w:sz w:val="21"/>
                <w:szCs w:val="21"/>
              </w:rPr>
              <w:t>地表水</w:t>
            </w:r>
            <w:r>
              <w:rPr>
                <w:rFonts w:hint="default" w:ascii="Arial" w:hAnsi="Arial" w:eastAsia="宋体" w:cs="Arial"/>
                <w:sz w:val="21"/>
                <w:szCs w:val="21"/>
              </w:rPr>
              <w:br w:type="textWrapping"/>
            </w:r>
            <w:r>
              <w:rPr>
                <w:rFonts w:hint="default" w:ascii="Arial" w:hAnsi="Arial" w:eastAsia="宋体" w:cs="Arial"/>
                <w:sz w:val="21"/>
                <w:szCs w:val="21"/>
              </w:rPr>
              <w:t>环境</w:t>
            </w:r>
          </w:p>
        </w:tc>
        <w:tc>
          <w:tcPr>
            <w:tcW w:w="1701" w:type="dxa"/>
            <w:vAlign w:val="center"/>
          </w:tcPr>
          <w:p w14:paraId="357BEA3D">
            <w:pPr>
              <w:jc w:val="center"/>
              <w:rPr>
                <w:rFonts w:hint="default" w:ascii="Arial" w:hAnsi="Arial" w:eastAsia="宋体" w:cs="Arial"/>
                <w:sz w:val="21"/>
                <w:szCs w:val="21"/>
              </w:rPr>
            </w:pPr>
            <w:r>
              <w:rPr>
                <w:rFonts w:hint="default" w:ascii="Arial" w:hAnsi="Arial" w:eastAsia="宋体" w:cs="Arial"/>
                <w:sz w:val="21"/>
                <w:szCs w:val="21"/>
              </w:rPr>
              <w:t>DW001污水总排口</w:t>
            </w:r>
          </w:p>
        </w:tc>
        <w:tc>
          <w:tcPr>
            <w:tcW w:w="1418" w:type="dxa"/>
            <w:vAlign w:val="center"/>
          </w:tcPr>
          <w:p w14:paraId="714D73EF">
            <w:pPr>
              <w:jc w:val="center"/>
              <w:rPr>
                <w:rFonts w:hint="default" w:ascii="Arial" w:hAnsi="Arial" w:eastAsia="宋体" w:cs="Arial"/>
                <w:sz w:val="21"/>
                <w:szCs w:val="21"/>
                <w:lang w:val="en-US" w:eastAsia="zh-CN"/>
              </w:rPr>
            </w:pPr>
            <w:r>
              <w:rPr>
                <w:rFonts w:hint="default" w:ascii="Arial" w:hAnsi="Arial" w:eastAsia="宋体" w:cs="Arial"/>
                <w:color w:val="auto"/>
                <w:sz w:val="21"/>
                <w:szCs w:val="21"/>
              </w:rPr>
              <w:t>COD</w:t>
            </w:r>
            <w:r>
              <w:rPr>
                <w:rFonts w:hint="default" w:ascii="Arial" w:hAnsi="Arial" w:eastAsia="宋体" w:cs="Arial"/>
                <w:color w:val="auto"/>
                <w:sz w:val="21"/>
                <w:szCs w:val="21"/>
                <w:lang w:val="en-US" w:eastAsia="zh-CN"/>
              </w:rPr>
              <w:t>cr</w:t>
            </w:r>
            <w:r>
              <w:rPr>
                <w:rFonts w:hint="default" w:ascii="Arial" w:hAnsi="Arial" w:eastAsia="宋体" w:cs="Arial"/>
                <w:color w:val="auto"/>
                <w:sz w:val="21"/>
                <w:szCs w:val="21"/>
              </w:rPr>
              <w:t>、氨氮</w:t>
            </w:r>
            <w:r>
              <w:rPr>
                <w:rFonts w:hint="default" w:ascii="Arial" w:hAnsi="Arial" w:eastAsia="宋体" w:cs="Arial"/>
                <w:color w:val="auto"/>
                <w:sz w:val="21"/>
                <w:szCs w:val="21"/>
                <w:lang w:eastAsia="zh-CN"/>
              </w:rPr>
              <w:t>、</w:t>
            </w:r>
            <w:r>
              <w:rPr>
                <w:rFonts w:hint="default" w:ascii="Arial" w:hAnsi="Arial" w:eastAsia="宋体" w:cs="Arial"/>
                <w:color w:val="auto"/>
                <w:sz w:val="21"/>
                <w:szCs w:val="21"/>
                <w:lang w:val="en-US" w:eastAsia="zh-CN"/>
              </w:rPr>
              <w:t>SS、石油类、TN</w:t>
            </w:r>
          </w:p>
        </w:tc>
        <w:tc>
          <w:tcPr>
            <w:tcW w:w="2135" w:type="dxa"/>
            <w:vAlign w:val="center"/>
          </w:tcPr>
          <w:p w14:paraId="6BBDADDC">
            <w:pPr>
              <w:jc w:val="center"/>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生产废水、</w:t>
            </w:r>
            <w:r>
              <w:rPr>
                <w:rFonts w:hint="default" w:ascii="Arial" w:hAnsi="Arial" w:eastAsia="宋体" w:cs="Arial"/>
                <w:color w:val="000000" w:themeColor="text1"/>
                <w:sz w:val="21"/>
                <w:szCs w:val="21"/>
                <w14:textFill>
                  <w14:solidFill>
                    <w14:schemeClr w14:val="tx1"/>
                  </w14:solidFill>
                </w14:textFill>
              </w:rPr>
              <w:t>生活污水经处理后纳管，最终送嘉兴联合污水处理厂集中处理</w:t>
            </w:r>
          </w:p>
        </w:tc>
        <w:tc>
          <w:tcPr>
            <w:tcW w:w="2622" w:type="dxa"/>
            <w:vAlign w:val="center"/>
          </w:tcPr>
          <w:p w14:paraId="4A828651">
            <w:pPr>
              <w:jc w:val="center"/>
              <w:rPr>
                <w:rFonts w:hint="default" w:ascii="Arial" w:hAnsi="Arial" w:eastAsia="宋体" w:cs="Arial"/>
                <w:color w:val="000000" w:themeColor="text1"/>
                <w:sz w:val="21"/>
                <w:szCs w:val="21"/>
                <w:lang w:eastAsia="zh-CN"/>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《污水综合排放标准》（GB8978</w:t>
            </w:r>
            <w:r>
              <w:rPr>
                <w:rFonts w:hint="eastAsia" w:ascii="Arial" w:hAnsi="Arial" w:eastAsia="宋体" w:cs="Arial"/>
                <w:color w:val="000000" w:themeColor="text1"/>
                <w:sz w:val="21"/>
                <w:szCs w:val="21"/>
                <w:lang w:val="en-US" w:eastAsia="zh-CN"/>
                <w14:textFill>
                  <w14:solidFill>
                    <w14:schemeClr w14:val="tx1"/>
                  </w14:solidFill>
                </w14:textFill>
              </w:rPr>
              <w:t>-19</w:t>
            </w:r>
            <w:r>
              <w:rPr>
                <w:rFonts w:hint="default" w:ascii="Arial" w:hAnsi="Arial" w:eastAsia="宋体" w:cs="Arial"/>
                <w:color w:val="000000" w:themeColor="text1"/>
                <w:sz w:val="21"/>
                <w:szCs w:val="21"/>
                <w14:textFill>
                  <w14:solidFill>
                    <w14:schemeClr w14:val="tx1"/>
                  </w14:solidFill>
                </w14:textFill>
              </w:rPr>
              <w:t>96）三级标准、《工业企业废水氮、磷污染物间接排放限值》（DB3/887</w:t>
            </w:r>
            <w:r>
              <w:rPr>
                <w:rFonts w:hint="eastAsia" w:ascii="Arial" w:hAnsi="Arial" w:eastAsia="宋体" w:cs="Arial"/>
                <w:color w:val="000000" w:themeColor="text1"/>
                <w:sz w:val="21"/>
                <w:szCs w:val="21"/>
                <w:lang w:val="en-US" w:eastAsia="zh-CN"/>
                <w14:textFill>
                  <w14:solidFill>
                    <w14:schemeClr w14:val="tx1"/>
                  </w14:solidFill>
                </w14:textFill>
              </w:rPr>
              <w:t>-201</w:t>
            </w:r>
            <w:r>
              <w:rPr>
                <w:rFonts w:hint="default" w:ascii="Arial" w:hAnsi="Arial" w:eastAsia="宋体" w:cs="Arial"/>
                <w:color w:val="000000" w:themeColor="text1"/>
                <w:sz w:val="21"/>
                <w:szCs w:val="21"/>
                <w14:textFill>
                  <w14:solidFill>
                    <w14:schemeClr w14:val="tx1"/>
                  </w14:solidFill>
                </w14:textFill>
              </w:rPr>
              <w:t>3）</w:t>
            </w:r>
            <w:r>
              <w:rPr>
                <w:rFonts w:hint="default" w:ascii="Arial" w:hAnsi="Arial" w:eastAsia="宋体" w:cs="Arial"/>
                <w:color w:val="000000" w:themeColor="text1"/>
                <w:sz w:val="21"/>
                <w:szCs w:val="21"/>
                <w:lang w:eastAsia="zh-CN"/>
                <w14:textFill>
                  <w14:solidFill>
                    <w14:schemeClr w14:val="tx1"/>
                  </w14:solidFill>
                </w14:textFill>
              </w:rPr>
              <w:t>、</w:t>
            </w:r>
            <w:r>
              <w:rPr>
                <w:rFonts w:hint="default" w:ascii="Arial" w:hAnsi="Arial" w:eastAsia="宋体" w:cs="Arial"/>
                <w:color w:val="000000" w:themeColor="text1"/>
                <w:spacing w:val="0"/>
                <w:sz w:val="21"/>
                <w:szCs w:val="21"/>
                <w14:textFill>
                  <w14:solidFill>
                    <w14:schemeClr w14:val="tx1"/>
                  </w14:solidFill>
                </w14:textFill>
              </w:rPr>
              <w:t>《污水排入下水道水质标准》（GB/T31962-2015）</w:t>
            </w:r>
          </w:p>
        </w:tc>
      </w:tr>
      <w:tr w14:paraId="42222B4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vAlign w:val="center"/>
          </w:tcPr>
          <w:p w14:paraId="43826AE1">
            <w:pPr>
              <w:jc w:val="center"/>
              <w:rPr>
                <w:rFonts w:hint="default" w:ascii="Arial" w:hAnsi="Arial" w:eastAsia="宋体" w:cs="Arial"/>
                <w:sz w:val="21"/>
                <w:szCs w:val="21"/>
              </w:rPr>
            </w:pPr>
            <w:r>
              <w:rPr>
                <w:rFonts w:hint="default" w:ascii="Arial" w:hAnsi="Arial" w:eastAsia="宋体" w:cs="Arial"/>
                <w:sz w:val="21"/>
                <w:szCs w:val="21"/>
              </w:rPr>
              <w:t>声环境</w:t>
            </w:r>
          </w:p>
        </w:tc>
        <w:tc>
          <w:tcPr>
            <w:tcW w:w="1701" w:type="dxa"/>
            <w:vAlign w:val="center"/>
          </w:tcPr>
          <w:p w14:paraId="59A01967">
            <w:pPr>
              <w:jc w:val="center"/>
              <w:rPr>
                <w:rFonts w:hint="default" w:ascii="Arial" w:hAnsi="Arial" w:eastAsia="宋体" w:cs="Arial"/>
                <w:sz w:val="21"/>
                <w:szCs w:val="21"/>
              </w:rPr>
            </w:pPr>
            <w:r>
              <w:rPr>
                <w:rFonts w:hint="default" w:ascii="Arial" w:hAnsi="Arial" w:eastAsia="宋体" w:cs="Arial"/>
                <w:sz w:val="21"/>
                <w:szCs w:val="21"/>
              </w:rPr>
              <w:t>噪声</w:t>
            </w:r>
          </w:p>
        </w:tc>
        <w:tc>
          <w:tcPr>
            <w:tcW w:w="1418" w:type="dxa"/>
            <w:vAlign w:val="center"/>
          </w:tcPr>
          <w:p w14:paraId="40F3732E">
            <w:pPr>
              <w:jc w:val="center"/>
              <w:rPr>
                <w:rFonts w:hint="default" w:ascii="Arial" w:hAnsi="Arial" w:eastAsia="宋体" w:cs="Arial"/>
                <w:sz w:val="21"/>
                <w:szCs w:val="21"/>
              </w:rPr>
            </w:pPr>
            <w:r>
              <w:rPr>
                <w:rFonts w:hint="default" w:ascii="Arial" w:hAnsi="Arial" w:eastAsia="宋体" w:cs="Arial"/>
                <w:sz w:val="21"/>
                <w:szCs w:val="21"/>
              </w:rPr>
              <w:t>Leq（A）</w:t>
            </w:r>
          </w:p>
        </w:tc>
        <w:tc>
          <w:tcPr>
            <w:tcW w:w="2135" w:type="dxa"/>
            <w:vAlign w:val="center"/>
          </w:tcPr>
          <w:p w14:paraId="1F0BB83A">
            <w:pPr>
              <w:jc w:val="center"/>
              <w:rPr>
                <w:rFonts w:hint="default" w:ascii="Arial" w:hAnsi="Arial" w:eastAsia="宋体" w:cs="Arial"/>
                <w:sz w:val="21"/>
                <w:szCs w:val="21"/>
              </w:rPr>
            </w:pPr>
            <w:r>
              <w:rPr>
                <w:rFonts w:hint="default" w:ascii="Arial" w:hAnsi="Arial" w:eastAsia="宋体" w:cs="Arial"/>
                <w:sz w:val="21"/>
                <w:szCs w:val="21"/>
              </w:rPr>
              <w:t>1、根据拟建项目噪声源特征，建议在设计和设备采购阶段，充分选用先进的低噪设备，以从声源上降低设备本身噪声。</w:t>
            </w:r>
          </w:p>
          <w:p w14:paraId="3CA76554">
            <w:pPr>
              <w:jc w:val="center"/>
              <w:rPr>
                <w:rFonts w:hint="default" w:ascii="Arial" w:hAnsi="Arial" w:eastAsia="宋体" w:cs="Arial"/>
                <w:sz w:val="21"/>
                <w:szCs w:val="21"/>
              </w:rPr>
            </w:pPr>
            <w:r>
              <w:rPr>
                <w:rFonts w:hint="default" w:ascii="Arial" w:hAnsi="Arial" w:eastAsia="宋体" w:cs="Arial"/>
                <w:sz w:val="21"/>
                <w:szCs w:val="21"/>
              </w:rPr>
              <w:t>2、合理布局，高噪声设备配备减振基础，尽可能布置在厂房中间。</w:t>
            </w:r>
          </w:p>
          <w:p w14:paraId="2BC331E8">
            <w:pPr>
              <w:jc w:val="center"/>
              <w:rPr>
                <w:rFonts w:hint="default" w:ascii="Arial" w:hAnsi="Arial" w:eastAsia="宋体" w:cs="Arial"/>
                <w:sz w:val="21"/>
                <w:szCs w:val="21"/>
              </w:rPr>
            </w:pPr>
            <w:r>
              <w:rPr>
                <w:rFonts w:hint="default" w:ascii="Arial" w:hAnsi="Arial" w:eastAsia="宋体" w:cs="Arial"/>
                <w:sz w:val="21"/>
                <w:szCs w:val="21"/>
              </w:rPr>
              <w:t>3、加强设备的维护，确保设备处于良好的运转状态，杜绝因设备不正常运转时产生的高噪声现象。</w:t>
            </w:r>
          </w:p>
        </w:tc>
        <w:tc>
          <w:tcPr>
            <w:tcW w:w="2622" w:type="dxa"/>
            <w:vAlign w:val="center"/>
          </w:tcPr>
          <w:p w14:paraId="45B3FFF9">
            <w:pPr>
              <w:jc w:val="center"/>
              <w:rPr>
                <w:rFonts w:hint="default" w:ascii="Arial" w:hAnsi="Arial" w:eastAsia="宋体" w:cs="Arial"/>
                <w:sz w:val="21"/>
                <w:szCs w:val="21"/>
              </w:rPr>
            </w:pPr>
            <w:r>
              <w:rPr>
                <w:rFonts w:hint="default" w:ascii="Arial" w:hAnsi="Arial" w:eastAsia="宋体" w:cs="Arial"/>
                <w:sz w:val="21"/>
                <w:szCs w:val="21"/>
              </w:rPr>
              <w:t>《工业企业厂界噪声排放标准》（GB 12348—2008）中3类标准</w:t>
            </w:r>
          </w:p>
        </w:tc>
      </w:tr>
      <w:tr w14:paraId="42D83EB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tcBorders>
              <w:top w:val="single" w:color="auto" w:sz="4" w:space="0"/>
              <w:bottom w:val="single" w:color="auto" w:sz="4" w:space="0"/>
            </w:tcBorders>
            <w:vAlign w:val="center"/>
          </w:tcPr>
          <w:p w14:paraId="73FE15A0">
            <w:pPr>
              <w:rPr>
                <w:rFonts w:hint="default" w:ascii="Arial" w:hAnsi="Arial" w:eastAsia="宋体" w:cs="Arial"/>
                <w:sz w:val="21"/>
                <w:szCs w:val="21"/>
              </w:rPr>
            </w:pPr>
            <w:r>
              <w:rPr>
                <w:rFonts w:hint="default" w:ascii="Arial" w:hAnsi="Arial" w:eastAsia="宋体" w:cs="Arial"/>
                <w:sz w:val="21"/>
                <w:szCs w:val="21"/>
              </w:rPr>
              <w:t>固体废物</w:t>
            </w:r>
          </w:p>
        </w:tc>
        <w:tc>
          <w:tcPr>
            <w:tcW w:w="7876" w:type="dxa"/>
            <w:gridSpan w:val="4"/>
            <w:tcBorders>
              <w:top w:val="single" w:color="auto" w:sz="4" w:space="0"/>
              <w:bottom w:val="single" w:color="auto" w:sz="4" w:space="0"/>
            </w:tcBorders>
            <w:vAlign w:val="center"/>
          </w:tcPr>
          <w:p w14:paraId="1AFF9D2F">
            <w:pPr>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lang w:val="en-US" w:eastAsia="zh-CN"/>
                <w14:textFill>
                  <w14:solidFill>
                    <w14:schemeClr w14:val="tx1"/>
                  </w14:solidFill>
                </w14:textFill>
              </w:rPr>
              <w:t>废一般包装材料、废金属边角料等一般固废由物资公司回收综合利用；</w:t>
            </w:r>
            <w:r>
              <w:rPr>
                <w:rFonts w:hint="default" w:ascii="Arial" w:hAnsi="Arial" w:eastAsia="宋体" w:cs="Arial"/>
                <w:color w:val="000000" w:themeColor="text1"/>
                <w:sz w:val="21"/>
                <w:szCs w:val="21"/>
                <w14:textFill>
                  <w14:solidFill>
                    <w14:schemeClr w14:val="tx1"/>
                  </w14:solidFill>
                </w14:textFill>
              </w:rPr>
              <w:t>废</w:t>
            </w:r>
            <w:r>
              <w:rPr>
                <w:rFonts w:hint="default" w:ascii="Arial" w:hAnsi="Arial" w:eastAsia="宋体" w:cs="Arial"/>
                <w:color w:val="000000" w:themeColor="text1"/>
                <w:sz w:val="21"/>
                <w:szCs w:val="21"/>
                <w:lang w:val="en-US" w:eastAsia="zh-CN"/>
                <w14:textFill>
                  <w14:solidFill>
                    <w14:schemeClr w14:val="tx1"/>
                  </w14:solidFill>
                </w14:textFill>
              </w:rPr>
              <w:t>化学品包装、含油金属屑、磨搓泥、废淬火液、废切削液</w:t>
            </w:r>
            <w:r>
              <w:rPr>
                <w:rFonts w:hint="default" w:ascii="Arial" w:hAnsi="Arial" w:eastAsia="宋体" w:cs="Arial"/>
                <w:color w:val="000000" w:themeColor="text1"/>
                <w:sz w:val="21"/>
                <w:szCs w:val="21"/>
                <w14:textFill>
                  <w14:solidFill>
                    <w14:schemeClr w14:val="tx1"/>
                  </w14:solidFill>
                </w14:textFill>
              </w:rPr>
              <w:t>、</w:t>
            </w:r>
            <w:r>
              <w:rPr>
                <w:rFonts w:hint="default" w:ascii="Arial" w:hAnsi="Arial" w:eastAsia="宋体" w:cs="Arial"/>
                <w:color w:val="000000" w:themeColor="text1"/>
                <w:sz w:val="21"/>
                <w:szCs w:val="21"/>
                <w:lang w:val="en-US" w:eastAsia="zh-CN"/>
                <w14:textFill>
                  <w14:solidFill>
                    <w14:schemeClr w14:val="tx1"/>
                  </w14:solidFill>
                </w14:textFill>
              </w:rPr>
              <w:t>废水处理浓缩液、废水处理废膜</w:t>
            </w:r>
            <w:r>
              <w:rPr>
                <w:rFonts w:hint="default" w:ascii="Arial" w:hAnsi="Arial" w:eastAsia="宋体" w:cs="Arial"/>
                <w:color w:val="000000" w:themeColor="text1"/>
                <w:sz w:val="21"/>
                <w:szCs w:val="21"/>
                <w14:textFill>
                  <w14:solidFill>
                    <w14:schemeClr w14:val="tx1"/>
                  </w14:solidFill>
                </w14:textFill>
              </w:rPr>
              <w:t>属于危险废物，需委托有资质的单位处置；生活垃圾委托环卫部门清运。</w:t>
            </w:r>
          </w:p>
        </w:tc>
      </w:tr>
      <w:tr w14:paraId="15BA061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tcBorders>
              <w:top w:val="single" w:color="auto" w:sz="4" w:space="0"/>
              <w:bottom w:val="single" w:color="auto" w:sz="4" w:space="0"/>
            </w:tcBorders>
            <w:vAlign w:val="center"/>
          </w:tcPr>
          <w:p w14:paraId="07EDEDD8">
            <w:pPr>
              <w:rPr>
                <w:rFonts w:hint="default" w:ascii="Arial" w:hAnsi="Arial" w:eastAsia="宋体" w:cs="Arial"/>
                <w:sz w:val="21"/>
                <w:szCs w:val="21"/>
              </w:rPr>
            </w:pPr>
            <w:r>
              <w:rPr>
                <w:rFonts w:hint="default" w:ascii="Arial" w:hAnsi="Arial" w:eastAsia="宋体" w:cs="Arial"/>
                <w:sz w:val="21"/>
                <w:szCs w:val="21"/>
              </w:rPr>
              <w:t>土壤及地下水污染防治措施</w:t>
            </w:r>
          </w:p>
        </w:tc>
        <w:tc>
          <w:tcPr>
            <w:tcW w:w="7876" w:type="dxa"/>
            <w:gridSpan w:val="4"/>
            <w:tcBorders>
              <w:top w:val="single" w:color="auto" w:sz="4" w:space="0"/>
              <w:bottom w:val="single" w:color="auto" w:sz="4" w:space="0"/>
            </w:tcBorders>
            <w:vAlign w:val="center"/>
          </w:tcPr>
          <w:p w14:paraId="2E406B11">
            <w:pPr>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1、加强企业的运营管理，防止火灾等事故的发生。制定相应的应急措施，发生事故时，及时采取措施降低环境影响。</w:t>
            </w:r>
          </w:p>
          <w:p w14:paraId="10574317">
            <w:pPr>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2、加强对污水处理各工序仪器和设备的巡视和检修，防止管道、阀门跑冒滴漏，及时维修。</w:t>
            </w:r>
          </w:p>
          <w:p w14:paraId="4B88A705">
            <w:pPr>
              <w:rPr>
                <w:rFonts w:hint="default" w:ascii="Arial" w:hAnsi="Arial" w:eastAsia="宋体" w:cs="Arial"/>
                <w:color w:val="000000" w:themeColor="text1"/>
                <w:sz w:val="21"/>
                <w:szCs w:val="21"/>
                <w14:textFill>
                  <w14:solidFill>
                    <w14:schemeClr w14:val="tx1"/>
                  </w14:solidFill>
                </w14:textFill>
              </w:rPr>
            </w:pPr>
            <w:r>
              <w:rPr>
                <w:rFonts w:hint="default" w:ascii="Arial" w:hAnsi="Arial" w:eastAsia="宋体" w:cs="Arial"/>
                <w:color w:val="000000" w:themeColor="text1"/>
                <w:sz w:val="21"/>
                <w:szCs w:val="21"/>
                <w14:textFill>
                  <w14:solidFill>
                    <w14:schemeClr w14:val="tx1"/>
                  </w14:solidFill>
                </w14:textFill>
              </w:rPr>
              <w:t>3、加强运行设施的维护与管理，定期对防渗措施进行检查，发现问题及时处理。</w:t>
            </w:r>
          </w:p>
        </w:tc>
      </w:tr>
      <w:tr w14:paraId="039013E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57" w:type="dxa"/>
            <w:left w:w="113" w:type="dxa"/>
            <w:bottom w:w="57" w:type="dxa"/>
            <w:right w:w="113" w:type="dxa"/>
          </w:tblCellMar>
        </w:tblPrEx>
        <w:trPr>
          <w:trHeight w:val="454" w:hRule="atLeast"/>
          <w:jc w:val="center"/>
        </w:trPr>
        <w:tc>
          <w:tcPr>
            <w:tcW w:w="1209" w:type="dxa"/>
            <w:tcBorders>
              <w:top w:val="single" w:color="auto" w:sz="4" w:space="0"/>
              <w:bottom w:val="single" w:color="auto" w:sz="4" w:space="0"/>
            </w:tcBorders>
            <w:vAlign w:val="center"/>
          </w:tcPr>
          <w:p w14:paraId="26476883">
            <w:pPr>
              <w:rPr>
                <w:rFonts w:hint="default" w:ascii="Arial" w:hAnsi="Arial" w:eastAsia="宋体" w:cs="Arial"/>
                <w:sz w:val="21"/>
                <w:szCs w:val="21"/>
              </w:rPr>
            </w:pPr>
            <w:r>
              <w:rPr>
                <w:rFonts w:hint="default" w:ascii="Arial" w:hAnsi="Arial" w:eastAsia="宋体" w:cs="Arial"/>
                <w:sz w:val="21"/>
                <w:szCs w:val="21"/>
              </w:rPr>
              <w:t>生态保护措施</w:t>
            </w:r>
          </w:p>
        </w:tc>
        <w:tc>
          <w:tcPr>
            <w:tcW w:w="7876" w:type="dxa"/>
            <w:gridSpan w:val="4"/>
            <w:tcBorders>
              <w:top w:val="single" w:color="auto" w:sz="4" w:space="0"/>
              <w:bottom w:val="single" w:color="auto" w:sz="4" w:space="0"/>
            </w:tcBorders>
            <w:vAlign w:val="center"/>
          </w:tcPr>
          <w:p w14:paraId="7DC5C741">
            <w:pPr>
              <w:rPr>
                <w:rFonts w:hint="default" w:ascii="Arial" w:hAnsi="Arial" w:eastAsia="宋体" w:cs="Arial"/>
                <w:sz w:val="21"/>
                <w:szCs w:val="21"/>
              </w:rPr>
            </w:pPr>
          </w:p>
          <w:p w14:paraId="4092FC3B">
            <w:pPr>
              <w:jc w:val="center"/>
              <w:rPr>
                <w:rFonts w:hint="default" w:ascii="Arial" w:hAnsi="Arial" w:eastAsia="宋体" w:cs="Arial"/>
                <w:sz w:val="21"/>
                <w:szCs w:val="21"/>
              </w:rPr>
            </w:pPr>
            <w:r>
              <w:rPr>
                <w:rFonts w:hint="default" w:ascii="Arial" w:hAnsi="Arial" w:eastAsia="宋体" w:cs="Arial"/>
                <w:sz w:val="21"/>
                <w:szCs w:val="21"/>
              </w:rPr>
              <w:t>/</w:t>
            </w:r>
          </w:p>
          <w:p w14:paraId="04953096">
            <w:pPr>
              <w:rPr>
                <w:rFonts w:hint="default" w:ascii="Arial" w:hAnsi="Arial" w:eastAsia="宋体" w:cs="Arial"/>
                <w:sz w:val="21"/>
                <w:szCs w:val="21"/>
              </w:rPr>
            </w:pPr>
          </w:p>
        </w:tc>
      </w:tr>
      <w:tr w14:paraId="63CD0C9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57" w:type="dxa"/>
            <w:left w:w="113" w:type="dxa"/>
            <w:bottom w:w="57" w:type="dxa"/>
            <w:right w:w="113" w:type="dxa"/>
          </w:tblCellMar>
        </w:tblPrEx>
        <w:trPr>
          <w:cantSplit/>
          <w:trHeight w:val="454" w:hRule="atLeast"/>
          <w:jc w:val="center"/>
        </w:trPr>
        <w:tc>
          <w:tcPr>
            <w:tcW w:w="1209" w:type="dxa"/>
            <w:tcBorders>
              <w:top w:val="nil"/>
              <w:bottom w:val="single" w:color="auto" w:sz="4" w:space="0"/>
            </w:tcBorders>
            <w:vAlign w:val="center"/>
          </w:tcPr>
          <w:p w14:paraId="77E6573B">
            <w:pPr>
              <w:rPr>
                <w:rFonts w:hint="default" w:ascii="Arial" w:hAnsi="Arial" w:eastAsia="宋体" w:cs="Arial"/>
                <w:sz w:val="21"/>
                <w:szCs w:val="21"/>
              </w:rPr>
            </w:pPr>
            <w:r>
              <w:rPr>
                <w:rFonts w:hint="default" w:ascii="Arial" w:hAnsi="Arial" w:eastAsia="宋体" w:cs="Arial"/>
                <w:sz w:val="21"/>
                <w:szCs w:val="21"/>
              </w:rPr>
              <w:t>环境风险</w:t>
            </w:r>
          </w:p>
          <w:p w14:paraId="0F612B80">
            <w:pPr>
              <w:rPr>
                <w:rFonts w:hint="default" w:ascii="Arial" w:hAnsi="Arial" w:eastAsia="宋体" w:cs="Arial"/>
                <w:sz w:val="21"/>
                <w:szCs w:val="21"/>
              </w:rPr>
            </w:pPr>
            <w:r>
              <w:rPr>
                <w:rFonts w:hint="default" w:ascii="Arial" w:hAnsi="Arial" w:eastAsia="宋体" w:cs="Arial"/>
                <w:sz w:val="21"/>
                <w:szCs w:val="21"/>
              </w:rPr>
              <w:t>防范措施</w:t>
            </w:r>
          </w:p>
        </w:tc>
        <w:tc>
          <w:tcPr>
            <w:tcW w:w="7876" w:type="dxa"/>
            <w:gridSpan w:val="4"/>
            <w:tcBorders>
              <w:top w:val="nil"/>
              <w:bottom w:val="single" w:color="auto" w:sz="4" w:space="0"/>
            </w:tcBorders>
            <w:vAlign w:val="center"/>
          </w:tcPr>
          <w:p w14:paraId="7726EA39">
            <w:pPr>
              <w:rPr>
                <w:rFonts w:hint="default" w:ascii="Arial" w:hAnsi="Arial" w:eastAsia="宋体" w:cs="Arial"/>
                <w:sz w:val="21"/>
                <w:szCs w:val="21"/>
              </w:rPr>
            </w:pPr>
            <w:r>
              <w:rPr>
                <w:rFonts w:hint="default" w:ascii="Arial" w:hAnsi="Arial" w:eastAsia="宋体" w:cs="Arial"/>
                <w:sz w:val="21"/>
                <w:szCs w:val="21"/>
              </w:rPr>
              <w:t>1、建立环境风险管理制度，编制突发环境事件应急预案，建立应急救援队伍和物资储备。</w:t>
            </w:r>
          </w:p>
          <w:p w14:paraId="792C3583">
            <w:pPr>
              <w:rPr>
                <w:rFonts w:hint="default" w:ascii="Arial" w:hAnsi="Arial" w:eastAsia="宋体" w:cs="Arial"/>
                <w:sz w:val="21"/>
                <w:szCs w:val="21"/>
              </w:rPr>
            </w:pPr>
            <w:r>
              <w:rPr>
                <w:rFonts w:hint="default" w:ascii="Arial" w:hAnsi="Arial" w:eastAsia="宋体" w:cs="Arial"/>
                <w:sz w:val="21"/>
                <w:szCs w:val="21"/>
              </w:rPr>
              <w:t>2、设置环境应急监测与预警制度，定期排查环境安全隐患并及时治理。</w:t>
            </w:r>
          </w:p>
          <w:p w14:paraId="400D67AB">
            <w:pPr>
              <w:rPr>
                <w:rFonts w:hint="default" w:ascii="Arial" w:hAnsi="Arial" w:eastAsia="宋体" w:cs="Arial"/>
                <w:sz w:val="21"/>
                <w:szCs w:val="21"/>
              </w:rPr>
            </w:pPr>
            <w:r>
              <w:rPr>
                <w:rFonts w:hint="default" w:ascii="Arial" w:hAnsi="Arial" w:eastAsia="宋体" w:cs="Arial"/>
                <w:sz w:val="21"/>
                <w:szCs w:val="21"/>
              </w:rPr>
              <w:t>3、在应急处置与救援阶段，及时启动应急响应，采取有效处置措施，防止次生环境污染事件。</w:t>
            </w:r>
          </w:p>
        </w:tc>
      </w:tr>
      <w:tr w14:paraId="66EB27E5">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57" w:type="dxa"/>
            <w:left w:w="113" w:type="dxa"/>
            <w:bottom w:w="57" w:type="dxa"/>
            <w:right w:w="113" w:type="dxa"/>
          </w:tblCellMar>
        </w:tblPrEx>
        <w:trPr>
          <w:cantSplit/>
          <w:trHeight w:val="454" w:hRule="atLeast"/>
          <w:jc w:val="center"/>
        </w:trPr>
        <w:tc>
          <w:tcPr>
            <w:tcW w:w="1209" w:type="dxa"/>
            <w:tcBorders>
              <w:top w:val="single" w:color="auto" w:sz="4" w:space="0"/>
              <w:bottom w:val="single" w:color="auto" w:sz="4" w:space="0"/>
            </w:tcBorders>
            <w:vAlign w:val="center"/>
          </w:tcPr>
          <w:p w14:paraId="6ECB4E13">
            <w:pPr>
              <w:rPr>
                <w:rFonts w:hint="default" w:ascii="Arial" w:hAnsi="Arial" w:eastAsia="宋体" w:cs="Arial"/>
                <w:sz w:val="21"/>
                <w:szCs w:val="21"/>
              </w:rPr>
            </w:pPr>
            <w:r>
              <w:rPr>
                <w:rFonts w:hint="default" w:ascii="Arial" w:hAnsi="Arial" w:eastAsia="宋体" w:cs="Arial"/>
                <w:sz w:val="21"/>
                <w:szCs w:val="21"/>
              </w:rPr>
              <w:t>其他环境管理要求</w:t>
            </w:r>
          </w:p>
        </w:tc>
        <w:tc>
          <w:tcPr>
            <w:tcW w:w="7876" w:type="dxa"/>
            <w:gridSpan w:val="4"/>
            <w:tcBorders>
              <w:top w:val="single" w:color="auto" w:sz="4" w:space="0"/>
              <w:bottom w:val="single" w:color="auto" w:sz="4" w:space="0"/>
            </w:tcBorders>
            <w:vAlign w:val="center"/>
          </w:tcPr>
          <w:p w14:paraId="1F195405">
            <w:pPr>
              <w:ind w:firstLine="210" w:firstLineChars="100"/>
              <w:rPr>
                <w:rFonts w:hint="default" w:ascii="Arial" w:hAnsi="Arial" w:eastAsia="宋体" w:cs="Arial"/>
                <w:sz w:val="21"/>
                <w:szCs w:val="21"/>
              </w:rPr>
            </w:pPr>
            <w:r>
              <w:rPr>
                <w:rFonts w:hint="default" w:ascii="Arial" w:hAnsi="Arial" w:eastAsia="宋体" w:cs="Arial"/>
                <w:sz w:val="21"/>
                <w:szCs w:val="21"/>
              </w:rPr>
              <w:t>根据《排污许可管理办法（试行）》（环境保护部令第48号）、《排污许可管理条例》（国令第736号）以及《固定污染源排污许可分类管理名录（2019年版）》要求，“新建排污单位应当在启动生产设施或者发生实际排污之前申请取得排污许可证或</w:t>
            </w:r>
            <w:r>
              <w:rPr>
                <w:rFonts w:hint="default" w:ascii="Arial" w:hAnsi="Arial" w:eastAsia="宋体" w:cs="Arial"/>
                <w:color w:val="000000" w:themeColor="text1"/>
                <w:sz w:val="21"/>
                <w:szCs w:val="21"/>
                <w14:textFill>
                  <w14:solidFill>
                    <w14:schemeClr w14:val="tx1"/>
                  </w14:solidFill>
                </w14:textFill>
              </w:rPr>
              <w:t>者填报排污登记表”。对照表格，本项目属于“</w:t>
            </w:r>
            <w:r>
              <w:rPr>
                <w:rFonts w:hint="default" w:ascii="Arial" w:hAnsi="Arial" w:eastAsia="宋体" w:cs="Arial"/>
                <w:color w:val="000000" w:themeColor="text1"/>
                <w:sz w:val="21"/>
                <w:szCs w:val="21"/>
                <w:lang w:val="en-US" w:eastAsia="zh-CN"/>
                <w14:textFill>
                  <w14:solidFill>
                    <w14:schemeClr w14:val="tx1"/>
                  </w14:solidFill>
                </w14:textFill>
              </w:rPr>
              <w:t>三十一</w:t>
            </w:r>
            <w:r>
              <w:rPr>
                <w:rFonts w:hint="default" w:ascii="Arial" w:hAnsi="Arial" w:eastAsia="宋体" w:cs="Arial"/>
                <w:color w:val="000000" w:themeColor="text1"/>
                <w:sz w:val="21"/>
                <w:szCs w:val="21"/>
                <w14:textFill>
                  <w14:solidFill>
                    <w14:schemeClr w14:val="tx1"/>
                  </w14:solidFill>
                </w14:textFill>
              </w:rPr>
              <w:t>、</w:t>
            </w:r>
            <w:r>
              <w:rPr>
                <w:rFonts w:hint="default" w:ascii="Arial" w:hAnsi="Arial" w:eastAsia="宋体" w:cs="Arial"/>
                <w:color w:val="000000" w:themeColor="text1"/>
                <w:sz w:val="21"/>
                <w:szCs w:val="21"/>
                <w:lang w:val="en-US" w:eastAsia="zh-CN"/>
                <w14:textFill>
                  <w14:solidFill>
                    <w14:schemeClr w14:val="tx1"/>
                  </w14:solidFill>
                </w14:textFill>
              </w:rPr>
              <w:t>汽车</w:t>
            </w:r>
            <w:r>
              <w:rPr>
                <w:rFonts w:hint="default" w:ascii="Arial" w:hAnsi="Arial" w:eastAsia="宋体" w:cs="Arial"/>
                <w:color w:val="000000" w:themeColor="text1"/>
                <w:sz w:val="21"/>
                <w:szCs w:val="21"/>
                <w14:textFill>
                  <w14:solidFill>
                    <w14:schemeClr w14:val="tx1"/>
                  </w14:solidFill>
                </w14:textFill>
              </w:rPr>
              <w:t>制造业3</w:t>
            </w:r>
            <w:r>
              <w:rPr>
                <w:rFonts w:hint="default" w:ascii="Arial" w:hAnsi="Arial" w:eastAsia="宋体" w:cs="Arial"/>
                <w:color w:val="000000" w:themeColor="text1"/>
                <w:sz w:val="21"/>
                <w:szCs w:val="21"/>
                <w:lang w:val="en-US" w:eastAsia="zh-CN"/>
                <w14:textFill>
                  <w14:solidFill>
                    <w14:schemeClr w14:val="tx1"/>
                  </w14:solidFill>
                </w14:textFill>
              </w:rPr>
              <w:t>6</w:t>
            </w:r>
            <w:r>
              <w:rPr>
                <w:rFonts w:hint="default" w:ascii="Arial" w:hAnsi="Arial" w:eastAsia="宋体" w:cs="Arial"/>
                <w:color w:val="000000" w:themeColor="text1"/>
                <w:sz w:val="21"/>
                <w:szCs w:val="21"/>
                <w14:textFill>
                  <w14:solidFill>
                    <w14:schemeClr w14:val="tx1"/>
                  </w14:solidFill>
                </w14:textFill>
              </w:rPr>
              <w:t>”——“8</w:t>
            </w:r>
            <w:r>
              <w:rPr>
                <w:rFonts w:hint="default" w:ascii="Arial" w:hAnsi="Arial" w:eastAsia="宋体" w:cs="Arial"/>
                <w:color w:val="000000" w:themeColor="text1"/>
                <w:sz w:val="21"/>
                <w:szCs w:val="21"/>
                <w:lang w:val="en-US" w:eastAsia="zh-CN"/>
                <w14:textFill>
                  <w14:solidFill>
                    <w14:schemeClr w14:val="tx1"/>
                  </w14:solidFill>
                </w14:textFill>
              </w:rPr>
              <w:t>5汽车零部件及配件制造</w:t>
            </w:r>
            <w:r>
              <w:rPr>
                <w:rFonts w:hint="default" w:ascii="Arial" w:hAnsi="Arial" w:eastAsia="宋体" w:cs="Arial"/>
                <w:color w:val="000000" w:themeColor="text1"/>
                <w:sz w:val="21"/>
                <w:szCs w:val="21"/>
                <w14:textFill>
                  <w14:solidFill>
                    <w14:schemeClr w14:val="tx1"/>
                  </w14:solidFill>
                </w14:textFill>
              </w:rPr>
              <w:t xml:space="preserve"> 3</w:t>
            </w:r>
            <w:r>
              <w:rPr>
                <w:rFonts w:hint="default" w:ascii="Arial" w:hAnsi="Arial" w:eastAsia="宋体" w:cs="Arial"/>
                <w:color w:val="000000" w:themeColor="text1"/>
                <w:sz w:val="21"/>
                <w:szCs w:val="21"/>
                <w:lang w:val="en-US" w:eastAsia="zh-CN"/>
                <w14:textFill>
                  <w14:solidFill>
                    <w14:schemeClr w14:val="tx1"/>
                  </w14:solidFill>
                </w14:textFill>
              </w:rPr>
              <w:t>67</w:t>
            </w:r>
            <w:r>
              <w:rPr>
                <w:rFonts w:hint="default" w:ascii="Arial" w:hAnsi="Arial" w:eastAsia="宋体" w:cs="Arial"/>
                <w:color w:val="000000" w:themeColor="text1"/>
                <w:sz w:val="21"/>
                <w:szCs w:val="21"/>
                <w14:textFill>
                  <w14:solidFill>
                    <w14:schemeClr w14:val="tx1"/>
                  </w14:solidFill>
                </w14:textFill>
              </w:rPr>
              <w:t>”，综上本项目属于</w:t>
            </w:r>
            <w:r>
              <w:rPr>
                <w:rFonts w:hint="default" w:ascii="Arial" w:hAnsi="Arial" w:eastAsia="宋体" w:cs="Arial"/>
                <w:color w:val="000000" w:themeColor="text1"/>
                <w:sz w:val="21"/>
                <w:szCs w:val="21"/>
                <w:lang w:val="en-US" w:eastAsia="zh-CN"/>
                <w14:textFill>
                  <w14:solidFill>
                    <w14:schemeClr w14:val="tx1"/>
                  </w14:solidFill>
                </w14:textFill>
              </w:rPr>
              <w:t>简化</w:t>
            </w:r>
            <w:r>
              <w:rPr>
                <w:rFonts w:hint="default" w:ascii="Arial" w:hAnsi="Arial" w:eastAsia="宋体" w:cs="Arial"/>
                <w:color w:val="000000" w:themeColor="text1"/>
                <w:sz w:val="21"/>
                <w:szCs w:val="21"/>
                <w14:textFill>
                  <w14:solidFill>
                    <w14:schemeClr w14:val="tx1"/>
                  </w14:solidFill>
                </w14:textFill>
              </w:rPr>
              <w:t>管理类。另外项目不属于第七条中需取得重点管理许可证的6种情形</w:t>
            </w:r>
            <w:r>
              <w:rPr>
                <w:rFonts w:hint="default" w:ascii="Arial" w:hAnsi="Arial" w:eastAsia="宋体" w:cs="Arial"/>
                <w:color w:val="000000" w:themeColor="text1"/>
                <w:sz w:val="21"/>
                <w:szCs w:val="21"/>
                <w:lang w:eastAsia="zh-CN"/>
                <w14:textFill>
                  <w14:solidFill>
                    <w14:schemeClr w14:val="tx1"/>
                  </w14:solidFill>
                </w14:textFill>
              </w:rPr>
              <w:t>，</w:t>
            </w:r>
            <w:r>
              <w:rPr>
                <w:rFonts w:hint="eastAsia" w:ascii="Arial" w:hAnsi="Arial" w:eastAsia="宋体" w:cs="宋体"/>
                <w:color w:val="000000" w:themeColor="text1"/>
                <w:kern w:val="2"/>
                <w:sz w:val="21"/>
                <w:szCs w:val="21"/>
                <w:lang w:val="en-US" w:eastAsia="zh-CN" w:bidi="ar"/>
                <w14:textFill>
                  <w14:solidFill>
                    <w14:schemeClr w14:val="tx1"/>
                  </w14:solidFill>
                </w14:textFill>
              </w:rPr>
              <w:t>现</w:t>
            </w:r>
            <w:r>
              <w:rPr>
                <w:rFonts w:hint="eastAsia" w:ascii="Arial" w:hAnsi="Arial" w:eastAsia="宋体" w:cs="Arial"/>
                <w:bCs/>
                <w:color w:val="000000" w:themeColor="text1"/>
                <w:kern w:val="2"/>
                <w:sz w:val="21"/>
                <w:szCs w:val="21"/>
                <w:lang w:val="en-US" w:eastAsia="zh-CN" w:bidi="ar"/>
                <w14:textFill>
                  <w14:solidFill>
                    <w14:schemeClr w14:val="tx1"/>
                  </w14:solidFill>
                </w14:textFill>
              </w:rPr>
              <w:t>企业</w:t>
            </w:r>
            <w:r>
              <w:rPr>
                <w:rFonts w:hint="default" w:ascii="Arial" w:hAnsi="Arial" w:eastAsia="宋体" w:cs="Arial"/>
                <w:color w:val="000000" w:themeColor="text1"/>
                <w:sz w:val="21"/>
                <w:szCs w:val="21"/>
                <w14:textFill>
                  <w14:solidFill>
                    <w14:schemeClr w14:val="tx1"/>
                  </w14:solidFill>
                </w14:textFill>
              </w:rPr>
              <w:t>完成了固定污染源排污登记</w:t>
            </w:r>
            <w:r>
              <w:rPr>
                <w:rFonts w:hint="eastAsia" w:ascii="Arial" w:hAnsi="Arial" w:eastAsia="宋体" w:cs="Arial"/>
                <w:bCs/>
                <w:color w:val="000000" w:themeColor="text1"/>
                <w:kern w:val="2"/>
                <w:sz w:val="21"/>
                <w:szCs w:val="21"/>
                <w:lang w:val="en-US" w:eastAsia="zh-CN" w:bidi="ar"/>
                <w14:textFill>
                  <w14:solidFill>
                    <w14:schemeClr w14:val="tx1"/>
                  </w14:solidFill>
                </w14:textFill>
              </w:rPr>
              <w:t>，登记编号：</w:t>
            </w:r>
            <w:r>
              <w:rPr>
                <w:rFonts w:hint="default" w:ascii="Arial" w:hAnsi="Arial" w:eastAsia="宋体" w:cs="Arial"/>
                <w:color w:val="000000" w:themeColor="text1"/>
                <w:sz w:val="21"/>
                <w:szCs w:val="21"/>
                <w14:textFill>
                  <w14:solidFill>
                    <w14:schemeClr w14:val="tx1"/>
                  </w14:solidFill>
                </w14:textFill>
              </w:rPr>
              <w:t>913304</w:t>
            </w:r>
            <w:r>
              <w:rPr>
                <w:rFonts w:hint="default" w:ascii="Arial" w:hAnsi="Arial" w:eastAsia="宋体" w:cs="Arial"/>
                <w:color w:val="000000" w:themeColor="text1"/>
                <w:sz w:val="21"/>
                <w:szCs w:val="21"/>
                <w:lang w:val="en-US" w:eastAsia="zh-CN"/>
                <w14:textFill>
                  <w14:solidFill>
                    <w14:schemeClr w14:val="tx1"/>
                  </w14:solidFill>
                </w14:textFill>
              </w:rPr>
              <w:t>82</w:t>
            </w:r>
            <w:r>
              <w:rPr>
                <w:rFonts w:hint="default" w:ascii="Arial" w:hAnsi="Arial" w:eastAsia="宋体" w:cs="Arial"/>
                <w:color w:val="000000" w:themeColor="text1"/>
                <w:sz w:val="21"/>
                <w:szCs w:val="21"/>
                <w14:textFill>
                  <w14:solidFill>
                    <w14:schemeClr w14:val="tx1"/>
                  </w14:solidFill>
                </w14:textFill>
              </w:rPr>
              <w:t>MA28</w:t>
            </w:r>
            <w:r>
              <w:rPr>
                <w:rFonts w:hint="default" w:ascii="Arial" w:hAnsi="Arial" w:eastAsia="宋体" w:cs="Arial"/>
                <w:color w:val="000000" w:themeColor="text1"/>
                <w:sz w:val="21"/>
                <w:szCs w:val="21"/>
                <w:lang w:val="en-US" w:eastAsia="zh-CN"/>
                <w14:textFill>
                  <w14:solidFill>
                    <w14:schemeClr w14:val="tx1"/>
                  </w14:solidFill>
                </w14:textFill>
              </w:rPr>
              <w:t>A9AEST</w:t>
            </w:r>
            <w:r>
              <w:rPr>
                <w:rFonts w:hint="eastAsia" w:ascii="Arial" w:hAnsi="Arial" w:eastAsia="宋体" w:cs="Arial"/>
                <w:bCs/>
                <w:color w:val="000000" w:themeColor="text1"/>
                <w:kern w:val="2"/>
                <w:sz w:val="21"/>
                <w:szCs w:val="21"/>
                <w:lang w:val="en-US" w:eastAsia="zh-CN" w:bidi="ar"/>
                <w14:textFill>
                  <w14:solidFill>
                    <w14:schemeClr w14:val="tx1"/>
                  </w14:solidFill>
                </w14:textFill>
              </w:rPr>
              <w:t>，企业</w:t>
            </w:r>
            <w:r>
              <w:rPr>
                <w:rFonts w:hint="eastAsia" w:ascii="Arial" w:hAnsi="Arial" w:eastAsia="宋体" w:cs="Arial"/>
                <w:color w:val="000000" w:themeColor="text1"/>
                <w:kern w:val="2"/>
                <w:sz w:val="21"/>
                <w:szCs w:val="21"/>
                <w:lang w:val="en-US" w:eastAsia="zh-CN" w:bidi="ar"/>
                <w14:textFill>
                  <w14:solidFill>
                    <w14:schemeClr w14:val="tx1"/>
                  </w14:solidFill>
                </w14:textFill>
              </w:rPr>
              <w:t>应当在本项目相关生产设施启动或者发生实际排污之前完成排污许可变更工作</w:t>
            </w:r>
            <w:r>
              <w:rPr>
                <w:rFonts w:hint="eastAsia" w:ascii="Arial" w:hAnsi="Arial" w:eastAsia="宋体" w:cs="Arial"/>
                <w:color w:val="000000" w:themeColor="text1"/>
                <w:kern w:val="2"/>
                <w:sz w:val="21"/>
                <w:szCs w:val="21"/>
                <w:lang w:val="en-US" w:eastAsia="zh-CN" w:bidi="ar-SA"/>
                <w14:textFill>
                  <w14:solidFill>
                    <w14:schemeClr w14:val="tx1"/>
                  </w14:solidFill>
                </w14:textFill>
              </w:rPr>
              <w:t>。</w:t>
            </w:r>
          </w:p>
        </w:tc>
      </w:tr>
    </w:tbl>
    <w:p w14:paraId="2B160508">
      <w:pPr>
        <w:rPr>
          <w:rFonts w:hint="default" w:ascii="Arial" w:hAnsi="Arial" w:eastAsia="宋体" w:cs="Arial"/>
          <w:sz w:val="11"/>
          <w:szCs w:val="11"/>
        </w:rPr>
        <w:sectPr>
          <w:headerReference r:id="rId28" w:type="default"/>
          <w:pgSz w:w="11906" w:h="16838"/>
          <w:pgMar w:top="1440" w:right="1287" w:bottom="1440" w:left="1701" w:header="851" w:footer="992" w:gutter="0"/>
          <w:pgBorders>
            <w:top w:val="single" w:color="auto" w:sz="4" w:space="1"/>
            <w:left w:val="single" w:color="auto" w:sz="4" w:space="4"/>
            <w:bottom w:val="single" w:color="auto" w:sz="4" w:space="1"/>
            <w:right w:val="single" w:color="auto" w:sz="4" w:space="4"/>
          </w:pgBorders>
          <w:cols w:space="425" w:num="1" w:sep="1"/>
          <w:docGrid w:type="lines" w:linePitch="340" w:charSpace="0"/>
        </w:sectPr>
      </w:pPr>
    </w:p>
    <w:p w14:paraId="10D05E73">
      <w:pPr>
        <w:keepNext w:val="0"/>
        <w:keepLines w:val="0"/>
        <w:pageBreakBefore w:val="0"/>
        <w:widowControl w:val="0"/>
        <w:kinsoku/>
        <w:wordWrap/>
        <w:overflowPunct/>
        <w:topLinePunct w:val="0"/>
        <w:autoSpaceDE/>
        <w:autoSpaceDN/>
        <w:bidi w:val="0"/>
        <w:adjustRightInd/>
        <w:snapToGrid/>
        <w:spacing w:before="171" w:beforeLines="50" w:line="360" w:lineRule="auto"/>
        <w:ind w:firstLine="480" w:firstLineChars="200"/>
        <w:textAlignment w:val="auto"/>
        <w:rPr>
          <w:rFonts w:hint="default" w:ascii="Arial" w:hAnsi="Arial" w:eastAsia="宋体" w:cs="Arial"/>
          <w:color w:val="000000" w:themeColor="text1"/>
          <w:sz w:val="24"/>
          <w:szCs w:val="24"/>
          <w:lang w:val="en-US" w:eastAsia="zh-CN"/>
          <w14:textFill>
            <w14:solidFill>
              <w14:schemeClr w14:val="tx1"/>
            </w14:solidFill>
          </w14:textFill>
        </w:rPr>
      </w:pPr>
      <w:r>
        <w:rPr>
          <w:rFonts w:hint="default" w:ascii="Arial" w:hAnsi="Arial" w:eastAsia="宋体" w:cs="Arial"/>
          <w:color w:val="000000" w:themeColor="text1"/>
          <w:sz w:val="24"/>
          <w:szCs w:val="24"/>
          <w:lang w:val="en-US" w:eastAsia="zh-CN"/>
          <w14:textFill>
            <w14:solidFill>
              <w14:schemeClr w14:val="tx1"/>
            </w14:solidFill>
          </w14:textFill>
        </w:rPr>
        <w:t>浙江汇轩汽车零部件</w:t>
      </w:r>
      <w:r>
        <w:rPr>
          <w:rFonts w:hint="default" w:ascii="Arial" w:hAnsi="Arial" w:eastAsia="宋体" w:cs="Arial"/>
          <w:color w:val="000000" w:themeColor="text1"/>
          <w:sz w:val="24"/>
          <w:szCs w:val="24"/>
          <w:lang w:eastAsia="zh-CN"/>
          <w14:textFill>
            <w14:solidFill>
              <w14:schemeClr w14:val="tx1"/>
            </w14:solidFill>
          </w14:textFill>
        </w:rPr>
        <w:t>有限公司</w:t>
      </w:r>
      <w:r>
        <w:rPr>
          <w:rFonts w:hint="default" w:ascii="Arial" w:hAnsi="Arial" w:eastAsia="宋体" w:cs="Arial"/>
          <w:color w:val="000000" w:themeColor="text1"/>
          <w:sz w:val="24"/>
          <w:szCs w:val="24"/>
          <w14:textFill>
            <w14:solidFill>
              <w14:schemeClr w14:val="tx1"/>
            </w14:solidFill>
          </w14:textFill>
        </w:rPr>
        <w:t>拟投资</w:t>
      </w:r>
      <w:r>
        <w:rPr>
          <w:rFonts w:hint="default" w:ascii="Arial" w:hAnsi="Arial" w:eastAsia="宋体" w:cs="Arial"/>
          <w:color w:val="000000" w:themeColor="text1"/>
          <w:sz w:val="24"/>
          <w:szCs w:val="24"/>
          <w:lang w:val="en-US" w:eastAsia="zh-CN"/>
          <w14:textFill>
            <w14:solidFill>
              <w14:schemeClr w14:val="tx1"/>
            </w14:solidFill>
          </w14:textFill>
        </w:rPr>
        <w:t>206.3</w:t>
      </w:r>
      <w:r>
        <w:rPr>
          <w:rFonts w:hint="default" w:ascii="Arial" w:hAnsi="Arial" w:eastAsia="宋体" w:cs="Arial"/>
          <w:color w:val="000000" w:themeColor="text1"/>
          <w:sz w:val="24"/>
          <w:szCs w:val="24"/>
          <w14:textFill>
            <w14:solidFill>
              <w14:schemeClr w14:val="tx1"/>
            </w14:solidFill>
          </w14:textFill>
        </w:rPr>
        <w:t>万元在浙江省嘉兴市平湖市五洲路</w:t>
      </w:r>
      <w:r>
        <w:rPr>
          <w:rFonts w:hint="default" w:ascii="Arial" w:hAnsi="Arial" w:eastAsia="宋体" w:cs="Arial"/>
          <w:color w:val="000000" w:themeColor="text1"/>
          <w:sz w:val="24"/>
          <w:szCs w:val="24"/>
          <w:lang w:val="en-US" w:eastAsia="zh-CN"/>
          <w14:textFill>
            <w14:solidFill>
              <w14:schemeClr w14:val="tx1"/>
            </w14:solidFill>
          </w14:textFill>
        </w:rPr>
        <w:t>1268</w:t>
      </w:r>
      <w:r>
        <w:rPr>
          <w:rFonts w:hint="default" w:ascii="Arial" w:hAnsi="Arial" w:eastAsia="宋体" w:cs="Arial"/>
          <w:color w:val="000000" w:themeColor="text1"/>
          <w:sz w:val="24"/>
          <w:szCs w:val="24"/>
          <w14:textFill>
            <w14:solidFill>
              <w14:schemeClr w14:val="tx1"/>
            </w14:solidFill>
          </w14:textFill>
        </w:rPr>
        <w:t>号</w:t>
      </w:r>
      <w:r>
        <w:rPr>
          <w:rFonts w:hint="default" w:ascii="Arial" w:hAnsi="Arial" w:eastAsia="宋体" w:cs="Arial"/>
          <w:color w:val="000000" w:themeColor="text1"/>
          <w:sz w:val="24"/>
          <w:szCs w:val="24"/>
          <w:lang w:val="en-US" w:eastAsia="zh-CN"/>
          <w14:textFill>
            <w14:solidFill>
              <w14:schemeClr w14:val="tx1"/>
            </w14:solidFill>
          </w14:textFill>
        </w:rPr>
        <w:t>进行年产30万套新能源转向总成及其零部件技改项目。新增30万套能源转向总成生产能力，并对现有项目的机加工、清洗等生产、检测设备进行改造和性能参数升级，打造适应于新能源转向总成及其零部件的生产线，以此来满足新能源车型提出的高性能的要求。</w:t>
      </w:r>
    </w:p>
    <w:p w14:paraId="76203BB2">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建设项目符合平湖市经济技术开发区城镇总体规划、土地利用规划和平湖市“三线一单”生态环境分区管控</w:t>
      </w:r>
      <w:r>
        <w:rPr>
          <w:rFonts w:hint="default" w:ascii="Arial" w:hAnsi="Arial" w:eastAsia="宋体" w:cs="Arial"/>
          <w:sz w:val="24"/>
          <w:szCs w:val="24"/>
          <w:lang w:val="en-US" w:eastAsia="zh-CN"/>
        </w:rPr>
        <w:t>动态更新</w:t>
      </w:r>
      <w:r>
        <w:rPr>
          <w:rFonts w:hint="default" w:ascii="Arial" w:hAnsi="Arial" w:eastAsia="宋体" w:cs="Arial"/>
          <w:sz w:val="24"/>
          <w:szCs w:val="24"/>
        </w:rPr>
        <w:t>方案要求，符合国家和地方产业政策，符合“三线一单”相关要求，项目选址和总体布局合理。项目投产后，产生的“三废”均可达标排放，对环境影响较小，不会改变环境功能等级，并具有明显的社会、经济、环境综合效益，符合建设项目环保审批原则。</w:t>
      </w:r>
    </w:p>
    <w:p w14:paraId="10AE2EF9">
      <w:pPr>
        <w:spacing w:line="360" w:lineRule="auto"/>
        <w:ind w:firstLine="480" w:firstLineChars="200"/>
        <w:rPr>
          <w:rFonts w:hint="default" w:ascii="Arial" w:hAnsi="Arial" w:eastAsia="宋体" w:cs="Arial"/>
          <w:sz w:val="24"/>
          <w:szCs w:val="24"/>
        </w:rPr>
      </w:pPr>
      <w:r>
        <w:rPr>
          <w:rFonts w:hint="default" w:ascii="Arial" w:hAnsi="Arial" w:eastAsia="宋体" w:cs="Arial"/>
          <w:sz w:val="24"/>
          <w:szCs w:val="24"/>
        </w:rPr>
        <w:t>建设单位应严格执行国家有关的环境保护法规，切实执行本报告提出的各项环境保护措施，实施清洁生产，严格执行“三同时”，把工程对环境的影响降到最低程度。则从环保角度分析，本项目建设可行。</w:t>
      </w:r>
    </w:p>
    <w:p w14:paraId="295DC99D">
      <w:pPr>
        <w:spacing w:line="360" w:lineRule="auto"/>
        <w:rPr>
          <w:rFonts w:hint="default" w:ascii="Arial" w:hAnsi="Arial" w:eastAsia="宋体" w:cs="Arial"/>
          <w:b/>
          <w:sz w:val="24"/>
          <w:szCs w:val="24"/>
        </w:rPr>
      </w:pPr>
    </w:p>
    <w:p w14:paraId="48B7DC32">
      <w:pPr>
        <w:spacing w:line="360" w:lineRule="auto"/>
        <w:rPr>
          <w:rFonts w:hint="default" w:ascii="Arial" w:hAnsi="Arial" w:eastAsia="宋体" w:cs="Arial"/>
          <w:b/>
          <w:sz w:val="24"/>
          <w:szCs w:val="24"/>
        </w:rPr>
        <w:sectPr>
          <w:headerReference r:id="rId29" w:type="default"/>
          <w:pgSz w:w="11906" w:h="16838"/>
          <w:pgMar w:top="1440" w:right="1287" w:bottom="1440" w:left="1701" w:header="851" w:footer="992" w:gutter="0"/>
          <w:pgBorders>
            <w:top w:val="single" w:color="auto" w:sz="4" w:space="1"/>
            <w:left w:val="single" w:color="auto" w:sz="4" w:space="4"/>
            <w:bottom w:val="single" w:color="auto" w:sz="4" w:space="1"/>
            <w:right w:val="single" w:color="auto" w:sz="4" w:space="4"/>
          </w:pgBorders>
          <w:cols w:space="425" w:num="1" w:sep="1"/>
          <w:docGrid w:type="lines" w:linePitch="340" w:charSpace="0"/>
        </w:sectPr>
      </w:pPr>
    </w:p>
    <w:p w14:paraId="53190D79">
      <w:pPr>
        <w:jc w:val="center"/>
        <w:rPr>
          <w:rFonts w:hint="default" w:ascii="Arial" w:hAnsi="Arial" w:eastAsia="宋体" w:cs="Arial"/>
          <w:sz w:val="32"/>
          <w:szCs w:val="32"/>
        </w:rPr>
      </w:pPr>
      <w:bookmarkStart w:id="12" w:name="_Toc67675674"/>
      <w:r>
        <w:rPr>
          <w:rFonts w:hint="default" w:ascii="Arial" w:hAnsi="Arial" w:eastAsia="宋体" w:cs="Arial"/>
          <w:sz w:val="32"/>
          <w:szCs w:val="32"/>
        </w:rPr>
        <w:t>建设项目污染物排放量汇总表    单位：t/a</w:t>
      </w:r>
      <w:bookmarkEnd w:id="12"/>
    </w:p>
    <w:tbl>
      <w:tblPr>
        <w:tblStyle w:val="5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1701"/>
        <w:gridCol w:w="1530"/>
        <w:gridCol w:w="1276"/>
        <w:gridCol w:w="1701"/>
        <w:gridCol w:w="1559"/>
        <w:gridCol w:w="1533"/>
        <w:gridCol w:w="1529"/>
        <w:gridCol w:w="1484"/>
      </w:tblGrid>
      <w:tr w14:paraId="43C03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tcBorders>
              <w:tl2br w:val="single" w:color="auto" w:sz="4" w:space="0"/>
            </w:tcBorders>
            <w:tcMar>
              <w:left w:w="28" w:type="dxa"/>
              <w:right w:w="28" w:type="dxa"/>
            </w:tcMar>
            <w:vAlign w:val="center"/>
          </w:tcPr>
          <w:p w14:paraId="57C377C8">
            <w:pPr>
              <w:pStyle w:val="88"/>
              <w:spacing w:beforeLines="0" w:afterLines="0" w:line="240" w:lineRule="auto"/>
              <w:jc w:val="right"/>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项目</w:t>
            </w:r>
          </w:p>
          <w:p w14:paraId="5A012115">
            <w:pPr>
              <w:pStyle w:val="88"/>
              <w:spacing w:beforeLines="0" w:afterLines="0" w:line="240" w:lineRule="auto"/>
              <w:jc w:val="left"/>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分类</w:t>
            </w:r>
          </w:p>
        </w:tc>
        <w:tc>
          <w:tcPr>
            <w:tcW w:w="1701" w:type="dxa"/>
            <w:tcMar>
              <w:left w:w="28" w:type="dxa"/>
              <w:right w:w="28" w:type="dxa"/>
            </w:tcMar>
            <w:vAlign w:val="center"/>
          </w:tcPr>
          <w:p w14:paraId="6BFAFC5D">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污染物名称</w:t>
            </w:r>
          </w:p>
        </w:tc>
        <w:tc>
          <w:tcPr>
            <w:tcW w:w="1530" w:type="dxa"/>
            <w:tcMar>
              <w:left w:w="28" w:type="dxa"/>
              <w:right w:w="28" w:type="dxa"/>
            </w:tcMar>
            <w:vAlign w:val="center"/>
          </w:tcPr>
          <w:p w14:paraId="32F527B4">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现有工程</w:t>
            </w:r>
          </w:p>
          <w:p w14:paraId="3709A9EE">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排放量（固体废物产生量）</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1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①</w:t>
            </w:r>
            <w:r>
              <w:rPr>
                <w:rFonts w:hint="default" w:ascii="Arial" w:hAnsi="Arial" w:eastAsia="宋体" w:cs="Arial"/>
                <w:snapToGrid w:val="0"/>
                <w:spacing w:val="-6"/>
                <w:kern w:val="21"/>
                <w:szCs w:val="21"/>
              </w:rPr>
              <w:fldChar w:fldCharType="end"/>
            </w:r>
          </w:p>
        </w:tc>
        <w:tc>
          <w:tcPr>
            <w:tcW w:w="1276" w:type="dxa"/>
            <w:tcMar>
              <w:left w:w="28" w:type="dxa"/>
              <w:right w:w="28" w:type="dxa"/>
            </w:tcMar>
            <w:vAlign w:val="center"/>
          </w:tcPr>
          <w:p w14:paraId="09AF1151">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现有工程</w:t>
            </w:r>
          </w:p>
          <w:p w14:paraId="361BF374">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许可排放量</w:t>
            </w:r>
          </w:p>
          <w:p w14:paraId="3B4CA364">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2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napToGrid w:val="0"/>
                <w:spacing w:val="-6"/>
                <w:kern w:val="21"/>
                <w:szCs w:val="21"/>
              </w:rPr>
              <w:t>②</w:t>
            </w:r>
            <w:r>
              <w:rPr>
                <w:rFonts w:hint="default" w:ascii="Arial" w:hAnsi="Arial" w:eastAsia="宋体" w:cs="Arial"/>
                <w:snapToGrid w:val="0"/>
                <w:spacing w:val="-6"/>
                <w:kern w:val="21"/>
                <w:szCs w:val="21"/>
              </w:rPr>
              <w:fldChar w:fldCharType="end"/>
            </w:r>
          </w:p>
        </w:tc>
        <w:tc>
          <w:tcPr>
            <w:tcW w:w="1701" w:type="dxa"/>
            <w:tcMar>
              <w:left w:w="28" w:type="dxa"/>
              <w:right w:w="28" w:type="dxa"/>
            </w:tcMar>
            <w:vAlign w:val="center"/>
          </w:tcPr>
          <w:p w14:paraId="4BFD49B8">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在建工程</w:t>
            </w:r>
          </w:p>
          <w:p w14:paraId="52299C94">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排放量（固体废物产生量）</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3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③</w:t>
            </w:r>
            <w:r>
              <w:rPr>
                <w:rFonts w:hint="default" w:ascii="Arial" w:hAnsi="Arial" w:eastAsia="宋体" w:cs="Arial"/>
                <w:snapToGrid w:val="0"/>
                <w:spacing w:val="-6"/>
                <w:kern w:val="21"/>
                <w:szCs w:val="21"/>
              </w:rPr>
              <w:fldChar w:fldCharType="end"/>
            </w:r>
          </w:p>
        </w:tc>
        <w:tc>
          <w:tcPr>
            <w:tcW w:w="1559" w:type="dxa"/>
            <w:tcMar>
              <w:left w:w="28" w:type="dxa"/>
              <w:right w:w="28" w:type="dxa"/>
            </w:tcMar>
            <w:vAlign w:val="center"/>
          </w:tcPr>
          <w:p w14:paraId="26D46590">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本项目</w:t>
            </w:r>
          </w:p>
          <w:p w14:paraId="2C56CE18">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排放量（固体废物产生量）</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4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④</w:t>
            </w:r>
            <w:r>
              <w:rPr>
                <w:rFonts w:hint="default" w:ascii="Arial" w:hAnsi="Arial" w:eastAsia="宋体" w:cs="Arial"/>
                <w:snapToGrid w:val="0"/>
                <w:spacing w:val="-6"/>
                <w:kern w:val="21"/>
                <w:szCs w:val="21"/>
              </w:rPr>
              <w:fldChar w:fldCharType="end"/>
            </w:r>
          </w:p>
        </w:tc>
        <w:tc>
          <w:tcPr>
            <w:tcW w:w="1533" w:type="dxa"/>
            <w:tcMar>
              <w:left w:w="28" w:type="dxa"/>
              <w:right w:w="28" w:type="dxa"/>
            </w:tcMar>
            <w:vAlign w:val="center"/>
          </w:tcPr>
          <w:p w14:paraId="29FA097C">
            <w:pPr>
              <w:pStyle w:val="88"/>
              <w:spacing w:beforeLines="0" w:afterLines="0" w:line="240" w:lineRule="auto"/>
              <w:rPr>
                <w:rFonts w:hint="default" w:ascii="Arial" w:hAnsi="Arial" w:eastAsia="宋体" w:cs="Arial"/>
                <w:snapToGrid w:val="0"/>
                <w:spacing w:val="-16"/>
                <w:kern w:val="21"/>
                <w:szCs w:val="21"/>
              </w:rPr>
            </w:pPr>
            <w:r>
              <w:rPr>
                <w:rFonts w:hint="default" w:ascii="Arial" w:hAnsi="Arial" w:eastAsia="宋体" w:cs="Arial"/>
                <w:snapToGrid w:val="0"/>
                <w:spacing w:val="-16"/>
                <w:kern w:val="21"/>
                <w:szCs w:val="21"/>
              </w:rPr>
              <w:t>以新带老削减量</w:t>
            </w:r>
          </w:p>
          <w:p w14:paraId="36E3D5BD">
            <w:pPr>
              <w:pStyle w:val="88"/>
              <w:spacing w:beforeLines="0" w:afterLines="0" w:line="240" w:lineRule="auto"/>
              <w:rPr>
                <w:rFonts w:hint="default" w:ascii="Arial" w:hAnsi="Arial" w:eastAsia="宋体" w:cs="Arial"/>
                <w:snapToGrid w:val="0"/>
                <w:spacing w:val="-16"/>
                <w:kern w:val="21"/>
                <w:szCs w:val="21"/>
              </w:rPr>
            </w:pPr>
            <w:r>
              <w:rPr>
                <w:rFonts w:hint="default" w:ascii="Arial" w:hAnsi="Arial" w:eastAsia="宋体" w:cs="Arial"/>
                <w:snapToGrid w:val="0"/>
                <w:spacing w:val="-16"/>
                <w:kern w:val="21"/>
                <w:szCs w:val="21"/>
              </w:rPr>
              <w:t>（新建项目不填）</w:t>
            </w:r>
            <w:r>
              <w:rPr>
                <w:rFonts w:hint="default" w:ascii="Arial" w:hAnsi="Arial" w:eastAsia="宋体" w:cs="Arial"/>
                <w:snapToGrid w:val="0"/>
                <w:spacing w:val="-16"/>
                <w:kern w:val="21"/>
                <w:szCs w:val="21"/>
              </w:rPr>
              <w:fldChar w:fldCharType="begin"/>
            </w:r>
            <w:r>
              <w:rPr>
                <w:rFonts w:hint="default" w:ascii="Arial" w:hAnsi="Arial" w:eastAsia="宋体" w:cs="Arial"/>
                <w:snapToGrid w:val="0"/>
                <w:spacing w:val="-16"/>
                <w:kern w:val="21"/>
                <w:szCs w:val="21"/>
              </w:rPr>
              <w:instrText xml:space="preserve"> = 5 \* GB3 \* MERGEFORMAT </w:instrText>
            </w:r>
            <w:r>
              <w:rPr>
                <w:rFonts w:hint="default" w:ascii="Arial" w:hAnsi="Arial" w:eastAsia="宋体" w:cs="Arial"/>
                <w:snapToGrid w:val="0"/>
                <w:spacing w:val="-16"/>
                <w:kern w:val="21"/>
                <w:szCs w:val="21"/>
              </w:rPr>
              <w:fldChar w:fldCharType="separate"/>
            </w:r>
            <w:r>
              <w:rPr>
                <w:rFonts w:hint="default" w:ascii="Arial" w:hAnsi="Arial" w:eastAsia="宋体" w:cs="Arial"/>
                <w:szCs w:val="21"/>
              </w:rPr>
              <w:t>⑤</w:t>
            </w:r>
            <w:r>
              <w:rPr>
                <w:rFonts w:hint="default" w:ascii="Arial" w:hAnsi="Arial" w:eastAsia="宋体" w:cs="Arial"/>
                <w:snapToGrid w:val="0"/>
                <w:spacing w:val="-16"/>
                <w:kern w:val="21"/>
                <w:szCs w:val="21"/>
              </w:rPr>
              <w:fldChar w:fldCharType="end"/>
            </w:r>
          </w:p>
        </w:tc>
        <w:tc>
          <w:tcPr>
            <w:tcW w:w="1529" w:type="dxa"/>
            <w:tcMar>
              <w:left w:w="28" w:type="dxa"/>
              <w:right w:w="28" w:type="dxa"/>
            </w:tcMar>
            <w:vAlign w:val="center"/>
          </w:tcPr>
          <w:p w14:paraId="5D7D936E">
            <w:pPr>
              <w:pStyle w:val="88"/>
              <w:spacing w:beforeLines="0" w:afterLines="0" w:line="240" w:lineRule="auto"/>
              <w:rPr>
                <w:rFonts w:hint="default" w:ascii="Arial" w:hAnsi="Arial" w:eastAsia="宋体" w:cs="Arial"/>
                <w:snapToGrid w:val="0"/>
                <w:spacing w:val="-16"/>
                <w:kern w:val="21"/>
                <w:szCs w:val="21"/>
              </w:rPr>
            </w:pPr>
            <w:r>
              <w:rPr>
                <w:rFonts w:hint="default" w:ascii="Arial" w:hAnsi="Arial" w:eastAsia="宋体" w:cs="Arial"/>
                <w:snapToGrid w:val="0"/>
                <w:spacing w:val="-16"/>
                <w:kern w:val="21"/>
                <w:szCs w:val="21"/>
              </w:rPr>
              <w:t>本项目建成后</w:t>
            </w:r>
          </w:p>
          <w:p w14:paraId="1357D149">
            <w:pPr>
              <w:pStyle w:val="88"/>
              <w:spacing w:beforeLines="0" w:afterLines="0" w:line="240" w:lineRule="auto"/>
              <w:rPr>
                <w:rFonts w:hint="default" w:ascii="Arial" w:hAnsi="Arial" w:eastAsia="宋体" w:cs="Arial"/>
                <w:snapToGrid w:val="0"/>
                <w:spacing w:val="-16"/>
                <w:kern w:val="21"/>
                <w:szCs w:val="21"/>
              </w:rPr>
            </w:pPr>
            <w:r>
              <w:rPr>
                <w:rFonts w:hint="default" w:ascii="Arial" w:hAnsi="Arial" w:eastAsia="宋体" w:cs="Arial"/>
                <w:snapToGrid w:val="0"/>
                <w:spacing w:val="-16"/>
                <w:kern w:val="21"/>
                <w:szCs w:val="21"/>
              </w:rPr>
              <w:t>全厂排放量（固体废物产生量）</w:t>
            </w:r>
            <w:r>
              <w:rPr>
                <w:rFonts w:hint="default" w:ascii="Arial" w:hAnsi="Arial" w:eastAsia="宋体" w:cs="Arial"/>
                <w:snapToGrid w:val="0"/>
                <w:spacing w:val="-16"/>
                <w:kern w:val="21"/>
                <w:szCs w:val="21"/>
              </w:rPr>
              <w:fldChar w:fldCharType="begin"/>
            </w:r>
            <w:r>
              <w:rPr>
                <w:rFonts w:hint="default" w:ascii="Arial" w:hAnsi="Arial" w:eastAsia="宋体" w:cs="Arial"/>
                <w:snapToGrid w:val="0"/>
                <w:spacing w:val="-16"/>
                <w:kern w:val="21"/>
                <w:szCs w:val="21"/>
              </w:rPr>
              <w:instrText xml:space="preserve"> = 6 \* GB3 \* MERGEFORMAT </w:instrText>
            </w:r>
            <w:r>
              <w:rPr>
                <w:rFonts w:hint="default" w:ascii="Arial" w:hAnsi="Arial" w:eastAsia="宋体" w:cs="Arial"/>
                <w:snapToGrid w:val="0"/>
                <w:spacing w:val="-16"/>
                <w:kern w:val="21"/>
                <w:szCs w:val="21"/>
              </w:rPr>
              <w:fldChar w:fldCharType="separate"/>
            </w:r>
            <w:r>
              <w:rPr>
                <w:rFonts w:hint="default" w:ascii="Arial" w:hAnsi="Arial" w:eastAsia="宋体" w:cs="Arial"/>
                <w:szCs w:val="21"/>
              </w:rPr>
              <w:t>⑥</w:t>
            </w:r>
            <w:r>
              <w:rPr>
                <w:rFonts w:hint="default" w:ascii="Arial" w:hAnsi="Arial" w:eastAsia="宋体" w:cs="Arial"/>
                <w:snapToGrid w:val="0"/>
                <w:spacing w:val="-16"/>
                <w:kern w:val="21"/>
                <w:szCs w:val="21"/>
              </w:rPr>
              <w:fldChar w:fldCharType="end"/>
            </w:r>
          </w:p>
        </w:tc>
        <w:tc>
          <w:tcPr>
            <w:tcW w:w="1484" w:type="dxa"/>
            <w:tcMar>
              <w:left w:w="28" w:type="dxa"/>
              <w:right w:w="28" w:type="dxa"/>
            </w:tcMar>
            <w:vAlign w:val="center"/>
          </w:tcPr>
          <w:p w14:paraId="0A9D98C2">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t>变化量</w:t>
            </w:r>
          </w:p>
          <w:p w14:paraId="3B3FE377">
            <w:pPr>
              <w:pStyle w:val="88"/>
              <w:spacing w:beforeLines="0" w:afterLines="0" w:line="240" w:lineRule="auto"/>
              <w:rPr>
                <w:rFonts w:hint="default" w:ascii="Arial" w:hAnsi="Arial" w:eastAsia="宋体" w:cs="Arial"/>
                <w:snapToGrid w:val="0"/>
                <w:spacing w:val="-6"/>
                <w:kern w:val="21"/>
                <w:szCs w:val="21"/>
              </w:rPr>
            </w:pP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7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⑦</w:t>
            </w:r>
            <w:r>
              <w:rPr>
                <w:rFonts w:hint="default" w:ascii="Arial" w:hAnsi="Arial" w:eastAsia="宋体" w:cs="Arial"/>
                <w:snapToGrid w:val="0"/>
                <w:spacing w:val="-6"/>
                <w:kern w:val="21"/>
                <w:szCs w:val="21"/>
              </w:rPr>
              <w:fldChar w:fldCharType="end"/>
            </w:r>
          </w:p>
        </w:tc>
      </w:tr>
      <w:tr w14:paraId="3A770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restart"/>
            <w:vAlign w:val="center"/>
          </w:tcPr>
          <w:p w14:paraId="1DF2E388">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生活污水</w:t>
            </w:r>
          </w:p>
        </w:tc>
        <w:tc>
          <w:tcPr>
            <w:tcW w:w="1701" w:type="dxa"/>
            <w:shd w:val="clear" w:color="auto" w:fill="auto"/>
            <w:vAlign w:val="center"/>
          </w:tcPr>
          <w:p w14:paraId="14DB4BBE">
            <w:pPr>
              <w:spacing w:line="280" w:lineRule="exact"/>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0"/>
                <w:szCs w:val="21"/>
              </w:rPr>
              <w:t>废水量</w:t>
            </w:r>
          </w:p>
        </w:tc>
        <w:tc>
          <w:tcPr>
            <w:tcW w:w="1530" w:type="dxa"/>
            <w:shd w:val="clear" w:color="auto" w:fill="auto"/>
            <w:vAlign w:val="center"/>
          </w:tcPr>
          <w:p w14:paraId="7712989B">
            <w:pPr>
              <w:autoSpaceDE w:val="0"/>
              <w:autoSpaceDN w:val="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5040</w:t>
            </w:r>
          </w:p>
        </w:tc>
        <w:tc>
          <w:tcPr>
            <w:tcW w:w="1276" w:type="dxa"/>
            <w:shd w:val="clear" w:color="auto" w:fill="auto"/>
            <w:vAlign w:val="center"/>
          </w:tcPr>
          <w:p w14:paraId="1167A9FF">
            <w:pPr>
              <w:autoSpaceDE w:val="0"/>
              <w:autoSpaceDN w:val="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5040</w:t>
            </w:r>
          </w:p>
        </w:tc>
        <w:tc>
          <w:tcPr>
            <w:tcW w:w="1701" w:type="dxa"/>
            <w:vAlign w:val="center"/>
          </w:tcPr>
          <w:p w14:paraId="5A658DEC">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59" w:type="dxa"/>
            <w:vAlign w:val="center"/>
          </w:tcPr>
          <w:p w14:paraId="54A49F80">
            <w:pPr>
              <w:widowControl/>
              <w:jc w:val="center"/>
              <w:rPr>
                <w:rFonts w:hint="default" w:ascii="Arial" w:hAnsi="Arial" w:eastAsia="宋体" w:cs="Arial"/>
                <w:color w:val="auto"/>
                <w:lang w:val="en-US" w:eastAsia="zh-CN"/>
              </w:rPr>
            </w:pPr>
            <w:r>
              <w:rPr>
                <w:rFonts w:hint="default" w:ascii="Arial" w:hAnsi="Arial" w:eastAsia="宋体" w:cs="Arial"/>
                <w:color w:val="auto"/>
                <w:lang w:val="en-US" w:eastAsia="zh-CN"/>
              </w:rPr>
              <w:t>0</w:t>
            </w:r>
          </w:p>
        </w:tc>
        <w:tc>
          <w:tcPr>
            <w:tcW w:w="1533" w:type="dxa"/>
            <w:vAlign w:val="center"/>
          </w:tcPr>
          <w:p w14:paraId="727AC685">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29" w:type="dxa"/>
            <w:shd w:val="clear" w:color="auto" w:fill="auto"/>
            <w:vAlign w:val="center"/>
          </w:tcPr>
          <w:p w14:paraId="01A65CD2">
            <w:pPr>
              <w:autoSpaceDE w:val="0"/>
              <w:autoSpaceDN w:val="0"/>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5040</w:t>
            </w:r>
          </w:p>
        </w:tc>
        <w:tc>
          <w:tcPr>
            <w:tcW w:w="1484" w:type="dxa"/>
            <w:vAlign w:val="center"/>
          </w:tcPr>
          <w:p w14:paraId="515259DA">
            <w:pPr>
              <w:widowControl/>
              <w:jc w:val="center"/>
              <w:rPr>
                <w:rFonts w:hint="default" w:ascii="Arial" w:hAnsi="Arial" w:eastAsia="宋体" w:cs="Arial"/>
                <w:lang w:val="en-US" w:eastAsia="zh-CN"/>
              </w:rPr>
            </w:pPr>
            <w:r>
              <w:rPr>
                <w:rFonts w:hint="default" w:ascii="Arial" w:hAnsi="Arial" w:eastAsia="宋体" w:cs="Arial"/>
                <w:lang w:val="en-US" w:eastAsia="zh-CN"/>
              </w:rPr>
              <w:t>0</w:t>
            </w:r>
          </w:p>
        </w:tc>
      </w:tr>
      <w:tr w14:paraId="25983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144720E3">
            <w:pPr>
              <w:pStyle w:val="88"/>
              <w:spacing w:beforeLines="0" w:afterLines="0" w:line="240" w:lineRule="auto"/>
              <w:rPr>
                <w:rFonts w:hint="default" w:ascii="Arial" w:hAnsi="Arial" w:eastAsia="宋体" w:cs="Arial"/>
                <w:snapToGrid w:val="0"/>
                <w:kern w:val="21"/>
                <w:szCs w:val="21"/>
              </w:rPr>
            </w:pPr>
          </w:p>
        </w:tc>
        <w:tc>
          <w:tcPr>
            <w:tcW w:w="1701" w:type="dxa"/>
            <w:shd w:val="clear" w:color="auto" w:fill="auto"/>
            <w:vAlign w:val="center"/>
          </w:tcPr>
          <w:p w14:paraId="4B38FAA1">
            <w:pPr>
              <w:spacing w:line="280" w:lineRule="exact"/>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0"/>
                <w:szCs w:val="21"/>
              </w:rPr>
              <w:t>COD</w:t>
            </w:r>
            <w:r>
              <w:rPr>
                <w:rFonts w:hint="default" w:ascii="Arial" w:hAnsi="Arial" w:eastAsia="宋体" w:cs="Arial"/>
                <w:color w:val="auto"/>
                <w:kern w:val="0"/>
                <w:szCs w:val="21"/>
                <w:vertAlign w:val="subscript"/>
              </w:rPr>
              <w:t>Cr</w:t>
            </w:r>
          </w:p>
        </w:tc>
        <w:tc>
          <w:tcPr>
            <w:tcW w:w="1530" w:type="dxa"/>
            <w:shd w:val="clear" w:color="auto" w:fill="auto"/>
            <w:vAlign w:val="center"/>
          </w:tcPr>
          <w:p w14:paraId="5A859E8C">
            <w:pPr>
              <w:keepNext w:val="0"/>
              <w:keepLines w:val="0"/>
              <w:widowControl/>
              <w:suppressLineNumbers w:val="0"/>
              <w:jc w:val="center"/>
              <w:textAlignment w:val="center"/>
              <w:rPr>
                <w:rFonts w:hint="default" w:ascii="Arial" w:hAnsi="Arial" w:eastAsia="宋体" w:cs="Arial"/>
                <w:color w:val="auto"/>
                <w:kern w:val="2"/>
                <w:sz w:val="21"/>
                <w:szCs w:val="21"/>
                <w:lang w:val="en-US" w:eastAsia="zh-CN" w:bidi="ar-SA"/>
              </w:rPr>
            </w:pPr>
            <w:r>
              <w:rPr>
                <w:rFonts w:hint="default" w:ascii="Arial" w:hAnsi="Arial" w:eastAsia="宋体" w:cs="Arial"/>
                <w:i w:val="0"/>
                <w:iCs w:val="0"/>
                <w:color w:val="auto"/>
                <w:kern w:val="0"/>
                <w:sz w:val="21"/>
                <w:szCs w:val="21"/>
                <w:u w:val="none"/>
                <w:lang w:val="en-US" w:eastAsia="zh-CN" w:bidi="ar"/>
              </w:rPr>
              <w:t>0.202</w:t>
            </w:r>
          </w:p>
        </w:tc>
        <w:tc>
          <w:tcPr>
            <w:tcW w:w="1276" w:type="dxa"/>
            <w:shd w:val="clear" w:color="auto" w:fill="auto"/>
            <w:vAlign w:val="center"/>
          </w:tcPr>
          <w:p w14:paraId="3D2EA55F">
            <w:pPr>
              <w:keepNext w:val="0"/>
              <w:keepLines w:val="0"/>
              <w:widowControl/>
              <w:suppressLineNumbers w:val="0"/>
              <w:jc w:val="center"/>
              <w:textAlignment w:val="center"/>
              <w:rPr>
                <w:rFonts w:hint="default" w:ascii="Arial" w:hAnsi="Arial" w:eastAsia="宋体" w:cs="Arial"/>
                <w:color w:val="auto"/>
                <w:kern w:val="2"/>
                <w:sz w:val="21"/>
                <w:szCs w:val="21"/>
                <w:lang w:val="en-US" w:eastAsia="zh-CN" w:bidi="ar-SA"/>
              </w:rPr>
            </w:pPr>
            <w:r>
              <w:rPr>
                <w:rFonts w:hint="default" w:ascii="Arial" w:hAnsi="Arial" w:eastAsia="宋体" w:cs="Arial"/>
                <w:i w:val="0"/>
                <w:iCs w:val="0"/>
                <w:color w:val="auto"/>
                <w:kern w:val="0"/>
                <w:sz w:val="21"/>
                <w:szCs w:val="21"/>
                <w:u w:val="none"/>
                <w:lang w:val="en-US" w:eastAsia="zh-CN" w:bidi="ar"/>
              </w:rPr>
              <w:t>0.202</w:t>
            </w:r>
          </w:p>
        </w:tc>
        <w:tc>
          <w:tcPr>
            <w:tcW w:w="1701" w:type="dxa"/>
            <w:vAlign w:val="center"/>
          </w:tcPr>
          <w:p w14:paraId="40E454F2">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59" w:type="dxa"/>
            <w:vAlign w:val="center"/>
          </w:tcPr>
          <w:p w14:paraId="43B5901B">
            <w:pPr>
              <w:widowControl/>
              <w:jc w:val="center"/>
              <w:rPr>
                <w:rFonts w:hint="default" w:ascii="Arial" w:hAnsi="Arial" w:eastAsia="宋体" w:cs="Arial"/>
                <w:color w:val="auto"/>
                <w:lang w:val="en-US" w:eastAsia="zh-CN"/>
              </w:rPr>
            </w:pPr>
            <w:r>
              <w:rPr>
                <w:rFonts w:hint="default" w:ascii="Arial" w:hAnsi="Arial" w:eastAsia="宋体" w:cs="Arial"/>
                <w:color w:val="auto"/>
                <w:lang w:val="en-US" w:eastAsia="zh-CN"/>
              </w:rPr>
              <w:t>0</w:t>
            </w:r>
          </w:p>
        </w:tc>
        <w:tc>
          <w:tcPr>
            <w:tcW w:w="1533" w:type="dxa"/>
            <w:vAlign w:val="center"/>
          </w:tcPr>
          <w:p w14:paraId="60B2B4D6">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29" w:type="dxa"/>
            <w:shd w:val="clear" w:color="auto" w:fill="auto"/>
            <w:vAlign w:val="center"/>
          </w:tcPr>
          <w:p w14:paraId="209A0D99">
            <w:pPr>
              <w:keepNext w:val="0"/>
              <w:keepLines w:val="0"/>
              <w:widowControl/>
              <w:suppressLineNumbers w:val="0"/>
              <w:jc w:val="center"/>
              <w:textAlignment w:val="center"/>
              <w:rPr>
                <w:rFonts w:hint="default" w:ascii="Arial" w:hAnsi="Arial" w:eastAsia="宋体" w:cs="Arial"/>
                <w:kern w:val="2"/>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0.202</w:t>
            </w:r>
          </w:p>
        </w:tc>
        <w:tc>
          <w:tcPr>
            <w:tcW w:w="1484" w:type="dxa"/>
            <w:vAlign w:val="center"/>
          </w:tcPr>
          <w:p w14:paraId="7CEE5E1C">
            <w:pPr>
              <w:widowControl/>
              <w:jc w:val="center"/>
              <w:rPr>
                <w:rFonts w:hint="default" w:ascii="Arial" w:hAnsi="Arial" w:eastAsia="宋体" w:cs="Arial"/>
                <w:lang w:val="en-US" w:eastAsia="zh-CN"/>
              </w:rPr>
            </w:pPr>
            <w:r>
              <w:rPr>
                <w:rFonts w:hint="default" w:ascii="Arial" w:hAnsi="Arial" w:eastAsia="宋体" w:cs="Arial"/>
                <w:lang w:val="en-US" w:eastAsia="zh-CN"/>
              </w:rPr>
              <w:t>0</w:t>
            </w:r>
          </w:p>
        </w:tc>
      </w:tr>
      <w:tr w14:paraId="37331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44733E1F">
            <w:pPr>
              <w:pStyle w:val="88"/>
              <w:spacing w:beforeLines="0" w:afterLines="0" w:line="240" w:lineRule="auto"/>
              <w:rPr>
                <w:rFonts w:hint="default" w:ascii="Arial" w:hAnsi="Arial" w:eastAsia="宋体" w:cs="Arial"/>
                <w:snapToGrid w:val="0"/>
                <w:kern w:val="21"/>
                <w:szCs w:val="21"/>
              </w:rPr>
            </w:pPr>
          </w:p>
        </w:tc>
        <w:tc>
          <w:tcPr>
            <w:tcW w:w="1701" w:type="dxa"/>
            <w:shd w:val="clear" w:color="auto" w:fill="auto"/>
            <w:vAlign w:val="center"/>
          </w:tcPr>
          <w:p w14:paraId="2179AD5F">
            <w:pPr>
              <w:spacing w:line="280" w:lineRule="exact"/>
              <w:jc w:val="center"/>
              <w:rPr>
                <w:rFonts w:hint="default" w:ascii="Arial" w:hAnsi="Arial" w:eastAsia="宋体" w:cs="Arial"/>
                <w:color w:val="auto"/>
                <w:kern w:val="0"/>
                <w:sz w:val="21"/>
                <w:szCs w:val="21"/>
                <w:lang w:val="en-US" w:eastAsia="zh-CN" w:bidi="ar-SA"/>
              </w:rPr>
            </w:pPr>
            <w:r>
              <w:rPr>
                <w:rFonts w:hint="default" w:ascii="Arial" w:hAnsi="Arial" w:eastAsia="宋体" w:cs="Arial"/>
                <w:color w:val="auto"/>
                <w:kern w:val="0"/>
                <w:szCs w:val="21"/>
              </w:rPr>
              <w:t>氨氮</w:t>
            </w:r>
          </w:p>
        </w:tc>
        <w:tc>
          <w:tcPr>
            <w:tcW w:w="1530" w:type="dxa"/>
            <w:shd w:val="clear" w:color="auto" w:fill="auto"/>
            <w:vAlign w:val="center"/>
          </w:tcPr>
          <w:p w14:paraId="632AB259">
            <w:pPr>
              <w:keepNext w:val="0"/>
              <w:keepLines w:val="0"/>
              <w:widowControl/>
              <w:suppressLineNumbers w:val="0"/>
              <w:jc w:val="center"/>
              <w:textAlignment w:val="center"/>
              <w:rPr>
                <w:rFonts w:hint="default" w:ascii="Arial" w:hAnsi="Arial" w:eastAsia="宋体" w:cs="Arial"/>
                <w:color w:val="auto"/>
                <w:kern w:val="0"/>
                <w:sz w:val="21"/>
                <w:szCs w:val="21"/>
                <w:lang w:val="en-US" w:eastAsia="zh-CN" w:bidi="ar-SA"/>
              </w:rPr>
            </w:pPr>
            <w:r>
              <w:rPr>
                <w:rFonts w:hint="default" w:ascii="Arial" w:hAnsi="Arial" w:eastAsia="宋体" w:cs="Arial"/>
                <w:i w:val="0"/>
                <w:iCs w:val="0"/>
                <w:color w:val="auto"/>
                <w:kern w:val="0"/>
                <w:sz w:val="21"/>
                <w:szCs w:val="21"/>
                <w:u w:val="none"/>
                <w:lang w:val="en-US" w:eastAsia="zh-CN" w:bidi="ar"/>
              </w:rPr>
              <w:t>0.010</w:t>
            </w:r>
          </w:p>
        </w:tc>
        <w:tc>
          <w:tcPr>
            <w:tcW w:w="1276" w:type="dxa"/>
            <w:shd w:val="clear" w:color="auto" w:fill="auto"/>
            <w:vAlign w:val="center"/>
          </w:tcPr>
          <w:p w14:paraId="56D39709">
            <w:pPr>
              <w:keepNext w:val="0"/>
              <w:keepLines w:val="0"/>
              <w:widowControl/>
              <w:suppressLineNumbers w:val="0"/>
              <w:jc w:val="center"/>
              <w:textAlignment w:val="center"/>
              <w:rPr>
                <w:rFonts w:hint="default" w:ascii="Arial" w:hAnsi="Arial" w:eastAsia="宋体" w:cs="Arial"/>
                <w:color w:val="auto"/>
                <w:kern w:val="0"/>
                <w:sz w:val="21"/>
                <w:szCs w:val="21"/>
                <w:lang w:val="en-US" w:eastAsia="zh-CN" w:bidi="ar-SA"/>
              </w:rPr>
            </w:pPr>
            <w:r>
              <w:rPr>
                <w:rFonts w:hint="default" w:ascii="Arial" w:hAnsi="Arial" w:eastAsia="宋体" w:cs="Arial"/>
                <w:i w:val="0"/>
                <w:iCs w:val="0"/>
                <w:color w:val="auto"/>
                <w:kern w:val="0"/>
                <w:sz w:val="21"/>
                <w:szCs w:val="21"/>
                <w:u w:val="none"/>
                <w:lang w:val="en-US" w:eastAsia="zh-CN" w:bidi="ar"/>
              </w:rPr>
              <w:t>0.010</w:t>
            </w:r>
          </w:p>
        </w:tc>
        <w:tc>
          <w:tcPr>
            <w:tcW w:w="1701" w:type="dxa"/>
            <w:vAlign w:val="center"/>
          </w:tcPr>
          <w:p w14:paraId="761FF220">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59" w:type="dxa"/>
            <w:vAlign w:val="center"/>
          </w:tcPr>
          <w:p w14:paraId="5D747CDA">
            <w:pPr>
              <w:widowControl/>
              <w:jc w:val="center"/>
              <w:rPr>
                <w:rFonts w:hint="default" w:ascii="Arial" w:hAnsi="Arial" w:eastAsia="宋体" w:cs="Arial"/>
                <w:color w:val="auto"/>
                <w:lang w:val="en-US" w:eastAsia="zh-CN"/>
              </w:rPr>
            </w:pPr>
            <w:r>
              <w:rPr>
                <w:rFonts w:hint="default" w:ascii="Arial" w:hAnsi="Arial" w:eastAsia="宋体" w:cs="Arial"/>
                <w:color w:val="auto"/>
                <w:lang w:val="en-US" w:eastAsia="zh-CN"/>
              </w:rPr>
              <w:t>0</w:t>
            </w:r>
          </w:p>
        </w:tc>
        <w:tc>
          <w:tcPr>
            <w:tcW w:w="1533" w:type="dxa"/>
            <w:vAlign w:val="center"/>
          </w:tcPr>
          <w:p w14:paraId="54C4CE07">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29" w:type="dxa"/>
            <w:shd w:val="clear" w:color="auto" w:fill="auto"/>
            <w:vAlign w:val="center"/>
          </w:tcPr>
          <w:p w14:paraId="7B1655E3">
            <w:pPr>
              <w:keepNext w:val="0"/>
              <w:keepLines w:val="0"/>
              <w:widowControl/>
              <w:suppressLineNumbers w:val="0"/>
              <w:jc w:val="center"/>
              <w:textAlignment w:val="center"/>
              <w:rPr>
                <w:rFonts w:hint="default" w:ascii="Arial" w:hAnsi="Arial" w:eastAsia="宋体" w:cs="Arial"/>
                <w:kern w:val="0"/>
                <w:sz w:val="21"/>
                <w:szCs w:val="21"/>
                <w:lang w:val="en-US" w:eastAsia="zh-CN" w:bidi="ar-SA"/>
              </w:rPr>
            </w:pPr>
            <w:r>
              <w:rPr>
                <w:rFonts w:hint="default" w:ascii="Arial" w:hAnsi="Arial" w:eastAsia="宋体" w:cs="Arial"/>
                <w:i w:val="0"/>
                <w:iCs w:val="0"/>
                <w:color w:val="000000"/>
                <w:kern w:val="0"/>
                <w:sz w:val="21"/>
                <w:szCs w:val="21"/>
                <w:u w:val="none"/>
                <w:lang w:val="en-US" w:eastAsia="zh-CN" w:bidi="ar"/>
              </w:rPr>
              <w:t>0.010</w:t>
            </w:r>
          </w:p>
        </w:tc>
        <w:tc>
          <w:tcPr>
            <w:tcW w:w="1484" w:type="dxa"/>
            <w:vAlign w:val="center"/>
          </w:tcPr>
          <w:p w14:paraId="2F63CD48">
            <w:pPr>
              <w:widowControl/>
              <w:jc w:val="center"/>
              <w:rPr>
                <w:rFonts w:hint="default" w:ascii="Arial" w:hAnsi="Arial" w:eastAsia="宋体" w:cs="Arial"/>
                <w:lang w:val="en-US" w:eastAsia="zh-CN"/>
              </w:rPr>
            </w:pPr>
            <w:r>
              <w:rPr>
                <w:rFonts w:hint="default" w:ascii="Arial" w:hAnsi="Arial" w:eastAsia="宋体" w:cs="Arial"/>
                <w:lang w:val="en-US" w:eastAsia="zh-CN"/>
              </w:rPr>
              <w:t>0</w:t>
            </w:r>
          </w:p>
        </w:tc>
      </w:tr>
      <w:tr w14:paraId="2A60F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restart"/>
            <w:vAlign w:val="center"/>
          </w:tcPr>
          <w:p w14:paraId="48C51EB1">
            <w:pPr>
              <w:pStyle w:val="88"/>
              <w:spacing w:beforeLines="0" w:afterLines="0" w:line="240" w:lineRule="auto"/>
              <w:rPr>
                <w:rFonts w:hint="default" w:ascii="Arial" w:hAnsi="Arial" w:eastAsia="宋体" w:cs="Arial"/>
                <w:snapToGrid w:val="0"/>
                <w:kern w:val="21"/>
                <w:szCs w:val="21"/>
              </w:rPr>
            </w:pPr>
            <w:r>
              <w:rPr>
                <w:rFonts w:hint="default" w:ascii="Arial" w:hAnsi="Arial" w:eastAsia="宋体" w:cs="Arial"/>
                <w:snapToGrid w:val="0"/>
                <w:kern w:val="21"/>
                <w:szCs w:val="21"/>
                <w:lang w:val="en-US" w:eastAsia="zh-CN"/>
              </w:rPr>
              <w:t>生产</w:t>
            </w:r>
            <w:r>
              <w:rPr>
                <w:rFonts w:hint="default" w:ascii="Arial" w:hAnsi="Arial" w:eastAsia="宋体" w:cs="Arial"/>
                <w:snapToGrid w:val="0"/>
                <w:kern w:val="21"/>
                <w:szCs w:val="21"/>
              </w:rPr>
              <w:t>废水</w:t>
            </w:r>
          </w:p>
        </w:tc>
        <w:tc>
          <w:tcPr>
            <w:tcW w:w="1701" w:type="dxa"/>
            <w:vAlign w:val="center"/>
          </w:tcPr>
          <w:p w14:paraId="3F1F89D6">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废水量</w:t>
            </w:r>
          </w:p>
        </w:tc>
        <w:tc>
          <w:tcPr>
            <w:tcW w:w="1530" w:type="dxa"/>
            <w:vAlign w:val="center"/>
          </w:tcPr>
          <w:p w14:paraId="2AC52D27">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9000</w:t>
            </w:r>
          </w:p>
        </w:tc>
        <w:tc>
          <w:tcPr>
            <w:tcW w:w="1276" w:type="dxa"/>
            <w:vAlign w:val="center"/>
          </w:tcPr>
          <w:p w14:paraId="5DA5C491">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lang w:val="en-US" w:eastAsia="zh-CN"/>
              </w:rPr>
              <w:t>9000</w:t>
            </w:r>
          </w:p>
        </w:tc>
        <w:tc>
          <w:tcPr>
            <w:tcW w:w="1701" w:type="dxa"/>
            <w:vAlign w:val="center"/>
          </w:tcPr>
          <w:p w14:paraId="28B1E45E">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p>
        </w:tc>
        <w:tc>
          <w:tcPr>
            <w:tcW w:w="1559" w:type="dxa"/>
            <w:vAlign w:val="center"/>
          </w:tcPr>
          <w:p w14:paraId="20DDA843">
            <w:pPr>
              <w:autoSpaceDE w:val="0"/>
              <w:autoSpaceDN w:val="0"/>
              <w:jc w:val="center"/>
              <w:rPr>
                <w:rFonts w:hint="default" w:ascii="Arial" w:hAnsi="Arial" w:eastAsia="宋体" w:cs="Arial"/>
                <w:color w:val="auto"/>
                <w:szCs w:val="21"/>
              </w:rPr>
            </w:pPr>
            <w:r>
              <w:rPr>
                <w:rFonts w:hint="default" w:ascii="Arial" w:hAnsi="Arial" w:eastAsia="宋体" w:cs="Arial"/>
                <w:color w:val="auto"/>
                <w:lang w:val="en-US" w:eastAsia="zh-CN"/>
              </w:rPr>
              <w:t>724.7</w:t>
            </w:r>
          </w:p>
        </w:tc>
        <w:tc>
          <w:tcPr>
            <w:tcW w:w="1533" w:type="dxa"/>
            <w:vAlign w:val="center"/>
          </w:tcPr>
          <w:p w14:paraId="0485624D">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lang w:val="en-US" w:eastAsia="zh-CN"/>
              </w:rPr>
              <w:t>9000</w:t>
            </w:r>
          </w:p>
        </w:tc>
        <w:tc>
          <w:tcPr>
            <w:tcW w:w="1529" w:type="dxa"/>
            <w:vAlign w:val="center"/>
          </w:tcPr>
          <w:p w14:paraId="114747A1">
            <w:pPr>
              <w:autoSpaceDE w:val="0"/>
              <w:autoSpaceDN w:val="0"/>
              <w:jc w:val="center"/>
              <w:rPr>
                <w:rFonts w:hint="default" w:ascii="Arial" w:hAnsi="Arial" w:eastAsia="宋体" w:cs="Arial"/>
                <w:szCs w:val="21"/>
              </w:rPr>
            </w:pPr>
            <w:r>
              <w:rPr>
                <w:rFonts w:hint="default" w:ascii="Arial" w:hAnsi="Arial" w:eastAsia="宋体" w:cs="Arial"/>
                <w:lang w:val="en-US" w:eastAsia="zh-CN"/>
              </w:rPr>
              <w:t>724.7</w:t>
            </w:r>
          </w:p>
        </w:tc>
        <w:tc>
          <w:tcPr>
            <w:tcW w:w="1484" w:type="dxa"/>
            <w:vAlign w:val="center"/>
          </w:tcPr>
          <w:p w14:paraId="24A885C6">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-8275.3</w:t>
            </w:r>
          </w:p>
        </w:tc>
      </w:tr>
      <w:tr w14:paraId="0BAE8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41EAA810">
            <w:pPr>
              <w:pStyle w:val="88"/>
              <w:spacing w:beforeLines="0" w:afterLines="0" w:line="240" w:lineRule="auto"/>
              <w:rPr>
                <w:rFonts w:hint="default" w:ascii="Arial" w:hAnsi="Arial" w:eastAsia="宋体" w:cs="Arial"/>
                <w:snapToGrid w:val="0"/>
                <w:kern w:val="21"/>
                <w:szCs w:val="21"/>
              </w:rPr>
            </w:pPr>
          </w:p>
        </w:tc>
        <w:tc>
          <w:tcPr>
            <w:tcW w:w="1701" w:type="dxa"/>
            <w:vAlign w:val="center"/>
          </w:tcPr>
          <w:p w14:paraId="5F37846E">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rPr>
              <w:t>COD</w:t>
            </w:r>
            <w:r>
              <w:rPr>
                <w:rFonts w:hint="default" w:ascii="Arial" w:hAnsi="Arial" w:eastAsia="宋体" w:cs="Arial"/>
                <w:snapToGrid w:val="0"/>
                <w:color w:val="auto"/>
                <w:kern w:val="21"/>
                <w:szCs w:val="21"/>
                <w:lang w:val="en-US" w:eastAsia="zh-CN"/>
              </w:rPr>
              <w:t>cr</w:t>
            </w:r>
          </w:p>
        </w:tc>
        <w:tc>
          <w:tcPr>
            <w:tcW w:w="1530" w:type="dxa"/>
            <w:vAlign w:val="center"/>
          </w:tcPr>
          <w:p w14:paraId="2FDBF1C4">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rPr>
              <w:t>0</w:t>
            </w:r>
            <w:r>
              <w:rPr>
                <w:rFonts w:hint="default" w:ascii="Arial" w:hAnsi="Arial" w:eastAsia="宋体" w:cs="Arial"/>
                <w:snapToGrid w:val="0"/>
                <w:color w:val="auto"/>
                <w:kern w:val="21"/>
                <w:szCs w:val="21"/>
                <w:lang w:val="en-US" w:eastAsia="zh-CN"/>
              </w:rPr>
              <w:t>.36</w:t>
            </w:r>
          </w:p>
        </w:tc>
        <w:tc>
          <w:tcPr>
            <w:tcW w:w="1276" w:type="dxa"/>
            <w:vAlign w:val="center"/>
          </w:tcPr>
          <w:p w14:paraId="3EEBD06A">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r>
              <w:rPr>
                <w:rFonts w:hint="default" w:ascii="Arial" w:hAnsi="Arial" w:eastAsia="宋体" w:cs="Arial"/>
                <w:snapToGrid w:val="0"/>
                <w:color w:val="auto"/>
                <w:kern w:val="21"/>
                <w:szCs w:val="21"/>
                <w:lang w:val="en-US" w:eastAsia="zh-CN"/>
              </w:rPr>
              <w:t>.36</w:t>
            </w:r>
          </w:p>
        </w:tc>
        <w:tc>
          <w:tcPr>
            <w:tcW w:w="1701" w:type="dxa"/>
            <w:vAlign w:val="center"/>
          </w:tcPr>
          <w:p w14:paraId="20F57E94">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p>
        </w:tc>
        <w:tc>
          <w:tcPr>
            <w:tcW w:w="1559" w:type="dxa"/>
            <w:vAlign w:val="center"/>
          </w:tcPr>
          <w:p w14:paraId="2AAE47DE">
            <w:pPr>
              <w:keepNext w:val="0"/>
              <w:keepLines w:val="0"/>
              <w:widowControl/>
              <w:suppressLineNumbers w:val="0"/>
              <w:jc w:val="center"/>
              <w:textAlignment w:val="center"/>
              <w:rPr>
                <w:rFonts w:hint="default" w:ascii="Arial" w:hAnsi="Arial" w:eastAsia="宋体" w:cs="Arial"/>
                <w:color w:val="auto"/>
                <w:szCs w:val="21"/>
              </w:rPr>
            </w:pPr>
            <w:r>
              <w:rPr>
                <w:rFonts w:hint="default" w:ascii="Arial" w:hAnsi="Arial" w:eastAsia="宋体" w:cs="Arial"/>
                <w:i w:val="0"/>
                <w:iCs w:val="0"/>
                <w:color w:val="auto"/>
                <w:kern w:val="0"/>
                <w:sz w:val="21"/>
                <w:szCs w:val="21"/>
                <w:u w:val="none"/>
                <w:lang w:val="en-US" w:eastAsia="zh-CN" w:bidi="ar"/>
              </w:rPr>
              <w:t>0.029</w:t>
            </w:r>
          </w:p>
        </w:tc>
        <w:tc>
          <w:tcPr>
            <w:tcW w:w="1533" w:type="dxa"/>
            <w:vAlign w:val="center"/>
          </w:tcPr>
          <w:p w14:paraId="1BFFEC30">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r>
              <w:rPr>
                <w:rFonts w:hint="default" w:ascii="Arial" w:hAnsi="Arial" w:eastAsia="宋体" w:cs="Arial"/>
                <w:snapToGrid w:val="0"/>
                <w:color w:val="auto"/>
                <w:kern w:val="21"/>
                <w:szCs w:val="21"/>
                <w:lang w:val="en-US" w:eastAsia="zh-CN"/>
              </w:rPr>
              <w:t>.36</w:t>
            </w:r>
          </w:p>
        </w:tc>
        <w:tc>
          <w:tcPr>
            <w:tcW w:w="1529" w:type="dxa"/>
            <w:vAlign w:val="center"/>
          </w:tcPr>
          <w:p w14:paraId="3EE01B86">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1"/>
                <w:szCs w:val="21"/>
                <w:u w:val="none"/>
                <w:lang w:val="en-US" w:eastAsia="zh-CN" w:bidi="ar"/>
              </w:rPr>
              <w:t>0.029</w:t>
            </w:r>
          </w:p>
        </w:tc>
        <w:tc>
          <w:tcPr>
            <w:tcW w:w="1484" w:type="dxa"/>
            <w:vAlign w:val="center"/>
          </w:tcPr>
          <w:p w14:paraId="0D7811E2">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-0.331</w:t>
            </w:r>
          </w:p>
        </w:tc>
      </w:tr>
      <w:tr w14:paraId="28024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301DF178">
            <w:pPr>
              <w:pStyle w:val="88"/>
              <w:spacing w:beforeLines="0" w:afterLines="0" w:line="240" w:lineRule="auto"/>
              <w:rPr>
                <w:rFonts w:hint="default" w:ascii="Arial" w:hAnsi="Arial" w:eastAsia="宋体" w:cs="Arial"/>
                <w:snapToGrid w:val="0"/>
                <w:kern w:val="21"/>
                <w:szCs w:val="21"/>
              </w:rPr>
            </w:pPr>
          </w:p>
        </w:tc>
        <w:tc>
          <w:tcPr>
            <w:tcW w:w="1701" w:type="dxa"/>
            <w:vAlign w:val="center"/>
          </w:tcPr>
          <w:p w14:paraId="20999B57">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氨氮</w:t>
            </w:r>
          </w:p>
        </w:tc>
        <w:tc>
          <w:tcPr>
            <w:tcW w:w="1530" w:type="dxa"/>
            <w:vAlign w:val="center"/>
          </w:tcPr>
          <w:p w14:paraId="066CE76A">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0.018</w:t>
            </w:r>
          </w:p>
        </w:tc>
        <w:tc>
          <w:tcPr>
            <w:tcW w:w="1276" w:type="dxa"/>
            <w:vAlign w:val="center"/>
          </w:tcPr>
          <w:p w14:paraId="3F60262E">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lang w:val="en-US" w:eastAsia="zh-CN"/>
              </w:rPr>
              <w:t>0.018</w:t>
            </w:r>
          </w:p>
        </w:tc>
        <w:tc>
          <w:tcPr>
            <w:tcW w:w="1701" w:type="dxa"/>
            <w:vAlign w:val="center"/>
          </w:tcPr>
          <w:p w14:paraId="016DB346">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p>
        </w:tc>
        <w:tc>
          <w:tcPr>
            <w:tcW w:w="1559" w:type="dxa"/>
            <w:vAlign w:val="center"/>
          </w:tcPr>
          <w:p w14:paraId="168EE60E">
            <w:pPr>
              <w:keepNext w:val="0"/>
              <w:keepLines w:val="0"/>
              <w:widowControl/>
              <w:suppressLineNumbers w:val="0"/>
              <w:jc w:val="center"/>
              <w:textAlignment w:val="center"/>
              <w:rPr>
                <w:rFonts w:hint="default" w:ascii="Arial" w:hAnsi="Arial" w:eastAsia="宋体" w:cs="Arial"/>
                <w:color w:val="auto"/>
                <w:szCs w:val="21"/>
              </w:rPr>
            </w:pPr>
            <w:r>
              <w:rPr>
                <w:rFonts w:hint="default" w:ascii="Arial" w:hAnsi="Arial" w:eastAsia="宋体" w:cs="Arial"/>
                <w:i w:val="0"/>
                <w:iCs w:val="0"/>
                <w:color w:val="auto"/>
                <w:kern w:val="0"/>
                <w:sz w:val="21"/>
                <w:szCs w:val="21"/>
                <w:u w:val="none"/>
                <w:lang w:val="en-US" w:eastAsia="zh-CN" w:bidi="ar"/>
              </w:rPr>
              <w:t>0.001</w:t>
            </w:r>
          </w:p>
        </w:tc>
        <w:tc>
          <w:tcPr>
            <w:tcW w:w="1533" w:type="dxa"/>
            <w:vAlign w:val="center"/>
          </w:tcPr>
          <w:p w14:paraId="56DC2B03">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lang w:val="en-US" w:eastAsia="zh-CN"/>
              </w:rPr>
              <w:t>0.018</w:t>
            </w:r>
          </w:p>
        </w:tc>
        <w:tc>
          <w:tcPr>
            <w:tcW w:w="1529" w:type="dxa"/>
            <w:vAlign w:val="center"/>
          </w:tcPr>
          <w:p w14:paraId="5082C93F">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1"/>
                <w:szCs w:val="21"/>
                <w:u w:val="none"/>
                <w:lang w:val="en-US" w:eastAsia="zh-CN" w:bidi="ar"/>
              </w:rPr>
              <w:t>0.001</w:t>
            </w:r>
          </w:p>
        </w:tc>
        <w:tc>
          <w:tcPr>
            <w:tcW w:w="1484" w:type="dxa"/>
            <w:vAlign w:val="center"/>
          </w:tcPr>
          <w:p w14:paraId="5A8AB9C0">
            <w:pPr>
              <w:keepNext w:val="0"/>
              <w:keepLines w:val="0"/>
              <w:widowControl/>
              <w:suppressLineNumbers w:val="0"/>
              <w:jc w:val="center"/>
              <w:textAlignment w:val="center"/>
              <w:rPr>
                <w:rFonts w:hint="default" w:ascii="Arial" w:hAnsi="Arial" w:eastAsia="宋体" w:cs="Arial"/>
                <w:szCs w:val="21"/>
              </w:rPr>
            </w:pPr>
            <w:r>
              <w:rPr>
                <w:rFonts w:hint="default" w:ascii="Arial" w:hAnsi="Arial" w:eastAsia="宋体" w:cs="Arial"/>
                <w:i w:val="0"/>
                <w:iCs w:val="0"/>
                <w:color w:val="000000"/>
                <w:kern w:val="0"/>
                <w:sz w:val="22"/>
                <w:szCs w:val="22"/>
                <w:u w:val="none"/>
                <w:lang w:val="en-US" w:eastAsia="zh-CN" w:bidi="ar"/>
              </w:rPr>
              <w:t>-0.017</w:t>
            </w:r>
          </w:p>
        </w:tc>
      </w:tr>
      <w:tr w14:paraId="4049E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restart"/>
            <w:vAlign w:val="center"/>
          </w:tcPr>
          <w:p w14:paraId="41A1C370">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废气</w:t>
            </w:r>
          </w:p>
        </w:tc>
        <w:tc>
          <w:tcPr>
            <w:tcW w:w="1701" w:type="dxa"/>
            <w:vAlign w:val="center"/>
          </w:tcPr>
          <w:p w14:paraId="216559C9">
            <w:pPr>
              <w:snapToGrid w:val="0"/>
              <w:jc w:val="center"/>
              <w:rPr>
                <w:rFonts w:hint="default" w:ascii="Arial" w:hAnsi="Arial" w:eastAsia="宋体" w:cs="Arial"/>
                <w:snapToGrid w:val="0"/>
                <w:color w:val="auto"/>
                <w:kern w:val="21"/>
                <w:szCs w:val="21"/>
                <w:lang w:val="en-US" w:eastAsia="zh-CN"/>
              </w:rPr>
            </w:pPr>
            <w:r>
              <w:rPr>
                <w:rFonts w:hint="default" w:ascii="Arial" w:hAnsi="Arial" w:eastAsia="宋体" w:cs="Arial"/>
                <w:kern w:val="0"/>
                <w:sz w:val="18"/>
                <w:szCs w:val="18"/>
              </w:rPr>
              <w:t>颗粒物</w:t>
            </w:r>
          </w:p>
        </w:tc>
        <w:tc>
          <w:tcPr>
            <w:tcW w:w="1530" w:type="dxa"/>
            <w:vAlign w:val="center"/>
          </w:tcPr>
          <w:p w14:paraId="42633374">
            <w:pPr>
              <w:spacing w:line="280" w:lineRule="exact"/>
              <w:jc w:val="center"/>
              <w:textAlignment w:val="bottom"/>
              <w:rPr>
                <w:rFonts w:hint="default" w:ascii="Arial" w:hAnsi="Arial" w:eastAsia="宋体" w:cs="Arial"/>
                <w:snapToGrid w:val="0"/>
                <w:color w:val="auto"/>
                <w:kern w:val="21"/>
                <w:szCs w:val="21"/>
                <w:lang w:val="en-US" w:eastAsia="zh-CN"/>
              </w:rPr>
            </w:pPr>
            <w:r>
              <w:rPr>
                <w:rFonts w:hint="default" w:ascii="Arial" w:hAnsi="Arial" w:cs="Arial"/>
                <w:sz w:val="21"/>
                <w:szCs w:val="21"/>
                <w:lang w:val="en-US" w:eastAsia="zh-CN"/>
              </w:rPr>
              <w:t>0.0216</w:t>
            </w:r>
          </w:p>
        </w:tc>
        <w:tc>
          <w:tcPr>
            <w:tcW w:w="1276" w:type="dxa"/>
            <w:vAlign w:val="center"/>
          </w:tcPr>
          <w:p w14:paraId="679EA9D5">
            <w:pPr>
              <w:spacing w:line="280" w:lineRule="exact"/>
              <w:jc w:val="center"/>
              <w:textAlignment w:val="bottom"/>
              <w:rPr>
                <w:rFonts w:hint="default" w:ascii="Arial" w:hAnsi="Arial" w:eastAsia="宋体" w:cs="Arial"/>
                <w:snapToGrid w:val="0"/>
                <w:color w:val="auto"/>
                <w:kern w:val="21"/>
                <w:szCs w:val="21"/>
                <w:lang w:val="en-US" w:eastAsia="zh-CN"/>
              </w:rPr>
            </w:pPr>
            <w:r>
              <w:rPr>
                <w:rFonts w:hint="default" w:ascii="Arial" w:hAnsi="Arial" w:cs="Arial"/>
                <w:sz w:val="21"/>
                <w:szCs w:val="21"/>
                <w:lang w:val="en-US" w:eastAsia="zh-CN"/>
              </w:rPr>
              <w:t>0.0216</w:t>
            </w:r>
          </w:p>
        </w:tc>
        <w:tc>
          <w:tcPr>
            <w:tcW w:w="1701" w:type="dxa"/>
            <w:vAlign w:val="center"/>
          </w:tcPr>
          <w:p w14:paraId="1E4F6DC4">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59" w:type="dxa"/>
            <w:vAlign w:val="center"/>
          </w:tcPr>
          <w:p w14:paraId="6A193A7B">
            <w:pPr>
              <w:keepNext w:val="0"/>
              <w:keepLines w:val="0"/>
              <w:widowControl/>
              <w:suppressLineNumbers w:val="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p>
        </w:tc>
        <w:tc>
          <w:tcPr>
            <w:tcW w:w="1533" w:type="dxa"/>
            <w:vAlign w:val="center"/>
          </w:tcPr>
          <w:p w14:paraId="2F4FD79A">
            <w:pPr>
              <w:spacing w:line="280" w:lineRule="exact"/>
              <w:jc w:val="center"/>
              <w:textAlignment w:val="bottom"/>
              <w:rPr>
                <w:rFonts w:hint="default" w:ascii="Arial" w:hAnsi="Arial" w:cs="Arial"/>
                <w:sz w:val="21"/>
                <w:szCs w:val="21"/>
                <w:lang w:val="en-US" w:eastAsia="zh-CN"/>
              </w:rPr>
            </w:pPr>
            <w:r>
              <w:rPr>
                <w:rFonts w:hint="eastAsia" w:ascii="Arial" w:hAnsi="Arial" w:cs="Arial"/>
                <w:sz w:val="21"/>
                <w:szCs w:val="21"/>
                <w:lang w:val="en-US" w:eastAsia="zh-CN"/>
              </w:rPr>
              <w:t>0</w:t>
            </w:r>
          </w:p>
        </w:tc>
        <w:tc>
          <w:tcPr>
            <w:tcW w:w="1529" w:type="dxa"/>
            <w:vAlign w:val="center"/>
          </w:tcPr>
          <w:p w14:paraId="642E1701">
            <w:pPr>
              <w:keepNext w:val="0"/>
              <w:keepLines w:val="0"/>
              <w:widowControl/>
              <w:suppressLineNumbers w:val="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w:t>
            </w:r>
          </w:p>
        </w:tc>
        <w:tc>
          <w:tcPr>
            <w:tcW w:w="1484" w:type="dxa"/>
            <w:vAlign w:val="center"/>
          </w:tcPr>
          <w:p w14:paraId="59811179">
            <w:pPr>
              <w:spacing w:line="280" w:lineRule="exact"/>
              <w:jc w:val="center"/>
              <w:textAlignment w:val="bottom"/>
              <w:rPr>
                <w:rFonts w:hint="default" w:ascii="Arial" w:hAnsi="Arial" w:eastAsia="宋体" w:cs="Arial"/>
                <w:i w:val="0"/>
                <w:iCs w:val="0"/>
                <w:color w:val="000000"/>
                <w:kern w:val="0"/>
                <w:sz w:val="22"/>
                <w:szCs w:val="22"/>
                <w:u w:val="none"/>
                <w:lang w:val="en-US" w:eastAsia="zh-CN" w:bidi="ar"/>
              </w:rPr>
            </w:pPr>
            <w:r>
              <w:rPr>
                <w:rFonts w:hint="default" w:ascii="Arial" w:hAnsi="Arial" w:cs="Arial"/>
                <w:sz w:val="21"/>
                <w:szCs w:val="21"/>
                <w:lang w:val="en-US" w:eastAsia="zh-CN"/>
              </w:rPr>
              <w:t>-0.0216</w:t>
            </w:r>
          </w:p>
        </w:tc>
      </w:tr>
      <w:tr w14:paraId="17DA5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6261CC14">
            <w:pPr>
              <w:pStyle w:val="88"/>
              <w:spacing w:beforeLines="0" w:afterLines="0" w:line="240" w:lineRule="auto"/>
              <w:rPr>
                <w:rFonts w:hint="default" w:ascii="Arial" w:hAnsi="Arial" w:eastAsia="宋体" w:cs="Arial"/>
                <w:snapToGrid w:val="0"/>
                <w:kern w:val="21"/>
                <w:szCs w:val="21"/>
              </w:rPr>
            </w:pPr>
          </w:p>
        </w:tc>
        <w:tc>
          <w:tcPr>
            <w:tcW w:w="1701" w:type="dxa"/>
            <w:vAlign w:val="center"/>
          </w:tcPr>
          <w:p w14:paraId="00630E00">
            <w:pPr>
              <w:snapToGrid w:val="0"/>
              <w:jc w:val="center"/>
              <w:rPr>
                <w:rFonts w:hint="default" w:ascii="Arial" w:hAnsi="Arial" w:eastAsia="宋体" w:cs="Arial"/>
                <w:snapToGrid w:val="0"/>
                <w:color w:val="auto"/>
                <w:kern w:val="21"/>
                <w:szCs w:val="21"/>
              </w:rPr>
            </w:pPr>
            <w:r>
              <w:rPr>
                <w:rFonts w:hint="default" w:ascii="Arial" w:hAnsi="Arial" w:cs="Arial"/>
                <w:sz w:val="18"/>
                <w:szCs w:val="18"/>
              </w:rPr>
              <w:t>VOCs</w:t>
            </w:r>
          </w:p>
        </w:tc>
        <w:tc>
          <w:tcPr>
            <w:tcW w:w="1530" w:type="dxa"/>
            <w:vAlign w:val="center"/>
          </w:tcPr>
          <w:p w14:paraId="61CBB671">
            <w:pPr>
              <w:spacing w:line="280" w:lineRule="exact"/>
              <w:jc w:val="center"/>
              <w:textAlignment w:val="bottom"/>
              <w:rPr>
                <w:rFonts w:hint="default" w:ascii="Arial" w:hAnsi="Arial" w:eastAsia="宋体" w:cs="Arial"/>
                <w:snapToGrid w:val="0"/>
                <w:color w:val="auto"/>
                <w:kern w:val="21"/>
                <w:szCs w:val="21"/>
                <w:lang w:val="en-US" w:eastAsia="zh-CN"/>
              </w:rPr>
            </w:pPr>
            <w:r>
              <w:rPr>
                <w:rFonts w:hint="default" w:ascii="Arial" w:hAnsi="Arial" w:cs="Arial"/>
                <w:sz w:val="21"/>
                <w:szCs w:val="21"/>
                <w:lang w:val="en-US" w:eastAsia="zh-CN"/>
              </w:rPr>
              <w:t>0.034</w:t>
            </w:r>
          </w:p>
        </w:tc>
        <w:tc>
          <w:tcPr>
            <w:tcW w:w="1276" w:type="dxa"/>
            <w:vAlign w:val="center"/>
          </w:tcPr>
          <w:p w14:paraId="300E2D7E">
            <w:pPr>
              <w:spacing w:line="280" w:lineRule="exact"/>
              <w:jc w:val="center"/>
              <w:textAlignment w:val="bottom"/>
              <w:rPr>
                <w:rFonts w:hint="default" w:ascii="Arial" w:hAnsi="Arial" w:eastAsia="宋体" w:cs="Arial"/>
                <w:snapToGrid w:val="0"/>
                <w:color w:val="auto"/>
                <w:kern w:val="21"/>
                <w:szCs w:val="21"/>
                <w:lang w:val="en-US" w:eastAsia="zh-CN"/>
              </w:rPr>
            </w:pPr>
            <w:r>
              <w:rPr>
                <w:rFonts w:hint="default" w:ascii="Arial" w:hAnsi="Arial" w:cs="Arial"/>
                <w:sz w:val="21"/>
                <w:szCs w:val="21"/>
                <w:lang w:val="en-US" w:eastAsia="zh-CN"/>
              </w:rPr>
              <w:t>0.034</w:t>
            </w:r>
          </w:p>
        </w:tc>
        <w:tc>
          <w:tcPr>
            <w:tcW w:w="1701" w:type="dxa"/>
            <w:vAlign w:val="center"/>
          </w:tcPr>
          <w:p w14:paraId="5CB63FB7">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59" w:type="dxa"/>
            <w:vAlign w:val="center"/>
          </w:tcPr>
          <w:p w14:paraId="3D9F93F2">
            <w:pPr>
              <w:keepNext w:val="0"/>
              <w:keepLines w:val="0"/>
              <w:widowControl/>
              <w:suppressLineNumbers w:val="0"/>
              <w:jc w:val="center"/>
              <w:textAlignment w:val="center"/>
              <w:rPr>
                <w:rFonts w:hint="default" w:ascii="Arial" w:hAnsi="Arial" w:eastAsia="宋体" w:cs="Arial"/>
                <w:i w:val="0"/>
                <w:iCs w:val="0"/>
                <w:color w:val="auto"/>
                <w:kern w:val="0"/>
                <w:sz w:val="21"/>
                <w:szCs w:val="21"/>
                <w:u w:val="none"/>
                <w:lang w:val="en-US" w:eastAsia="zh-CN" w:bidi="ar"/>
              </w:rPr>
            </w:pPr>
            <w:r>
              <w:rPr>
                <w:rFonts w:hint="default" w:ascii="Arial" w:hAnsi="Arial" w:eastAsia="宋体" w:cs="Arial"/>
                <w:i w:val="0"/>
                <w:iCs w:val="0"/>
                <w:color w:val="auto"/>
                <w:kern w:val="0"/>
                <w:sz w:val="21"/>
                <w:szCs w:val="21"/>
                <w:u w:val="none"/>
                <w:lang w:val="en-US" w:eastAsia="zh-CN" w:bidi="ar"/>
              </w:rPr>
              <w:t>0</w:t>
            </w:r>
          </w:p>
        </w:tc>
        <w:tc>
          <w:tcPr>
            <w:tcW w:w="1533" w:type="dxa"/>
            <w:vAlign w:val="center"/>
          </w:tcPr>
          <w:p w14:paraId="6C26F161">
            <w:pPr>
              <w:spacing w:line="280" w:lineRule="exact"/>
              <w:jc w:val="center"/>
              <w:textAlignment w:val="bottom"/>
              <w:rPr>
                <w:rFonts w:hint="default" w:ascii="Arial" w:hAnsi="Arial" w:cs="Arial"/>
                <w:sz w:val="21"/>
                <w:szCs w:val="21"/>
                <w:lang w:val="en-US" w:eastAsia="zh-CN"/>
              </w:rPr>
            </w:pPr>
            <w:r>
              <w:rPr>
                <w:rFonts w:hint="eastAsia" w:ascii="Arial" w:hAnsi="Arial" w:cs="Arial"/>
                <w:sz w:val="21"/>
                <w:szCs w:val="21"/>
                <w:lang w:val="en-US" w:eastAsia="zh-CN"/>
              </w:rPr>
              <w:t>0</w:t>
            </w:r>
          </w:p>
        </w:tc>
        <w:tc>
          <w:tcPr>
            <w:tcW w:w="1529" w:type="dxa"/>
            <w:vAlign w:val="center"/>
          </w:tcPr>
          <w:p w14:paraId="5E1997BB">
            <w:pPr>
              <w:keepNext w:val="0"/>
              <w:keepLines w:val="0"/>
              <w:widowControl/>
              <w:suppressLineNumbers w:val="0"/>
              <w:jc w:val="center"/>
              <w:textAlignment w:val="center"/>
              <w:rPr>
                <w:rFonts w:hint="default" w:ascii="Arial" w:hAnsi="Arial" w:eastAsia="宋体" w:cs="Arial"/>
                <w:i w:val="0"/>
                <w:iCs w:val="0"/>
                <w:color w:val="000000"/>
                <w:kern w:val="0"/>
                <w:sz w:val="21"/>
                <w:szCs w:val="21"/>
                <w:u w:val="none"/>
                <w:lang w:val="en-US" w:eastAsia="zh-CN" w:bidi="ar"/>
              </w:rPr>
            </w:pPr>
            <w:r>
              <w:rPr>
                <w:rFonts w:hint="default" w:ascii="Arial" w:hAnsi="Arial" w:eastAsia="宋体" w:cs="Arial"/>
                <w:i w:val="0"/>
                <w:iCs w:val="0"/>
                <w:color w:val="000000"/>
                <w:kern w:val="0"/>
                <w:sz w:val="21"/>
                <w:szCs w:val="21"/>
                <w:u w:val="none"/>
                <w:lang w:val="en-US" w:eastAsia="zh-CN" w:bidi="ar"/>
              </w:rPr>
              <w:t>0</w:t>
            </w:r>
          </w:p>
        </w:tc>
        <w:tc>
          <w:tcPr>
            <w:tcW w:w="1484" w:type="dxa"/>
            <w:vAlign w:val="center"/>
          </w:tcPr>
          <w:p w14:paraId="3262CA16">
            <w:pPr>
              <w:spacing w:line="280" w:lineRule="exact"/>
              <w:jc w:val="center"/>
              <w:textAlignment w:val="bottom"/>
              <w:rPr>
                <w:rFonts w:hint="default" w:ascii="Arial" w:hAnsi="Arial" w:eastAsia="宋体" w:cs="Arial"/>
                <w:i w:val="0"/>
                <w:iCs w:val="0"/>
                <w:color w:val="000000"/>
                <w:kern w:val="0"/>
                <w:sz w:val="22"/>
                <w:szCs w:val="22"/>
                <w:u w:val="none"/>
                <w:lang w:val="en-US" w:eastAsia="zh-CN" w:bidi="ar"/>
              </w:rPr>
            </w:pPr>
            <w:r>
              <w:rPr>
                <w:rFonts w:hint="default" w:ascii="Arial" w:hAnsi="Arial" w:cs="Arial"/>
                <w:sz w:val="21"/>
                <w:szCs w:val="21"/>
                <w:lang w:val="en-US" w:eastAsia="zh-CN"/>
              </w:rPr>
              <w:t>-0.034</w:t>
            </w:r>
          </w:p>
        </w:tc>
      </w:tr>
      <w:tr w14:paraId="37091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restart"/>
            <w:vAlign w:val="center"/>
          </w:tcPr>
          <w:p w14:paraId="2BB2A0EF">
            <w:pPr>
              <w:pStyle w:val="88"/>
              <w:spacing w:before="34" w:after="34" w:line="240" w:lineRule="auto"/>
              <w:rPr>
                <w:rFonts w:hint="default" w:ascii="Arial" w:hAnsi="Arial" w:eastAsia="宋体" w:cs="Arial"/>
                <w:snapToGrid w:val="0"/>
                <w:kern w:val="21"/>
                <w:szCs w:val="21"/>
              </w:rPr>
            </w:pPr>
            <w:r>
              <w:rPr>
                <w:rFonts w:hint="default" w:ascii="Arial" w:hAnsi="Arial" w:eastAsia="宋体" w:cs="Arial"/>
                <w:snapToGrid w:val="0"/>
                <w:kern w:val="21"/>
                <w:szCs w:val="21"/>
              </w:rPr>
              <w:t>一般工业固体废物</w:t>
            </w:r>
          </w:p>
        </w:tc>
        <w:tc>
          <w:tcPr>
            <w:tcW w:w="1701" w:type="dxa"/>
            <w:vAlign w:val="center"/>
          </w:tcPr>
          <w:p w14:paraId="4DFA5382">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color w:val="auto"/>
                <w:szCs w:val="21"/>
              </w:rPr>
              <w:t>一般废包装材料</w:t>
            </w:r>
          </w:p>
        </w:tc>
        <w:tc>
          <w:tcPr>
            <w:tcW w:w="1530" w:type="dxa"/>
            <w:vAlign w:val="center"/>
          </w:tcPr>
          <w:p w14:paraId="11431C62">
            <w:pPr>
              <w:pStyle w:val="88"/>
              <w:spacing w:beforeLines="0" w:afterLines="0" w:line="240" w:lineRule="auto"/>
              <w:rPr>
                <w:rFonts w:hint="default" w:ascii="Arial" w:hAnsi="Arial" w:eastAsia="宋体" w:cs="Arial"/>
                <w:color w:val="auto"/>
                <w:lang w:val="en-US" w:eastAsia="zh-CN"/>
              </w:rPr>
            </w:pPr>
            <w:r>
              <w:rPr>
                <w:rFonts w:hint="default" w:ascii="Arial" w:hAnsi="Arial" w:eastAsia="宋体" w:cs="Arial"/>
                <w:snapToGrid w:val="0"/>
                <w:color w:val="auto"/>
                <w:kern w:val="21"/>
                <w:szCs w:val="21"/>
              </w:rPr>
              <w:t>0</w:t>
            </w:r>
            <w:r>
              <w:rPr>
                <w:rFonts w:hint="default" w:ascii="Arial" w:hAnsi="Arial" w:eastAsia="宋体" w:cs="Arial"/>
                <w:snapToGrid w:val="0"/>
                <w:color w:val="auto"/>
                <w:kern w:val="21"/>
                <w:szCs w:val="21"/>
                <w:lang w:eastAsia="zh-CN"/>
              </w:rPr>
              <w:t>（</w:t>
            </w:r>
            <w:r>
              <w:rPr>
                <w:rFonts w:hint="default" w:ascii="Arial" w:hAnsi="Arial" w:eastAsia="宋体" w:cs="Arial"/>
                <w:snapToGrid w:val="0"/>
                <w:color w:val="auto"/>
                <w:kern w:val="21"/>
                <w:szCs w:val="21"/>
                <w:lang w:val="en-US" w:eastAsia="zh-CN"/>
              </w:rPr>
              <w:t>1.5）</w:t>
            </w:r>
          </w:p>
        </w:tc>
        <w:tc>
          <w:tcPr>
            <w:tcW w:w="1276" w:type="dxa"/>
            <w:vAlign w:val="center"/>
          </w:tcPr>
          <w:p w14:paraId="0E90BB40">
            <w:pPr>
              <w:pStyle w:val="88"/>
              <w:spacing w:beforeLines="0" w:afterLines="0" w:line="240" w:lineRule="auto"/>
              <w:rPr>
                <w:rFonts w:hint="default" w:ascii="Arial" w:hAnsi="Arial" w:eastAsia="宋体" w:cs="Arial"/>
                <w:color w:val="auto"/>
                <w:szCs w:val="21"/>
              </w:rPr>
            </w:pPr>
            <w:r>
              <w:rPr>
                <w:rFonts w:hint="default" w:ascii="Arial" w:hAnsi="Arial" w:eastAsia="宋体" w:cs="Arial"/>
                <w:snapToGrid w:val="0"/>
                <w:color w:val="auto"/>
                <w:kern w:val="21"/>
                <w:szCs w:val="21"/>
              </w:rPr>
              <w:t>0</w:t>
            </w:r>
            <w:r>
              <w:rPr>
                <w:rFonts w:hint="default" w:ascii="Arial" w:hAnsi="Arial" w:eastAsia="宋体" w:cs="Arial"/>
                <w:snapToGrid w:val="0"/>
                <w:color w:val="auto"/>
                <w:kern w:val="21"/>
                <w:szCs w:val="21"/>
                <w:lang w:eastAsia="zh-CN"/>
              </w:rPr>
              <w:t>（</w:t>
            </w:r>
            <w:r>
              <w:rPr>
                <w:rFonts w:hint="default" w:ascii="Arial" w:hAnsi="Arial" w:eastAsia="宋体" w:cs="Arial"/>
                <w:snapToGrid w:val="0"/>
                <w:color w:val="auto"/>
                <w:kern w:val="21"/>
                <w:szCs w:val="21"/>
                <w:lang w:val="en-US" w:eastAsia="zh-CN"/>
              </w:rPr>
              <w:t>1.5）</w:t>
            </w:r>
          </w:p>
        </w:tc>
        <w:tc>
          <w:tcPr>
            <w:tcW w:w="1701" w:type="dxa"/>
            <w:vAlign w:val="center"/>
          </w:tcPr>
          <w:p w14:paraId="6DDFA077">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p>
        </w:tc>
        <w:tc>
          <w:tcPr>
            <w:tcW w:w="1559" w:type="dxa"/>
            <w:vAlign w:val="center"/>
          </w:tcPr>
          <w:p w14:paraId="55560BBA">
            <w:pPr>
              <w:widowControl/>
              <w:jc w:val="center"/>
              <w:rPr>
                <w:rFonts w:hint="default" w:ascii="Arial" w:hAnsi="Arial" w:eastAsia="宋体" w:cs="Arial"/>
                <w:color w:val="auto"/>
                <w:lang w:val="en-US" w:eastAsia="zh-CN"/>
              </w:rPr>
            </w:pPr>
            <w:r>
              <w:rPr>
                <w:rFonts w:hint="default" w:ascii="Arial" w:hAnsi="Arial" w:eastAsia="宋体" w:cs="Arial"/>
                <w:color w:val="auto"/>
                <w:lang w:val="en-US" w:eastAsia="zh-CN"/>
              </w:rPr>
              <w:t>0（4）</w:t>
            </w:r>
          </w:p>
        </w:tc>
        <w:tc>
          <w:tcPr>
            <w:tcW w:w="1533" w:type="dxa"/>
            <w:vAlign w:val="center"/>
          </w:tcPr>
          <w:p w14:paraId="10DF47DE">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p>
        </w:tc>
        <w:tc>
          <w:tcPr>
            <w:tcW w:w="1529" w:type="dxa"/>
            <w:vAlign w:val="center"/>
          </w:tcPr>
          <w:p w14:paraId="62FB6189">
            <w:pPr>
              <w:widowControl/>
              <w:jc w:val="center"/>
              <w:rPr>
                <w:rFonts w:hint="default" w:ascii="Arial" w:hAnsi="Arial" w:eastAsia="宋体" w:cs="Arial"/>
                <w:lang w:val="en-US" w:eastAsia="zh-CN"/>
              </w:rPr>
            </w:pPr>
            <w:r>
              <w:rPr>
                <w:rFonts w:hint="default" w:ascii="Arial" w:hAnsi="Arial" w:eastAsia="宋体" w:cs="Arial"/>
                <w:lang w:val="en-US" w:eastAsia="zh-CN"/>
              </w:rPr>
              <w:t>0（4）</w:t>
            </w:r>
          </w:p>
        </w:tc>
        <w:tc>
          <w:tcPr>
            <w:tcW w:w="1484" w:type="dxa"/>
            <w:vAlign w:val="center"/>
          </w:tcPr>
          <w:p w14:paraId="60409C1A">
            <w:pPr>
              <w:widowControl/>
              <w:jc w:val="center"/>
              <w:rPr>
                <w:rFonts w:hint="default" w:ascii="Arial" w:hAnsi="Arial" w:eastAsia="宋体" w:cs="Arial"/>
                <w:lang w:val="en-US" w:eastAsia="zh-CN"/>
              </w:rPr>
            </w:pPr>
            <w:r>
              <w:rPr>
                <w:rFonts w:hint="default" w:ascii="Arial" w:hAnsi="Arial" w:eastAsia="宋体" w:cs="Arial"/>
                <w:lang w:val="en-US" w:eastAsia="zh-CN"/>
              </w:rPr>
              <w:t>0（+2.5）</w:t>
            </w:r>
          </w:p>
        </w:tc>
      </w:tr>
      <w:tr w14:paraId="1E643D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556BC0EE">
            <w:pPr>
              <w:pStyle w:val="88"/>
              <w:spacing w:before="34" w:after="34" w:line="240" w:lineRule="auto"/>
              <w:rPr>
                <w:rFonts w:hint="default" w:ascii="Arial" w:hAnsi="Arial" w:eastAsia="宋体" w:cs="Arial"/>
                <w:snapToGrid w:val="0"/>
                <w:kern w:val="21"/>
                <w:szCs w:val="21"/>
              </w:rPr>
            </w:pPr>
          </w:p>
        </w:tc>
        <w:tc>
          <w:tcPr>
            <w:tcW w:w="1701" w:type="dxa"/>
            <w:vAlign w:val="center"/>
          </w:tcPr>
          <w:p w14:paraId="21EE3D20">
            <w:pPr>
              <w:pStyle w:val="88"/>
              <w:spacing w:beforeLines="0" w:afterLines="0" w:line="240" w:lineRule="auto"/>
              <w:rPr>
                <w:rFonts w:hint="default" w:ascii="Arial" w:hAnsi="Arial" w:eastAsia="宋体" w:cs="Arial"/>
                <w:color w:val="auto"/>
                <w:szCs w:val="21"/>
              </w:rPr>
            </w:pPr>
            <w:r>
              <w:rPr>
                <w:rFonts w:hint="default" w:ascii="Arial" w:hAnsi="Arial" w:eastAsia="宋体" w:cs="Arial"/>
                <w:color w:val="auto"/>
                <w:kern w:val="2"/>
                <w:sz w:val="21"/>
                <w:szCs w:val="21"/>
                <w:lang w:val="en-US" w:eastAsia="zh-CN" w:bidi="ar-SA"/>
              </w:rPr>
              <w:t>废金属边角料</w:t>
            </w:r>
          </w:p>
        </w:tc>
        <w:tc>
          <w:tcPr>
            <w:tcW w:w="1530" w:type="dxa"/>
            <w:vAlign w:val="center"/>
          </w:tcPr>
          <w:p w14:paraId="4B8939CD">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0（35）</w:t>
            </w:r>
          </w:p>
        </w:tc>
        <w:tc>
          <w:tcPr>
            <w:tcW w:w="1276" w:type="dxa"/>
            <w:vAlign w:val="center"/>
          </w:tcPr>
          <w:p w14:paraId="2179B0E1">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0（35）</w:t>
            </w:r>
          </w:p>
        </w:tc>
        <w:tc>
          <w:tcPr>
            <w:tcW w:w="1701" w:type="dxa"/>
            <w:vAlign w:val="center"/>
          </w:tcPr>
          <w:p w14:paraId="5B508AE4">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59" w:type="dxa"/>
            <w:vAlign w:val="center"/>
          </w:tcPr>
          <w:p w14:paraId="0FDE97AD">
            <w:pPr>
              <w:widowControl/>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0（2500）</w:t>
            </w:r>
          </w:p>
        </w:tc>
        <w:tc>
          <w:tcPr>
            <w:tcW w:w="1533" w:type="dxa"/>
            <w:vAlign w:val="center"/>
          </w:tcPr>
          <w:p w14:paraId="3D208A5E">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29" w:type="dxa"/>
            <w:vAlign w:val="center"/>
          </w:tcPr>
          <w:p w14:paraId="5F6E2714">
            <w:pPr>
              <w:widowControl/>
              <w:jc w:val="center"/>
              <w:rPr>
                <w:rFonts w:hint="default" w:ascii="Arial" w:hAnsi="Arial" w:eastAsia="宋体" w:cs="Arial"/>
                <w:szCs w:val="21"/>
              </w:rPr>
            </w:pPr>
            <w:r>
              <w:rPr>
                <w:rFonts w:hint="default" w:ascii="Arial" w:hAnsi="Arial" w:eastAsia="宋体" w:cs="Arial"/>
                <w:szCs w:val="21"/>
                <w:lang w:val="en-US" w:eastAsia="zh-CN"/>
              </w:rPr>
              <w:t>0（2500）</w:t>
            </w:r>
          </w:p>
        </w:tc>
        <w:tc>
          <w:tcPr>
            <w:tcW w:w="1484" w:type="dxa"/>
            <w:vAlign w:val="center"/>
          </w:tcPr>
          <w:p w14:paraId="2F583A9D">
            <w:pPr>
              <w:widowControl/>
              <w:jc w:val="center"/>
              <w:rPr>
                <w:rFonts w:hint="default" w:ascii="Arial" w:hAnsi="Arial" w:eastAsia="宋体" w:cs="Arial"/>
                <w:szCs w:val="21"/>
              </w:rPr>
            </w:pPr>
            <w:r>
              <w:rPr>
                <w:rFonts w:hint="default" w:ascii="Arial" w:hAnsi="Arial" w:eastAsia="宋体" w:cs="Arial"/>
                <w:lang w:val="en-US" w:eastAsia="zh-CN"/>
              </w:rPr>
              <w:t>0（+2465）</w:t>
            </w:r>
          </w:p>
        </w:tc>
      </w:tr>
      <w:tr w14:paraId="4B7EE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0D45750B">
            <w:pPr>
              <w:pStyle w:val="88"/>
              <w:spacing w:before="34" w:after="34" w:line="240" w:lineRule="auto"/>
              <w:rPr>
                <w:rFonts w:hint="default" w:ascii="Arial" w:hAnsi="Arial" w:eastAsia="宋体" w:cs="Arial"/>
                <w:snapToGrid w:val="0"/>
                <w:kern w:val="21"/>
                <w:szCs w:val="21"/>
              </w:rPr>
            </w:pPr>
          </w:p>
        </w:tc>
        <w:tc>
          <w:tcPr>
            <w:tcW w:w="1701" w:type="dxa"/>
            <w:vAlign w:val="center"/>
          </w:tcPr>
          <w:p w14:paraId="35FCE7E4">
            <w:pPr>
              <w:pStyle w:val="88"/>
              <w:spacing w:beforeLines="0" w:afterLines="0" w:line="240" w:lineRule="auto"/>
              <w:rPr>
                <w:rFonts w:hint="default" w:ascii="Arial" w:hAnsi="Arial" w:eastAsia="宋体" w:cs="Arial"/>
                <w:color w:val="auto"/>
                <w:kern w:val="2"/>
                <w:sz w:val="21"/>
                <w:szCs w:val="21"/>
                <w:lang w:val="en-US" w:eastAsia="zh-CN" w:bidi="ar-SA"/>
              </w:rPr>
            </w:pPr>
            <w:r>
              <w:rPr>
                <w:rFonts w:hint="default" w:ascii="Arial" w:hAnsi="Arial" w:eastAsia="宋体" w:cs="Arial"/>
                <w:color w:val="auto"/>
                <w:kern w:val="2"/>
                <w:sz w:val="21"/>
                <w:szCs w:val="21"/>
                <w:lang w:val="en-US" w:eastAsia="zh-CN" w:bidi="ar-SA"/>
              </w:rPr>
              <w:t>不合格品</w:t>
            </w:r>
          </w:p>
        </w:tc>
        <w:tc>
          <w:tcPr>
            <w:tcW w:w="1530" w:type="dxa"/>
            <w:vAlign w:val="center"/>
          </w:tcPr>
          <w:p w14:paraId="61D4DC9F">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0（0）</w:t>
            </w:r>
          </w:p>
        </w:tc>
        <w:tc>
          <w:tcPr>
            <w:tcW w:w="1276" w:type="dxa"/>
            <w:vAlign w:val="center"/>
          </w:tcPr>
          <w:p w14:paraId="20AA2817">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0（0）</w:t>
            </w:r>
          </w:p>
        </w:tc>
        <w:tc>
          <w:tcPr>
            <w:tcW w:w="1701" w:type="dxa"/>
            <w:vAlign w:val="center"/>
          </w:tcPr>
          <w:p w14:paraId="24513F2F">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59" w:type="dxa"/>
            <w:vAlign w:val="center"/>
          </w:tcPr>
          <w:p w14:paraId="7A851DBD">
            <w:pPr>
              <w:widowControl/>
              <w:jc w:val="center"/>
              <w:rPr>
                <w:rFonts w:hint="default" w:ascii="Arial" w:hAnsi="Arial" w:eastAsia="宋体" w:cs="Arial"/>
                <w:color w:val="auto"/>
                <w:szCs w:val="21"/>
                <w:lang w:val="en-US" w:eastAsia="zh-CN"/>
              </w:rPr>
            </w:pPr>
            <w:r>
              <w:rPr>
                <w:rFonts w:hint="default" w:ascii="Arial" w:hAnsi="Arial" w:eastAsia="宋体" w:cs="Arial"/>
                <w:snapToGrid w:val="0"/>
                <w:color w:val="auto"/>
                <w:kern w:val="21"/>
                <w:szCs w:val="21"/>
                <w:lang w:val="en-US" w:eastAsia="zh-CN"/>
              </w:rPr>
              <w:t>0（10）</w:t>
            </w:r>
          </w:p>
        </w:tc>
        <w:tc>
          <w:tcPr>
            <w:tcW w:w="1533" w:type="dxa"/>
            <w:vAlign w:val="center"/>
          </w:tcPr>
          <w:p w14:paraId="5F8AFCC4">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29" w:type="dxa"/>
            <w:vAlign w:val="center"/>
          </w:tcPr>
          <w:p w14:paraId="18E810E1">
            <w:pPr>
              <w:widowControl/>
              <w:jc w:val="center"/>
              <w:rPr>
                <w:rFonts w:hint="default" w:ascii="Arial" w:hAnsi="Arial" w:eastAsia="宋体" w:cs="Arial"/>
                <w:szCs w:val="21"/>
                <w:lang w:val="en-US" w:eastAsia="zh-CN"/>
              </w:rPr>
            </w:pPr>
            <w:r>
              <w:rPr>
                <w:rFonts w:hint="default" w:ascii="Arial" w:hAnsi="Arial" w:eastAsia="宋体" w:cs="Arial"/>
                <w:snapToGrid w:val="0"/>
                <w:color w:val="auto"/>
                <w:kern w:val="21"/>
                <w:szCs w:val="21"/>
                <w:lang w:val="en-US" w:eastAsia="zh-CN"/>
              </w:rPr>
              <w:t>0（10）</w:t>
            </w:r>
          </w:p>
        </w:tc>
        <w:tc>
          <w:tcPr>
            <w:tcW w:w="1484" w:type="dxa"/>
            <w:vAlign w:val="center"/>
          </w:tcPr>
          <w:p w14:paraId="6794693C">
            <w:pPr>
              <w:widowControl/>
              <w:jc w:val="center"/>
              <w:rPr>
                <w:rFonts w:hint="default" w:ascii="Arial" w:hAnsi="Arial" w:eastAsia="宋体" w:cs="Arial"/>
                <w:lang w:val="en-US" w:eastAsia="zh-CN"/>
              </w:rPr>
            </w:pPr>
            <w:r>
              <w:rPr>
                <w:rFonts w:hint="default" w:ascii="Arial" w:hAnsi="Arial" w:eastAsia="宋体" w:cs="Arial"/>
                <w:snapToGrid w:val="0"/>
                <w:color w:val="auto"/>
                <w:kern w:val="21"/>
                <w:szCs w:val="21"/>
                <w:lang w:val="en-US" w:eastAsia="zh-CN"/>
              </w:rPr>
              <w:t>0（+10）</w:t>
            </w:r>
          </w:p>
        </w:tc>
      </w:tr>
      <w:tr w14:paraId="4394A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183B8886">
            <w:pPr>
              <w:pStyle w:val="88"/>
              <w:spacing w:beforeLines="0" w:afterLines="0" w:line="240" w:lineRule="auto"/>
              <w:rPr>
                <w:rFonts w:hint="default" w:ascii="Arial" w:hAnsi="Arial" w:eastAsia="宋体" w:cs="Arial"/>
                <w:snapToGrid w:val="0"/>
                <w:kern w:val="21"/>
                <w:szCs w:val="21"/>
              </w:rPr>
            </w:pPr>
          </w:p>
        </w:tc>
        <w:tc>
          <w:tcPr>
            <w:tcW w:w="1701" w:type="dxa"/>
            <w:vAlign w:val="center"/>
          </w:tcPr>
          <w:p w14:paraId="543B4DDF">
            <w:pPr>
              <w:jc w:val="center"/>
              <w:rPr>
                <w:rFonts w:hint="default" w:ascii="Arial" w:hAnsi="Arial" w:eastAsia="宋体" w:cs="Arial"/>
                <w:szCs w:val="21"/>
              </w:rPr>
            </w:pPr>
            <w:r>
              <w:rPr>
                <w:rFonts w:hint="default" w:ascii="Arial" w:hAnsi="Arial" w:eastAsia="宋体" w:cs="Arial"/>
                <w:bCs/>
                <w:szCs w:val="21"/>
              </w:rPr>
              <w:t>生活垃圾</w:t>
            </w:r>
          </w:p>
        </w:tc>
        <w:tc>
          <w:tcPr>
            <w:tcW w:w="1530" w:type="dxa"/>
            <w:vAlign w:val="center"/>
          </w:tcPr>
          <w:p w14:paraId="1A9B2411">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0（63）</w:t>
            </w:r>
          </w:p>
        </w:tc>
        <w:tc>
          <w:tcPr>
            <w:tcW w:w="1276" w:type="dxa"/>
            <w:vAlign w:val="center"/>
          </w:tcPr>
          <w:p w14:paraId="425DAEF6">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0（63）</w:t>
            </w:r>
          </w:p>
        </w:tc>
        <w:tc>
          <w:tcPr>
            <w:tcW w:w="1701" w:type="dxa"/>
            <w:vAlign w:val="center"/>
          </w:tcPr>
          <w:p w14:paraId="3C678986">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p>
        </w:tc>
        <w:tc>
          <w:tcPr>
            <w:tcW w:w="1559" w:type="dxa"/>
            <w:vAlign w:val="center"/>
          </w:tcPr>
          <w:p w14:paraId="70453870">
            <w:pPr>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0</w:t>
            </w:r>
          </w:p>
        </w:tc>
        <w:tc>
          <w:tcPr>
            <w:tcW w:w="1533" w:type="dxa"/>
            <w:vAlign w:val="center"/>
          </w:tcPr>
          <w:p w14:paraId="2010680D">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p>
        </w:tc>
        <w:tc>
          <w:tcPr>
            <w:tcW w:w="1529" w:type="dxa"/>
            <w:vAlign w:val="center"/>
          </w:tcPr>
          <w:p w14:paraId="183F0DDE">
            <w:pPr>
              <w:jc w:val="center"/>
              <w:rPr>
                <w:rFonts w:hint="default" w:ascii="Arial" w:hAnsi="Arial" w:eastAsia="宋体" w:cs="Arial"/>
                <w:color w:val="auto"/>
                <w:szCs w:val="21"/>
                <w:lang w:val="en-US" w:eastAsia="zh-CN"/>
              </w:rPr>
            </w:pPr>
            <w:r>
              <w:rPr>
                <w:rFonts w:hint="default" w:ascii="Arial" w:hAnsi="Arial" w:eastAsia="宋体" w:cs="Arial"/>
                <w:snapToGrid w:val="0"/>
                <w:color w:val="auto"/>
                <w:kern w:val="21"/>
                <w:szCs w:val="21"/>
                <w:lang w:val="en-US" w:eastAsia="zh-CN"/>
              </w:rPr>
              <w:t>0（</w:t>
            </w:r>
            <w:r>
              <w:rPr>
                <w:rFonts w:hint="default" w:ascii="Arial" w:hAnsi="Arial" w:eastAsia="宋体" w:cs="Arial"/>
                <w:color w:val="auto"/>
                <w:szCs w:val="21"/>
                <w:lang w:val="en-US" w:eastAsia="zh-CN"/>
              </w:rPr>
              <w:t>63</w:t>
            </w:r>
            <w:r>
              <w:rPr>
                <w:rFonts w:hint="default" w:ascii="Arial" w:hAnsi="Arial" w:eastAsia="宋体" w:cs="Arial"/>
                <w:snapToGrid w:val="0"/>
                <w:color w:val="auto"/>
                <w:kern w:val="21"/>
                <w:szCs w:val="21"/>
                <w:lang w:val="en-US" w:eastAsia="zh-CN"/>
              </w:rPr>
              <w:t>）</w:t>
            </w:r>
          </w:p>
        </w:tc>
        <w:tc>
          <w:tcPr>
            <w:tcW w:w="1484" w:type="dxa"/>
            <w:vAlign w:val="center"/>
          </w:tcPr>
          <w:p w14:paraId="5D45B6C7">
            <w:pPr>
              <w:jc w:val="center"/>
              <w:rPr>
                <w:rFonts w:hint="default" w:ascii="Arial" w:hAnsi="Arial" w:eastAsia="宋体" w:cs="Arial"/>
                <w:szCs w:val="21"/>
                <w:lang w:val="en-US" w:eastAsia="zh-CN"/>
              </w:rPr>
            </w:pPr>
            <w:r>
              <w:rPr>
                <w:rFonts w:hint="default" w:ascii="Arial" w:hAnsi="Arial" w:eastAsia="宋体" w:cs="Arial"/>
                <w:szCs w:val="21"/>
                <w:lang w:val="en-US" w:eastAsia="zh-CN"/>
              </w:rPr>
              <w:t>0</w:t>
            </w:r>
          </w:p>
        </w:tc>
      </w:tr>
      <w:tr w14:paraId="487814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restart"/>
            <w:vAlign w:val="center"/>
          </w:tcPr>
          <w:p w14:paraId="5647C6EA">
            <w:pPr>
              <w:pStyle w:val="88"/>
              <w:spacing w:before="34" w:after="34" w:line="240" w:lineRule="auto"/>
              <w:rPr>
                <w:rFonts w:hint="default" w:ascii="Arial" w:hAnsi="Arial" w:eastAsia="宋体" w:cs="Arial"/>
                <w:snapToGrid w:val="0"/>
                <w:kern w:val="21"/>
                <w:szCs w:val="21"/>
              </w:rPr>
            </w:pPr>
            <w:r>
              <w:rPr>
                <w:rFonts w:hint="default" w:ascii="Arial" w:hAnsi="Arial" w:eastAsia="宋体" w:cs="Arial"/>
                <w:snapToGrid w:val="0"/>
                <w:kern w:val="21"/>
                <w:szCs w:val="21"/>
              </w:rPr>
              <w:t>危险废物</w:t>
            </w:r>
          </w:p>
        </w:tc>
        <w:tc>
          <w:tcPr>
            <w:tcW w:w="1701" w:type="dxa"/>
            <w:shd w:val="clear" w:color="auto" w:fill="auto"/>
            <w:vAlign w:val="center"/>
          </w:tcPr>
          <w:p w14:paraId="0EE13A5D">
            <w:pPr>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废含油金属屑</w:t>
            </w:r>
          </w:p>
        </w:tc>
        <w:tc>
          <w:tcPr>
            <w:tcW w:w="1530" w:type="dxa"/>
            <w:shd w:val="clear" w:color="auto" w:fill="auto"/>
            <w:vAlign w:val="center"/>
          </w:tcPr>
          <w:p w14:paraId="44F8549C">
            <w:pPr>
              <w:pStyle w:val="88"/>
              <w:spacing w:beforeLines="0" w:afterLines="0" w:line="240" w:lineRule="auto"/>
              <w:rPr>
                <w:rFonts w:hint="eastAsia" w:ascii="Arial" w:hAnsi="Arial" w:eastAsia="宋体" w:cs="Arial"/>
                <w:snapToGrid w:val="0"/>
                <w:kern w:val="21"/>
                <w:sz w:val="21"/>
                <w:szCs w:val="21"/>
                <w:lang w:val="en-US" w:eastAsia="zh-CN" w:bidi="ar-SA"/>
              </w:rPr>
            </w:pPr>
            <w:r>
              <w:rPr>
                <w:rFonts w:hint="default" w:ascii="Arial" w:hAnsi="Arial" w:eastAsia="宋体" w:cs="Arial"/>
                <w:snapToGrid w:val="0"/>
                <w:kern w:val="21"/>
                <w:szCs w:val="21"/>
              </w:rPr>
              <w:t>0</w:t>
            </w:r>
            <w:r>
              <w:rPr>
                <w:rFonts w:hint="eastAsia" w:ascii="Arial" w:hAnsi="Arial" w:eastAsia="宋体" w:cs="Arial"/>
                <w:snapToGrid w:val="0"/>
                <w:kern w:val="21"/>
                <w:szCs w:val="21"/>
                <w:lang w:eastAsia="zh-CN"/>
              </w:rPr>
              <w:t>（</w:t>
            </w:r>
            <w:r>
              <w:rPr>
                <w:rFonts w:hint="eastAsia" w:ascii="Arial" w:hAnsi="Arial" w:eastAsia="宋体" w:cs="Arial"/>
                <w:snapToGrid w:val="0"/>
                <w:kern w:val="21"/>
                <w:szCs w:val="21"/>
                <w:lang w:val="en-US" w:eastAsia="zh-CN"/>
              </w:rPr>
              <w:t>5</w:t>
            </w:r>
            <w:r>
              <w:rPr>
                <w:rFonts w:hint="eastAsia" w:ascii="Arial" w:hAnsi="Arial" w:eastAsia="宋体" w:cs="Arial"/>
                <w:snapToGrid w:val="0"/>
                <w:kern w:val="21"/>
                <w:szCs w:val="21"/>
                <w:lang w:eastAsia="zh-CN"/>
              </w:rPr>
              <w:t>）</w:t>
            </w:r>
          </w:p>
        </w:tc>
        <w:tc>
          <w:tcPr>
            <w:tcW w:w="1276" w:type="dxa"/>
            <w:shd w:val="clear" w:color="auto" w:fill="auto"/>
            <w:vAlign w:val="center"/>
          </w:tcPr>
          <w:p w14:paraId="1DD4C748">
            <w:pPr>
              <w:pStyle w:val="88"/>
              <w:spacing w:beforeLines="0" w:afterLines="0" w:line="240" w:lineRule="auto"/>
              <w:rPr>
                <w:rFonts w:hint="default" w:ascii="Arial" w:hAnsi="Arial" w:eastAsia="宋体" w:cs="Arial"/>
                <w:snapToGrid w:val="0"/>
                <w:kern w:val="21"/>
                <w:sz w:val="21"/>
                <w:szCs w:val="21"/>
                <w:lang w:val="en-US" w:eastAsia="zh-CN" w:bidi="ar-SA"/>
              </w:rPr>
            </w:pPr>
            <w:r>
              <w:rPr>
                <w:rFonts w:hint="default" w:ascii="Arial" w:hAnsi="Arial" w:eastAsia="宋体" w:cs="Arial"/>
                <w:snapToGrid w:val="0"/>
                <w:kern w:val="21"/>
                <w:szCs w:val="21"/>
              </w:rPr>
              <w:t>0</w:t>
            </w:r>
          </w:p>
        </w:tc>
        <w:tc>
          <w:tcPr>
            <w:tcW w:w="1701" w:type="dxa"/>
            <w:shd w:val="clear" w:color="auto" w:fill="auto"/>
            <w:vAlign w:val="center"/>
          </w:tcPr>
          <w:p w14:paraId="084A1F64">
            <w:pPr>
              <w:pStyle w:val="88"/>
              <w:spacing w:beforeLines="0" w:afterLines="0" w:line="240" w:lineRule="auto"/>
              <w:rPr>
                <w:rFonts w:hint="default" w:ascii="Arial" w:hAnsi="Arial" w:eastAsia="宋体" w:cs="Arial"/>
                <w:snapToGrid w:val="0"/>
                <w:color w:val="auto"/>
                <w:kern w:val="21"/>
                <w:sz w:val="21"/>
                <w:szCs w:val="21"/>
                <w:lang w:val="en-US" w:eastAsia="zh-CN" w:bidi="ar-SA"/>
              </w:rPr>
            </w:pPr>
            <w:r>
              <w:rPr>
                <w:rFonts w:hint="default" w:ascii="Arial" w:hAnsi="Arial" w:eastAsia="宋体" w:cs="Arial"/>
                <w:snapToGrid w:val="0"/>
                <w:color w:val="auto"/>
                <w:kern w:val="21"/>
                <w:szCs w:val="21"/>
              </w:rPr>
              <w:t>0</w:t>
            </w:r>
          </w:p>
        </w:tc>
        <w:tc>
          <w:tcPr>
            <w:tcW w:w="1559" w:type="dxa"/>
            <w:shd w:val="clear" w:color="auto" w:fill="auto"/>
            <w:vAlign w:val="center"/>
          </w:tcPr>
          <w:p w14:paraId="49E3C21B">
            <w:pPr>
              <w:autoSpaceDE w:val="0"/>
              <w:autoSpaceDN w:val="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0（5</w:t>
            </w:r>
            <w:r>
              <w:rPr>
                <w:rFonts w:hint="default" w:ascii="Arial" w:hAnsi="Arial" w:eastAsia="宋体" w:cs="Arial"/>
                <w:color w:val="auto"/>
                <w:szCs w:val="21"/>
                <w:lang w:eastAsia="zh-CN"/>
              </w:rPr>
              <w:t>）</w:t>
            </w:r>
          </w:p>
        </w:tc>
        <w:tc>
          <w:tcPr>
            <w:tcW w:w="1533" w:type="dxa"/>
            <w:shd w:val="clear" w:color="auto" w:fill="auto"/>
            <w:vAlign w:val="center"/>
          </w:tcPr>
          <w:p w14:paraId="29DA0735">
            <w:pPr>
              <w:pStyle w:val="88"/>
              <w:spacing w:beforeLines="0" w:afterLines="0" w:line="240" w:lineRule="auto"/>
              <w:rPr>
                <w:rFonts w:hint="default" w:ascii="Arial" w:hAnsi="Arial" w:eastAsia="宋体" w:cs="Arial"/>
                <w:snapToGrid w:val="0"/>
                <w:color w:val="auto"/>
                <w:kern w:val="21"/>
                <w:sz w:val="21"/>
                <w:szCs w:val="21"/>
                <w:lang w:val="en-US" w:eastAsia="zh-CN" w:bidi="ar-SA"/>
              </w:rPr>
            </w:pPr>
            <w:r>
              <w:rPr>
                <w:rFonts w:hint="default" w:ascii="Arial" w:hAnsi="Arial" w:eastAsia="宋体" w:cs="Arial"/>
                <w:snapToGrid w:val="0"/>
                <w:color w:val="auto"/>
                <w:kern w:val="21"/>
                <w:szCs w:val="21"/>
              </w:rPr>
              <w:t>0</w:t>
            </w:r>
          </w:p>
        </w:tc>
        <w:tc>
          <w:tcPr>
            <w:tcW w:w="1529" w:type="dxa"/>
            <w:shd w:val="clear" w:color="auto" w:fill="auto"/>
            <w:vAlign w:val="center"/>
          </w:tcPr>
          <w:p w14:paraId="2AFF1E35">
            <w:pPr>
              <w:autoSpaceDE w:val="0"/>
              <w:autoSpaceDN w:val="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lang w:val="en-US" w:eastAsia="zh-CN"/>
              </w:rPr>
              <w:t>0（5</w:t>
            </w:r>
            <w:r>
              <w:rPr>
                <w:rFonts w:hint="default" w:ascii="Arial" w:hAnsi="Arial" w:eastAsia="宋体" w:cs="Arial"/>
                <w:color w:val="auto"/>
                <w:szCs w:val="21"/>
                <w:lang w:eastAsia="zh-CN"/>
              </w:rPr>
              <w:t>）</w:t>
            </w:r>
          </w:p>
        </w:tc>
        <w:tc>
          <w:tcPr>
            <w:tcW w:w="1484" w:type="dxa"/>
            <w:shd w:val="clear" w:color="auto" w:fill="auto"/>
            <w:vAlign w:val="center"/>
          </w:tcPr>
          <w:p w14:paraId="210FB72A">
            <w:pPr>
              <w:jc w:val="center"/>
              <w:rPr>
                <w:rFonts w:hint="default" w:ascii="Arial" w:hAnsi="Arial" w:eastAsia="宋体" w:cs="Arial"/>
                <w:kern w:val="2"/>
                <w:sz w:val="21"/>
                <w:szCs w:val="21"/>
                <w:lang w:val="en-US" w:eastAsia="zh-CN" w:bidi="ar-SA"/>
              </w:rPr>
            </w:pPr>
            <w:r>
              <w:rPr>
                <w:rFonts w:hint="default" w:ascii="Arial" w:hAnsi="Arial" w:eastAsia="宋体" w:cs="Arial"/>
                <w:szCs w:val="21"/>
              </w:rPr>
              <w:t>0</w:t>
            </w:r>
            <w:r>
              <w:rPr>
                <w:rFonts w:hint="default" w:ascii="Arial" w:hAnsi="Arial" w:eastAsia="宋体" w:cs="Arial"/>
                <w:szCs w:val="21"/>
                <w:lang w:eastAsia="zh-CN"/>
              </w:rPr>
              <w:t>（</w:t>
            </w:r>
            <w:r>
              <w:rPr>
                <w:rFonts w:hint="default" w:ascii="Arial" w:hAnsi="Arial" w:eastAsia="宋体" w:cs="Arial"/>
                <w:szCs w:val="21"/>
                <w:lang w:val="en-US" w:eastAsia="zh-CN"/>
              </w:rPr>
              <w:t>+5</w:t>
            </w:r>
            <w:r>
              <w:rPr>
                <w:rFonts w:hint="default" w:ascii="Arial" w:hAnsi="Arial" w:eastAsia="宋体" w:cs="Arial"/>
                <w:szCs w:val="21"/>
                <w:lang w:eastAsia="zh-CN"/>
              </w:rPr>
              <w:t>）</w:t>
            </w:r>
          </w:p>
        </w:tc>
      </w:tr>
      <w:tr w14:paraId="369D7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458FF2BD">
            <w:pPr>
              <w:pStyle w:val="88"/>
              <w:spacing w:beforeLines="0" w:afterLines="0" w:line="240" w:lineRule="auto"/>
              <w:rPr>
                <w:rFonts w:hint="default" w:ascii="Arial" w:hAnsi="Arial" w:eastAsia="宋体" w:cs="Arial"/>
                <w:snapToGrid w:val="0"/>
                <w:kern w:val="21"/>
                <w:szCs w:val="21"/>
              </w:rPr>
            </w:pPr>
          </w:p>
        </w:tc>
        <w:tc>
          <w:tcPr>
            <w:tcW w:w="1701" w:type="dxa"/>
            <w:shd w:val="clear" w:color="auto" w:fill="auto"/>
            <w:vAlign w:val="center"/>
          </w:tcPr>
          <w:p w14:paraId="79886C52">
            <w:pPr>
              <w:jc w:val="center"/>
              <w:rPr>
                <w:rFonts w:hint="default" w:ascii="Arial" w:hAnsi="Arial" w:eastAsia="宋体" w:cs="Arial"/>
                <w:kern w:val="2"/>
                <w:sz w:val="21"/>
                <w:szCs w:val="21"/>
                <w:lang w:val="en-US" w:eastAsia="zh-CN" w:bidi="ar-SA"/>
              </w:rPr>
            </w:pPr>
            <w:r>
              <w:rPr>
                <w:rFonts w:hint="default" w:ascii="Arial" w:hAnsi="Arial" w:eastAsia="宋体" w:cs="Arial"/>
                <w:bCs/>
                <w:kern w:val="2"/>
                <w:sz w:val="21"/>
                <w:szCs w:val="21"/>
                <w:lang w:val="en-US" w:eastAsia="zh-CN" w:bidi="ar-SA"/>
              </w:rPr>
              <w:t>磨搓泥</w:t>
            </w:r>
          </w:p>
        </w:tc>
        <w:tc>
          <w:tcPr>
            <w:tcW w:w="1530" w:type="dxa"/>
            <w:shd w:val="clear" w:color="auto" w:fill="auto"/>
            <w:vAlign w:val="center"/>
          </w:tcPr>
          <w:p w14:paraId="3548E73D">
            <w:pPr>
              <w:pStyle w:val="88"/>
              <w:spacing w:beforeLines="0" w:afterLines="0" w:line="240" w:lineRule="auto"/>
              <w:rPr>
                <w:rFonts w:hint="default" w:ascii="Arial" w:hAnsi="Arial" w:eastAsia="宋体" w:cs="Arial"/>
                <w:snapToGrid w:val="0"/>
                <w:kern w:val="21"/>
                <w:sz w:val="21"/>
                <w:szCs w:val="21"/>
                <w:lang w:val="en-US" w:eastAsia="zh-CN" w:bidi="ar-SA"/>
              </w:rPr>
            </w:pPr>
            <w:r>
              <w:rPr>
                <w:rFonts w:hint="default" w:ascii="Arial" w:hAnsi="Arial" w:eastAsia="宋体" w:cs="Arial"/>
                <w:snapToGrid w:val="0"/>
                <w:kern w:val="21"/>
                <w:szCs w:val="21"/>
              </w:rPr>
              <w:t>0</w:t>
            </w:r>
          </w:p>
        </w:tc>
        <w:tc>
          <w:tcPr>
            <w:tcW w:w="1276" w:type="dxa"/>
            <w:shd w:val="clear" w:color="auto" w:fill="auto"/>
            <w:vAlign w:val="center"/>
          </w:tcPr>
          <w:p w14:paraId="485B7E3F">
            <w:pPr>
              <w:pStyle w:val="88"/>
              <w:spacing w:beforeLines="0" w:afterLines="0" w:line="240" w:lineRule="auto"/>
              <w:rPr>
                <w:rFonts w:hint="default" w:ascii="Arial" w:hAnsi="Arial" w:eastAsia="宋体" w:cs="Arial"/>
                <w:snapToGrid w:val="0"/>
                <w:kern w:val="21"/>
                <w:sz w:val="21"/>
                <w:szCs w:val="21"/>
                <w:lang w:val="en-US" w:eastAsia="zh-CN" w:bidi="ar-SA"/>
              </w:rPr>
            </w:pPr>
            <w:r>
              <w:rPr>
                <w:rFonts w:hint="default" w:ascii="Arial" w:hAnsi="Arial" w:eastAsia="宋体" w:cs="Arial"/>
                <w:snapToGrid w:val="0"/>
                <w:kern w:val="21"/>
                <w:szCs w:val="21"/>
              </w:rPr>
              <w:t>0</w:t>
            </w:r>
          </w:p>
        </w:tc>
        <w:tc>
          <w:tcPr>
            <w:tcW w:w="1701" w:type="dxa"/>
            <w:shd w:val="clear" w:color="auto" w:fill="auto"/>
            <w:vAlign w:val="center"/>
          </w:tcPr>
          <w:p w14:paraId="637574A5">
            <w:pPr>
              <w:pStyle w:val="88"/>
              <w:spacing w:beforeLines="0" w:afterLines="0" w:line="240" w:lineRule="auto"/>
              <w:rPr>
                <w:rFonts w:hint="default" w:ascii="Arial" w:hAnsi="Arial" w:eastAsia="宋体" w:cs="Arial"/>
                <w:snapToGrid w:val="0"/>
                <w:color w:val="auto"/>
                <w:kern w:val="21"/>
                <w:sz w:val="21"/>
                <w:szCs w:val="21"/>
                <w:lang w:val="en-US" w:eastAsia="zh-CN" w:bidi="ar-SA"/>
              </w:rPr>
            </w:pPr>
            <w:r>
              <w:rPr>
                <w:rFonts w:hint="default" w:ascii="Arial" w:hAnsi="Arial" w:eastAsia="宋体" w:cs="Arial"/>
                <w:snapToGrid w:val="0"/>
                <w:color w:val="auto"/>
                <w:kern w:val="21"/>
                <w:szCs w:val="21"/>
              </w:rPr>
              <w:t>0</w:t>
            </w:r>
          </w:p>
        </w:tc>
        <w:tc>
          <w:tcPr>
            <w:tcW w:w="1559" w:type="dxa"/>
            <w:shd w:val="clear" w:color="auto" w:fill="auto"/>
            <w:vAlign w:val="center"/>
          </w:tcPr>
          <w:p w14:paraId="765F67E7">
            <w:pPr>
              <w:autoSpaceDE w:val="0"/>
              <w:autoSpaceDN w:val="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rPr>
              <w:t>0</w:t>
            </w:r>
            <w:r>
              <w:rPr>
                <w:rFonts w:hint="default" w:ascii="Arial" w:hAnsi="Arial" w:eastAsia="宋体" w:cs="Arial"/>
                <w:color w:val="auto"/>
                <w:szCs w:val="21"/>
                <w:lang w:val="en-US" w:eastAsia="zh-CN"/>
              </w:rPr>
              <w:t>（12</w:t>
            </w:r>
            <w:r>
              <w:rPr>
                <w:rFonts w:hint="default" w:ascii="Arial" w:hAnsi="Arial" w:eastAsia="宋体" w:cs="Arial"/>
                <w:color w:val="auto"/>
                <w:szCs w:val="21"/>
                <w:lang w:eastAsia="zh-CN"/>
              </w:rPr>
              <w:t>）</w:t>
            </w:r>
          </w:p>
        </w:tc>
        <w:tc>
          <w:tcPr>
            <w:tcW w:w="1533" w:type="dxa"/>
            <w:shd w:val="clear" w:color="auto" w:fill="auto"/>
            <w:vAlign w:val="center"/>
          </w:tcPr>
          <w:p w14:paraId="03B9B13C">
            <w:pPr>
              <w:pStyle w:val="88"/>
              <w:spacing w:beforeLines="0" w:afterLines="0" w:line="240" w:lineRule="auto"/>
              <w:rPr>
                <w:rFonts w:hint="default" w:ascii="Arial" w:hAnsi="Arial" w:eastAsia="宋体" w:cs="Arial"/>
                <w:snapToGrid w:val="0"/>
                <w:color w:val="auto"/>
                <w:kern w:val="21"/>
                <w:sz w:val="21"/>
                <w:szCs w:val="21"/>
                <w:lang w:val="en-US" w:eastAsia="zh-CN" w:bidi="ar-SA"/>
              </w:rPr>
            </w:pPr>
            <w:r>
              <w:rPr>
                <w:rFonts w:hint="default" w:ascii="Arial" w:hAnsi="Arial" w:eastAsia="宋体" w:cs="Arial"/>
                <w:snapToGrid w:val="0"/>
                <w:color w:val="auto"/>
                <w:kern w:val="21"/>
                <w:szCs w:val="21"/>
              </w:rPr>
              <w:t>0</w:t>
            </w:r>
          </w:p>
        </w:tc>
        <w:tc>
          <w:tcPr>
            <w:tcW w:w="1529" w:type="dxa"/>
            <w:shd w:val="clear" w:color="auto" w:fill="auto"/>
            <w:vAlign w:val="center"/>
          </w:tcPr>
          <w:p w14:paraId="0EE81EE3">
            <w:pPr>
              <w:autoSpaceDE w:val="0"/>
              <w:autoSpaceDN w:val="0"/>
              <w:jc w:val="center"/>
              <w:rPr>
                <w:rFonts w:hint="default" w:ascii="Arial" w:hAnsi="Arial" w:eastAsia="宋体" w:cs="Arial"/>
                <w:color w:val="auto"/>
                <w:kern w:val="2"/>
                <w:sz w:val="21"/>
                <w:szCs w:val="21"/>
                <w:lang w:val="en-US" w:eastAsia="zh-CN" w:bidi="ar-SA"/>
              </w:rPr>
            </w:pPr>
            <w:r>
              <w:rPr>
                <w:rFonts w:hint="default" w:ascii="Arial" w:hAnsi="Arial" w:eastAsia="宋体" w:cs="Arial"/>
                <w:color w:val="auto"/>
                <w:szCs w:val="21"/>
              </w:rPr>
              <w:t>0</w:t>
            </w:r>
            <w:r>
              <w:rPr>
                <w:rFonts w:hint="default" w:ascii="Arial" w:hAnsi="Arial" w:eastAsia="宋体" w:cs="Arial"/>
                <w:color w:val="auto"/>
                <w:szCs w:val="21"/>
                <w:lang w:val="en-US" w:eastAsia="zh-CN"/>
              </w:rPr>
              <w:t>（12</w:t>
            </w:r>
            <w:r>
              <w:rPr>
                <w:rFonts w:hint="default" w:ascii="Arial" w:hAnsi="Arial" w:eastAsia="宋体" w:cs="Arial"/>
                <w:color w:val="auto"/>
                <w:szCs w:val="21"/>
                <w:lang w:eastAsia="zh-CN"/>
              </w:rPr>
              <w:t>）</w:t>
            </w:r>
          </w:p>
        </w:tc>
        <w:tc>
          <w:tcPr>
            <w:tcW w:w="1484" w:type="dxa"/>
            <w:shd w:val="clear" w:color="auto" w:fill="auto"/>
            <w:vAlign w:val="center"/>
          </w:tcPr>
          <w:p w14:paraId="66EDD1A6">
            <w:pPr>
              <w:jc w:val="center"/>
              <w:rPr>
                <w:rFonts w:hint="default" w:ascii="Arial" w:hAnsi="Arial" w:eastAsia="宋体" w:cs="Arial"/>
                <w:kern w:val="2"/>
                <w:sz w:val="21"/>
                <w:szCs w:val="21"/>
                <w:lang w:val="en-US" w:eastAsia="zh-CN" w:bidi="ar-SA"/>
              </w:rPr>
            </w:pPr>
            <w:r>
              <w:rPr>
                <w:rFonts w:hint="default" w:ascii="Arial" w:hAnsi="Arial" w:eastAsia="宋体" w:cs="Arial"/>
                <w:szCs w:val="21"/>
              </w:rPr>
              <w:t>0</w:t>
            </w:r>
            <w:r>
              <w:rPr>
                <w:rFonts w:hint="default" w:ascii="Arial" w:hAnsi="Arial" w:eastAsia="宋体" w:cs="Arial"/>
                <w:szCs w:val="21"/>
                <w:lang w:eastAsia="zh-CN"/>
              </w:rPr>
              <w:t>（</w:t>
            </w:r>
            <w:r>
              <w:rPr>
                <w:rFonts w:hint="default" w:ascii="Arial" w:hAnsi="Arial" w:eastAsia="宋体" w:cs="Arial"/>
                <w:szCs w:val="21"/>
                <w:lang w:val="en-US" w:eastAsia="zh-CN"/>
              </w:rPr>
              <w:t>+12</w:t>
            </w:r>
            <w:r>
              <w:rPr>
                <w:rFonts w:hint="default" w:ascii="Arial" w:hAnsi="Arial" w:eastAsia="宋体" w:cs="Arial"/>
                <w:szCs w:val="21"/>
                <w:lang w:eastAsia="zh-CN"/>
              </w:rPr>
              <w:t>）</w:t>
            </w:r>
          </w:p>
        </w:tc>
      </w:tr>
      <w:tr w14:paraId="4741A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4FE067D9">
            <w:pPr>
              <w:pStyle w:val="88"/>
              <w:spacing w:beforeLines="0" w:afterLines="0" w:line="240" w:lineRule="auto"/>
              <w:rPr>
                <w:rFonts w:hint="default" w:ascii="Arial" w:hAnsi="Arial" w:eastAsia="宋体" w:cs="Arial"/>
                <w:snapToGrid w:val="0"/>
                <w:kern w:val="21"/>
                <w:szCs w:val="21"/>
              </w:rPr>
            </w:pPr>
          </w:p>
        </w:tc>
        <w:tc>
          <w:tcPr>
            <w:tcW w:w="1701" w:type="dxa"/>
            <w:shd w:val="clear" w:color="auto" w:fill="auto"/>
            <w:vAlign w:val="center"/>
          </w:tcPr>
          <w:p w14:paraId="4E57256E">
            <w:pPr>
              <w:jc w:val="center"/>
              <w:rPr>
                <w:rFonts w:hint="default" w:ascii="Arial" w:hAnsi="Arial" w:eastAsia="宋体" w:cs="Arial"/>
                <w:szCs w:val="21"/>
                <w:lang w:val="en-US" w:eastAsia="zh-CN"/>
              </w:rPr>
            </w:pPr>
            <w:r>
              <w:rPr>
                <w:rFonts w:hint="default" w:ascii="Arial" w:hAnsi="Arial" w:eastAsia="宋体" w:cs="Arial"/>
                <w:bCs/>
                <w:szCs w:val="21"/>
                <w:lang w:val="en-US" w:eastAsia="zh-CN"/>
              </w:rPr>
              <w:t>废淬火液</w:t>
            </w:r>
          </w:p>
        </w:tc>
        <w:tc>
          <w:tcPr>
            <w:tcW w:w="1530" w:type="dxa"/>
            <w:shd w:val="clear" w:color="auto" w:fill="auto"/>
            <w:vAlign w:val="center"/>
          </w:tcPr>
          <w:p w14:paraId="5EFB97BF">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0（6.7）</w:t>
            </w:r>
          </w:p>
        </w:tc>
        <w:tc>
          <w:tcPr>
            <w:tcW w:w="1276" w:type="dxa"/>
            <w:shd w:val="clear" w:color="auto" w:fill="auto"/>
            <w:vAlign w:val="center"/>
          </w:tcPr>
          <w:p w14:paraId="06B35100">
            <w:pPr>
              <w:pStyle w:val="88"/>
              <w:spacing w:beforeLines="0" w:afterLines="0" w:line="240" w:lineRule="auto"/>
              <w:rPr>
                <w:rFonts w:hint="default" w:ascii="Arial" w:hAnsi="Arial" w:eastAsia="宋体" w:cs="Arial"/>
                <w:snapToGrid w:val="0"/>
                <w:kern w:val="21"/>
                <w:szCs w:val="21"/>
                <w:lang w:eastAsia="zh-CN"/>
              </w:rPr>
            </w:pPr>
            <w:r>
              <w:rPr>
                <w:rFonts w:hint="default" w:ascii="Arial" w:hAnsi="Arial" w:eastAsia="宋体" w:cs="Arial"/>
                <w:snapToGrid w:val="0"/>
                <w:kern w:val="21"/>
                <w:szCs w:val="21"/>
              </w:rPr>
              <w:t>0</w:t>
            </w:r>
            <w:r>
              <w:rPr>
                <w:rFonts w:hint="default" w:ascii="Arial" w:hAnsi="Arial" w:eastAsia="宋体" w:cs="Arial"/>
                <w:snapToGrid w:val="0"/>
                <w:kern w:val="21"/>
                <w:szCs w:val="21"/>
                <w:lang w:eastAsia="zh-CN"/>
              </w:rPr>
              <w:t>（</w:t>
            </w:r>
            <w:r>
              <w:rPr>
                <w:rFonts w:hint="default" w:ascii="Arial" w:hAnsi="Arial" w:eastAsia="宋体" w:cs="Arial"/>
                <w:snapToGrid w:val="0"/>
                <w:kern w:val="21"/>
                <w:szCs w:val="21"/>
                <w:lang w:val="en-US" w:eastAsia="zh-CN"/>
              </w:rPr>
              <w:t>6.7</w:t>
            </w:r>
            <w:r>
              <w:rPr>
                <w:rFonts w:hint="default" w:ascii="Arial" w:hAnsi="Arial" w:eastAsia="宋体" w:cs="Arial"/>
                <w:snapToGrid w:val="0"/>
                <w:kern w:val="21"/>
                <w:szCs w:val="21"/>
                <w:lang w:eastAsia="zh-CN"/>
              </w:rPr>
              <w:t>）</w:t>
            </w:r>
          </w:p>
        </w:tc>
        <w:tc>
          <w:tcPr>
            <w:tcW w:w="1701" w:type="dxa"/>
            <w:shd w:val="clear" w:color="auto" w:fill="auto"/>
            <w:vAlign w:val="center"/>
          </w:tcPr>
          <w:p w14:paraId="40C39AAE">
            <w:pPr>
              <w:pStyle w:val="88"/>
              <w:spacing w:beforeLines="0" w:afterLines="0" w:line="240" w:lineRule="auto"/>
              <w:rPr>
                <w:rFonts w:hint="default" w:ascii="Arial" w:hAnsi="Arial" w:eastAsia="宋体" w:cs="Arial"/>
                <w:snapToGrid w:val="0"/>
                <w:color w:val="auto"/>
                <w:kern w:val="21"/>
                <w:szCs w:val="21"/>
              </w:rPr>
            </w:pPr>
            <w:r>
              <w:rPr>
                <w:rFonts w:hint="default" w:ascii="Arial" w:hAnsi="Arial" w:eastAsia="宋体" w:cs="Arial"/>
                <w:snapToGrid w:val="0"/>
                <w:color w:val="auto"/>
                <w:kern w:val="21"/>
                <w:szCs w:val="21"/>
              </w:rPr>
              <w:t>0</w:t>
            </w:r>
          </w:p>
        </w:tc>
        <w:tc>
          <w:tcPr>
            <w:tcW w:w="1559" w:type="dxa"/>
            <w:shd w:val="clear" w:color="auto" w:fill="auto"/>
            <w:vAlign w:val="center"/>
          </w:tcPr>
          <w:p w14:paraId="33F1DED8">
            <w:pPr>
              <w:autoSpaceDE w:val="0"/>
              <w:autoSpaceDN w:val="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0（1）</w:t>
            </w:r>
          </w:p>
        </w:tc>
        <w:tc>
          <w:tcPr>
            <w:tcW w:w="1533" w:type="dxa"/>
            <w:shd w:val="clear" w:color="auto" w:fill="auto"/>
            <w:vAlign w:val="center"/>
          </w:tcPr>
          <w:p w14:paraId="727A8AEE">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29" w:type="dxa"/>
            <w:shd w:val="clear" w:color="auto" w:fill="auto"/>
            <w:vAlign w:val="center"/>
          </w:tcPr>
          <w:p w14:paraId="6BCC5DFC">
            <w:pPr>
              <w:autoSpaceDE w:val="0"/>
              <w:autoSpaceDN w:val="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0（1）</w:t>
            </w:r>
          </w:p>
        </w:tc>
        <w:tc>
          <w:tcPr>
            <w:tcW w:w="1484" w:type="dxa"/>
            <w:shd w:val="clear" w:color="auto" w:fill="auto"/>
            <w:vAlign w:val="center"/>
          </w:tcPr>
          <w:p w14:paraId="0DB5CCF8">
            <w:pPr>
              <w:jc w:val="center"/>
              <w:rPr>
                <w:rFonts w:hint="default" w:ascii="Arial" w:hAnsi="Arial" w:eastAsia="宋体" w:cs="Arial"/>
                <w:szCs w:val="21"/>
                <w:lang w:val="en-US" w:eastAsia="zh-CN"/>
              </w:rPr>
            </w:pPr>
            <w:r>
              <w:rPr>
                <w:rFonts w:hint="default" w:ascii="Arial" w:hAnsi="Arial" w:eastAsia="宋体" w:cs="Arial"/>
                <w:szCs w:val="21"/>
                <w:lang w:val="en-US" w:eastAsia="zh-CN"/>
              </w:rPr>
              <w:t>0（-5.7）</w:t>
            </w:r>
          </w:p>
        </w:tc>
      </w:tr>
      <w:tr w14:paraId="5647F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3CFFC6F6">
            <w:pPr>
              <w:pStyle w:val="88"/>
              <w:spacing w:beforeLines="0" w:afterLines="0" w:line="240" w:lineRule="auto"/>
              <w:rPr>
                <w:rFonts w:hint="default" w:ascii="Arial" w:hAnsi="Arial" w:eastAsia="宋体" w:cs="Arial"/>
                <w:snapToGrid w:val="0"/>
                <w:kern w:val="21"/>
                <w:szCs w:val="21"/>
              </w:rPr>
            </w:pPr>
          </w:p>
        </w:tc>
        <w:tc>
          <w:tcPr>
            <w:tcW w:w="1701" w:type="dxa"/>
            <w:shd w:val="clear" w:color="auto" w:fill="auto"/>
            <w:vAlign w:val="center"/>
          </w:tcPr>
          <w:p w14:paraId="4C03A898">
            <w:pPr>
              <w:jc w:val="center"/>
              <w:rPr>
                <w:rFonts w:hint="default" w:ascii="Arial" w:hAnsi="Arial" w:eastAsia="宋体" w:cs="Arial"/>
                <w:szCs w:val="21"/>
                <w:lang w:val="en-US" w:eastAsia="zh-CN"/>
              </w:rPr>
            </w:pPr>
            <w:r>
              <w:rPr>
                <w:rFonts w:hint="default" w:ascii="Arial" w:hAnsi="Arial" w:eastAsia="宋体" w:cs="Arial"/>
                <w:bCs/>
                <w:szCs w:val="21"/>
                <w:lang w:val="en-US" w:eastAsia="zh-CN"/>
              </w:rPr>
              <w:t>废切削液</w:t>
            </w:r>
          </w:p>
        </w:tc>
        <w:tc>
          <w:tcPr>
            <w:tcW w:w="1530" w:type="dxa"/>
            <w:shd w:val="clear" w:color="auto" w:fill="auto"/>
            <w:vAlign w:val="center"/>
          </w:tcPr>
          <w:p w14:paraId="3E5E1103">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0（2）</w:t>
            </w:r>
          </w:p>
        </w:tc>
        <w:tc>
          <w:tcPr>
            <w:tcW w:w="1276" w:type="dxa"/>
            <w:shd w:val="clear" w:color="auto" w:fill="auto"/>
            <w:vAlign w:val="center"/>
          </w:tcPr>
          <w:p w14:paraId="47344026">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0（2）</w:t>
            </w:r>
          </w:p>
        </w:tc>
        <w:tc>
          <w:tcPr>
            <w:tcW w:w="1701" w:type="dxa"/>
            <w:shd w:val="clear" w:color="auto" w:fill="auto"/>
            <w:vAlign w:val="center"/>
          </w:tcPr>
          <w:p w14:paraId="43FBB356">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59" w:type="dxa"/>
            <w:shd w:val="clear" w:color="auto" w:fill="auto"/>
            <w:vAlign w:val="center"/>
          </w:tcPr>
          <w:p w14:paraId="7C694114">
            <w:pPr>
              <w:autoSpaceDE w:val="0"/>
              <w:autoSpaceDN w:val="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0（115.5）</w:t>
            </w:r>
          </w:p>
        </w:tc>
        <w:tc>
          <w:tcPr>
            <w:tcW w:w="1533" w:type="dxa"/>
            <w:shd w:val="clear" w:color="auto" w:fill="auto"/>
            <w:vAlign w:val="center"/>
          </w:tcPr>
          <w:p w14:paraId="1B38C803">
            <w:pPr>
              <w:pStyle w:val="88"/>
              <w:spacing w:beforeLines="0" w:afterLines="0" w:line="240" w:lineRule="auto"/>
              <w:rPr>
                <w:rFonts w:hint="default" w:ascii="Arial" w:hAnsi="Arial" w:eastAsia="宋体" w:cs="Arial"/>
                <w:snapToGrid w:val="0"/>
                <w:color w:val="auto"/>
                <w:kern w:val="21"/>
                <w:szCs w:val="21"/>
                <w:lang w:val="en-US" w:eastAsia="zh-CN"/>
              </w:rPr>
            </w:pPr>
            <w:r>
              <w:rPr>
                <w:rFonts w:hint="default" w:ascii="Arial" w:hAnsi="Arial" w:eastAsia="宋体" w:cs="Arial"/>
                <w:snapToGrid w:val="0"/>
                <w:color w:val="auto"/>
                <w:kern w:val="21"/>
                <w:szCs w:val="21"/>
                <w:lang w:val="en-US" w:eastAsia="zh-CN"/>
              </w:rPr>
              <w:t>0</w:t>
            </w:r>
          </w:p>
        </w:tc>
        <w:tc>
          <w:tcPr>
            <w:tcW w:w="1529" w:type="dxa"/>
            <w:shd w:val="clear" w:color="auto" w:fill="auto"/>
            <w:vAlign w:val="center"/>
          </w:tcPr>
          <w:p w14:paraId="3E87BCA2">
            <w:pPr>
              <w:autoSpaceDE w:val="0"/>
              <w:autoSpaceDN w:val="0"/>
              <w:jc w:val="center"/>
              <w:rPr>
                <w:rFonts w:hint="default" w:ascii="Arial" w:hAnsi="Arial" w:eastAsia="宋体" w:cs="Arial"/>
                <w:color w:val="auto"/>
                <w:szCs w:val="21"/>
                <w:lang w:val="en-US" w:eastAsia="zh-CN"/>
              </w:rPr>
            </w:pPr>
            <w:r>
              <w:rPr>
                <w:rFonts w:hint="default" w:ascii="Arial" w:hAnsi="Arial" w:eastAsia="宋体" w:cs="Arial"/>
                <w:color w:val="auto"/>
                <w:szCs w:val="21"/>
                <w:lang w:val="en-US" w:eastAsia="zh-CN"/>
              </w:rPr>
              <w:t>0（115.5）</w:t>
            </w:r>
          </w:p>
        </w:tc>
        <w:tc>
          <w:tcPr>
            <w:tcW w:w="1484" w:type="dxa"/>
            <w:shd w:val="clear" w:color="auto" w:fill="auto"/>
            <w:vAlign w:val="center"/>
          </w:tcPr>
          <w:p w14:paraId="3544C259">
            <w:pPr>
              <w:jc w:val="center"/>
              <w:rPr>
                <w:rFonts w:hint="default" w:ascii="Arial" w:hAnsi="Arial" w:eastAsia="宋体" w:cs="Arial"/>
                <w:szCs w:val="21"/>
                <w:lang w:val="en-US" w:eastAsia="zh-CN"/>
              </w:rPr>
            </w:pPr>
            <w:r>
              <w:rPr>
                <w:rFonts w:hint="default" w:ascii="Arial" w:hAnsi="Arial" w:eastAsia="宋体" w:cs="Arial"/>
                <w:szCs w:val="21"/>
                <w:lang w:val="en-US" w:eastAsia="zh-CN"/>
              </w:rPr>
              <w:t>0（+113.5）</w:t>
            </w:r>
          </w:p>
        </w:tc>
      </w:tr>
      <w:tr w14:paraId="7379E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64DB7331">
            <w:pPr>
              <w:pStyle w:val="88"/>
              <w:spacing w:beforeLines="0" w:afterLines="0" w:line="240" w:lineRule="auto"/>
              <w:rPr>
                <w:rFonts w:hint="default" w:ascii="Arial" w:hAnsi="Arial" w:eastAsia="宋体" w:cs="Arial"/>
                <w:snapToGrid w:val="0"/>
                <w:kern w:val="21"/>
                <w:szCs w:val="21"/>
              </w:rPr>
            </w:pPr>
          </w:p>
        </w:tc>
        <w:tc>
          <w:tcPr>
            <w:tcW w:w="1701" w:type="dxa"/>
            <w:shd w:val="clear" w:color="auto" w:fill="auto"/>
            <w:vAlign w:val="center"/>
          </w:tcPr>
          <w:p w14:paraId="7C45AA07">
            <w:pPr>
              <w:jc w:val="center"/>
              <w:rPr>
                <w:rFonts w:hint="default" w:ascii="Arial" w:hAnsi="Arial" w:eastAsia="宋体" w:cs="Arial"/>
                <w:szCs w:val="21"/>
                <w:lang w:val="en-US" w:eastAsia="zh-CN"/>
              </w:rPr>
            </w:pPr>
            <w:r>
              <w:rPr>
                <w:rFonts w:hint="default" w:ascii="Arial" w:hAnsi="Arial" w:eastAsia="宋体" w:cs="Arial"/>
                <w:szCs w:val="21"/>
              </w:rPr>
              <w:t>废</w:t>
            </w:r>
            <w:r>
              <w:rPr>
                <w:rFonts w:hint="default" w:ascii="Arial" w:hAnsi="Arial" w:eastAsia="宋体" w:cs="Arial"/>
                <w:szCs w:val="21"/>
                <w:lang w:val="en-US" w:eastAsia="zh-CN"/>
              </w:rPr>
              <w:t>化学品包装</w:t>
            </w:r>
          </w:p>
        </w:tc>
        <w:tc>
          <w:tcPr>
            <w:tcW w:w="1530" w:type="dxa"/>
            <w:shd w:val="clear" w:color="auto" w:fill="auto"/>
            <w:vAlign w:val="center"/>
          </w:tcPr>
          <w:p w14:paraId="0D6D7FA3">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w:t>
            </w:r>
          </w:p>
        </w:tc>
        <w:tc>
          <w:tcPr>
            <w:tcW w:w="1276" w:type="dxa"/>
            <w:shd w:val="clear" w:color="auto" w:fill="auto"/>
            <w:vAlign w:val="center"/>
          </w:tcPr>
          <w:p w14:paraId="4003C9A6">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w:t>
            </w:r>
          </w:p>
        </w:tc>
        <w:tc>
          <w:tcPr>
            <w:tcW w:w="1701" w:type="dxa"/>
            <w:shd w:val="clear" w:color="auto" w:fill="auto"/>
            <w:vAlign w:val="center"/>
          </w:tcPr>
          <w:p w14:paraId="1CB24C4B">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w:t>
            </w:r>
          </w:p>
        </w:tc>
        <w:tc>
          <w:tcPr>
            <w:tcW w:w="1559" w:type="dxa"/>
            <w:shd w:val="clear" w:color="auto" w:fill="auto"/>
            <w:vAlign w:val="center"/>
          </w:tcPr>
          <w:p w14:paraId="6D398964">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r>
              <w:rPr>
                <w:rFonts w:hint="eastAsia" w:ascii="Arial" w:hAnsi="Arial" w:eastAsia="宋体" w:cs="Arial"/>
                <w:szCs w:val="21"/>
                <w:lang w:val="en-US" w:eastAsia="zh-CN"/>
              </w:rPr>
              <w:t>10.9</w:t>
            </w:r>
            <w:r>
              <w:rPr>
                <w:rFonts w:hint="default" w:ascii="Arial" w:hAnsi="Arial" w:eastAsia="宋体" w:cs="Arial"/>
                <w:szCs w:val="21"/>
                <w:lang w:val="en-US" w:eastAsia="zh-CN"/>
              </w:rPr>
              <w:t>）</w:t>
            </w:r>
          </w:p>
        </w:tc>
        <w:tc>
          <w:tcPr>
            <w:tcW w:w="1533" w:type="dxa"/>
            <w:shd w:val="clear" w:color="auto" w:fill="auto"/>
            <w:vAlign w:val="center"/>
          </w:tcPr>
          <w:p w14:paraId="65BA65C6">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w:t>
            </w:r>
          </w:p>
        </w:tc>
        <w:tc>
          <w:tcPr>
            <w:tcW w:w="1529" w:type="dxa"/>
            <w:shd w:val="clear" w:color="auto" w:fill="auto"/>
            <w:vAlign w:val="center"/>
          </w:tcPr>
          <w:p w14:paraId="74AF310A">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w:t>
            </w:r>
            <w:r>
              <w:rPr>
                <w:rFonts w:hint="eastAsia" w:ascii="Arial" w:hAnsi="Arial" w:eastAsia="宋体" w:cs="Arial"/>
                <w:szCs w:val="21"/>
                <w:lang w:val="en-US" w:eastAsia="zh-CN"/>
              </w:rPr>
              <w:t>10.9</w:t>
            </w:r>
            <w:r>
              <w:rPr>
                <w:rFonts w:hint="default" w:ascii="Arial" w:hAnsi="Arial" w:eastAsia="宋体" w:cs="Arial"/>
                <w:szCs w:val="21"/>
                <w:lang w:val="en-US" w:eastAsia="zh-CN"/>
              </w:rPr>
              <w:t>）</w:t>
            </w:r>
          </w:p>
        </w:tc>
        <w:tc>
          <w:tcPr>
            <w:tcW w:w="1484" w:type="dxa"/>
            <w:shd w:val="clear" w:color="auto" w:fill="auto"/>
            <w:vAlign w:val="center"/>
          </w:tcPr>
          <w:p w14:paraId="34C03246">
            <w:pPr>
              <w:jc w:val="center"/>
              <w:rPr>
                <w:rFonts w:hint="default" w:ascii="Arial" w:hAnsi="Arial" w:eastAsia="宋体" w:cs="Arial"/>
                <w:szCs w:val="21"/>
                <w:lang w:val="en-US" w:eastAsia="zh-CN"/>
              </w:rPr>
            </w:pPr>
            <w:r>
              <w:rPr>
                <w:rFonts w:hint="default" w:ascii="Arial" w:hAnsi="Arial" w:eastAsia="宋体" w:cs="Arial"/>
                <w:szCs w:val="21"/>
                <w:lang w:val="en-US" w:eastAsia="zh-CN"/>
              </w:rPr>
              <w:t>0（+</w:t>
            </w:r>
            <w:r>
              <w:rPr>
                <w:rFonts w:hint="eastAsia" w:ascii="Arial" w:hAnsi="Arial" w:eastAsia="宋体" w:cs="Arial"/>
                <w:szCs w:val="21"/>
                <w:lang w:val="en-US" w:eastAsia="zh-CN"/>
              </w:rPr>
              <w:t>10.9</w:t>
            </w:r>
            <w:r>
              <w:rPr>
                <w:rFonts w:hint="default" w:ascii="Arial" w:hAnsi="Arial" w:eastAsia="宋体" w:cs="Arial"/>
                <w:szCs w:val="21"/>
                <w:lang w:val="en-US" w:eastAsia="zh-CN"/>
              </w:rPr>
              <w:t>）</w:t>
            </w:r>
          </w:p>
        </w:tc>
      </w:tr>
      <w:tr w14:paraId="00353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0F518010">
            <w:pPr>
              <w:pStyle w:val="88"/>
              <w:spacing w:beforeLines="0" w:afterLines="0" w:line="240" w:lineRule="auto"/>
              <w:rPr>
                <w:rFonts w:hint="default" w:ascii="Arial" w:hAnsi="Arial" w:eastAsia="宋体" w:cs="Arial"/>
                <w:snapToGrid w:val="0"/>
                <w:kern w:val="21"/>
                <w:szCs w:val="21"/>
              </w:rPr>
            </w:pPr>
          </w:p>
        </w:tc>
        <w:tc>
          <w:tcPr>
            <w:tcW w:w="1701" w:type="dxa"/>
            <w:shd w:val="clear" w:color="auto" w:fill="auto"/>
            <w:vAlign w:val="center"/>
          </w:tcPr>
          <w:p w14:paraId="11087085">
            <w:pPr>
              <w:jc w:val="center"/>
              <w:rPr>
                <w:rFonts w:hint="default" w:ascii="Arial" w:hAnsi="Arial" w:eastAsia="宋体" w:cs="Arial"/>
                <w:szCs w:val="21"/>
                <w:lang w:val="en-US" w:eastAsia="zh-CN"/>
              </w:rPr>
            </w:pPr>
            <w:r>
              <w:rPr>
                <w:rFonts w:hint="default" w:ascii="Arial" w:hAnsi="Arial" w:eastAsia="宋体" w:cs="Arial"/>
                <w:szCs w:val="21"/>
                <w:lang w:val="en-US" w:eastAsia="zh-CN"/>
              </w:rPr>
              <w:t>废水处理浓缩液</w:t>
            </w:r>
          </w:p>
        </w:tc>
        <w:tc>
          <w:tcPr>
            <w:tcW w:w="1530" w:type="dxa"/>
            <w:shd w:val="clear" w:color="auto" w:fill="auto"/>
            <w:vAlign w:val="center"/>
          </w:tcPr>
          <w:p w14:paraId="658A08C1">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w:t>
            </w:r>
          </w:p>
        </w:tc>
        <w:tc>
          <w:tcPr>
            <w:tcW w:w="1276" w:type="dxa"/>
            <w:shd w:val="clear" w:color="auto" w:fill="auto"/>
            <w:vAlign w:val="center"/>
          </w:tcPr>
          <w:p w14:paraId="3F1EA03C">
            <w:pPr>
              <w:pStyle w:val="88"/>
              <w:spacing w:beforeLines="0" w:afterLines="0" w:line="240" w:lineRule="auto"/>
              <w:rPr>
                <w:rFonts w:hint="default" w:ascii="Arial" w:hAnsi="Arial" w:eastAsia="宋体" w:cs="Arial"/>
                <w:snapToGrid w:val="0"/>
                <w:kern w:val="21"/>
                <w:szCs w:val="21"/>
              </w:rPr>
            </w:pPr>
            <w:r>
              <w:rPr>
                <w:rFonts w:hint="default" w:ascii="Arial" w:hAnsi="Arial" w:eastAsia="宋体" w:cs="Arial"/>
                <w:snapToGrid w:val="0"/>
                <w:kern w:val="21"/>
                <w:szCs w:val="21"/>
                <w:lang w:val="en-US" w:eastAsia="zh-CN"/>
              </w:rPr>
              <w:t>0</w:t>
            </w:r>
          </w:p>
        </w:tc>
        <w:tc>
          <w:tcPr>
            <w:tcW w:w="1701" w:type="dxa"/>
            <w:shd w:val="clear" w:color="auto" w:fill="auto"/>
            <w:vAlign w:val="center"/>
          </w:tcPr>
          <w:p w14:paraId="0C759839">
            <w:pPr>
              <w:spacing w:beforeLines="0" w:afterLines="0" w:line="240" w:lineRule="auto"/>
              <w:jc w:val="center"/>
              <w:rPr>
                <w:rFonts w:hint="default" w:ascii="Arial" w:hAnsi="Arial" w:eastAsia="宋体" w:cs="Arial"/>
                <w:snapToGrid w:val="0"/>
                <w:kern w:val="21"/>
                <w:szCs w:val="21"/>
              </w:rPr>
            </w:pPr>
            <w:r>
              <w:rPr>
                <w:rFonts w:hint="default" w:ascii="Arial" w:hAnsi="Arial" w:eastAsia="宋体" w:cs="Arial"/>
                <w:snapToGrid w:val="0"/>
                <w:kern w:val="21"/>
                <w:szCs w:val="21"/>
                <w:lang w:val="en-US" w:eastAsia="zh-CN"/>
              </w:rPr>
              <w:t>0</w:t>
            </w:r>
          </w:p>
        </w:tc>
        <w:tc>
          <w:tcPr>
            <w:tcW w:w="1559" w:type="dxa"/>
            <w:shd w:val="clear" w:color="auto" w:fill="auto"/>
            <w:vAlign w:val="center"/>
          </w:tcPr>
          <w:p w14:paraId="25CA46A8">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0（127.9）</w:t>
            </w:r>
          </w:p>
        </w:tc>
        <w:tc>
          <w:tcPr>
            <w:tcW w:w="1533" w:type="dxa"/>
            <w:shd w:val="clear" w:color="auto" w:fill="auto"/>
            <w:vAlign w:val="center"/>
          </w:tcPr>
          <w:p w14:paraId="4339C10B">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w:t>
            </w:r>
          </w:p>
        </w:tc>
        <w:tc>
          <w:tcPr>
            <w:tcW w:w="1529" w:type="dxa"/>
            <w:shd w:val="clear" w:color="auto" w:fill="auto"/>
            <w:vAlign w:val="center"/>
          </w:tcPr>
          <w:p w14:paraId="5CD5907D">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0（127.9）</w:t>
            </w:r>
          </w:p>
        </w:tc>
        <w:tc>
          <w:tcPr>
            <w:tcW w:w="1484" w:type="dxa"/>
            <w:shd w:val="clear" w:color="auto" w:fill="auto"/>
            <w:vAlign w:val="center"/>
          </w:tcPr>
          <w:p w14:paraId="38DB5824">
            <w:pPr>
              <w:autoSpaceDE w:val="0"/>
              <w:autoSpaceDN w:val="0"/>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0（+127.9）</w:t>
            </w:r>
          </w:p>
        </w:tc>
      </w:tr>
      <w:tr w14:paraId="6A919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475" w:type="dxa"/>
            <w:vMerge w:val="continue"/>
            <w:vAlign w:val="center"/>
          </w:tcPr>
          <w:p w14:paraId="0F27FA23">
            <w:pPr>
              <w:pStyle w:val="88"/>
              <w:spacing w:beforeLines="0" w:afterLines="0" w:line="240" w:lineRule="auto"/>
              <w:rPr>
                <w:rFonts w:hint="default" w:ascii="Arial" w:hAnsi="Arial" w:eastAsia="宋体" w:cs="Arial"/>
                <w:snapToGrid w:val="0"/>
                <w:kern w:val="21"/>
                <w:szCs w:val="21"/>
              </w:rPr>
            </w:pPr>
          </w:p>
        </w:tc>
        <w:tc>
          <w:tcPr>
            <w:tcW w:w="1701" w:type="dxa"/>
            <w:shd w:val="clear" w:color="auto" w:fill="auto"/>
            <w:vAlign w:val="center"/>
          </w:tcPr>
          <w:p w14:paraId="426D5306">
            <w:pPr>
              <w:jc w:val="center"/>
              <w:rPr>
                <w:rFonts w:hint="default" w:ascii="Arial" w:hAnsi="Arial" w:eastAsia="宋体" w:cs="Arial"/>
                <w:szCs w:val="21"/>
                <w:lang w:val="en-US" w:eastAsia="zh-CN"/>
              </w:rPr>
            </w:pPr>
            <w:r>
              <w:rPr>
                <w:rFonts w:hint="default" w:ascii="Arial" w:hAnsi="Arial" w:eastAsia="宋体" w:cs="Arial"/>
                <w:szCs w:val="21"/>
                <w:lang w:val="en-US" w:eastAsia="zh-CN"/>
              </w:rPr>
              <w:t>废水处理废膜</w:t>
            </w:r>
          </w:p>
        </w:tc>
        <w:tc>
          <w:tcPr>
            <w:tcW w:w="1530" w:type="dxa"/>
            <w:shd w:val="clear" w:color="auto" w:fill="auto"/>
            <w:vAlign w:val="center"/>
          </w:tcPr>
          <w:p w14:paraId="6444F0EC">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w:t>
            </w:r>
          </w:p>
        </w:tc>
        <w:tc>
          <w:tcPr>
            <w:tcW w:w="1276" w:type="dxa"/>
            <w:shd w:val="clear" w:color="auto" w:fill="auto"/>
            <w:vAlign w:val="center"/>
          </w:tcPr>
          <w:p w14:paraId="32707E10">
            <w:pPr>
              <w:pStyle w:val="88"/>
              <w:spacing w:beforeLines="0" w:afterLines="0" w:line="240" w:lineRule="auto"/>
              <w:rPr>
                <w:rFonts w:hint="default" w:ascii="Arial" w:hAnsi="Arial" w:eastAsia="宋体" w:cs="Arial"/>
                <w:snapToGrid w:val="0"/>
                <w:kern w:val="21"/>
                <w:szCs w:val="21"/>
              </w:rPr>
            </w:pPr>
            <w:r>
              <w:rPr>
                <w:rFonts w:hint="default" w:ascii="Arial" w:hAnsi="Arial" w:eastAsia="宋体" w:cs="Arial"/>
                <w:snapToGrid w:val="0"/>
                <w:kern w:val="21"/>
                <w:szCs w:val="21"/>
                <w:lang w:val="en-US" w:eastAsia="zh-CN"/>
              </w:rPr>
              <w:t>0</w:t>
            </w:r>
          </w:p>
        </w:tc>
        <w:tc>
          <w:tcPr>
            <w:tcW w:w="1701" w:type="dxa"/>
            <w:shd w:val="clear" w:color="auto" w:fill="auto"/>
            <w:vAlign w:val="center"/>
          </w:tcPr>
          <w:p w14:paraId="1B28E58E">
            <w:pPr>
              <w:spacing w:beforeLines="0" w:afterLines="0" w:line="240" w:lineRule="auto"/>
              <w:jc w:val="center"/>
              <w:rPr>
                <w:rFonts w:hint="default" w:ascii="Arial" w:hAnsi="Arial" w:eastAsia="宋体" w:cs="Arial"/>
                <w:snapToGrid w:val="0"/>
                <w:kern w:val="21"/>
                <w:szCs w:val="21"/>
              </w:rPr>
            </w:pPr>
            <w:r>
              <w:rPr>
                <w:rFonts w:hint="default" w:ascii="Arial" w:hAnsi="Arial" w:eastAsia="宋体" w:cs="Arial"/>
                <w:snapToGrid w:val="0"/>
                <w:kern w:val="21"/>
                <w:szCs w:val="21"/>
                <w:lang w:val="en-US" w:eastAsia="zh-CN"/>
              </w:rPr>
              <w:t>0</w:t>
            </w:r>
          </w:p>
        </w:tc>
        <w:tc>
          <w:tcPr>
            <w:tcW w:w="1559" w:type="dxa"/>
            <w:shd w:val="clear" w:color="auto" w:fill="auto"/>
            <w:vAlign w:val="center"/>
          </w:tcPr>
          <w:p w14:paraId="55C92227">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0（0.1）</w:t>
            </w:r>
          </w:p>
        </w:tc>
        <w:tc>
          <w:tcPr>
            <w:tcW w:w="1533" w:type="dxa"/>
            <w:shd w:val="clear" w:color="auto" w:fill="auto"/>
            <w:vAlign w:val="center"/>
          </w:tcPr>
          <w:p w14:paraId="4B305520">
            <w:pPr>
              <w:pStyle w:val="88"/>
              <w:spacing w:beforeLines="0" w:afterLines="0" w:line="240" w:lineRule="auto"/>
              <w:rPr>
                <w:rFonts w:hint="default" w:ascii="Arial" w:hAnsi="Arial" w:eastAsia="宋体" w:cs="Arial"/>
                <w:snapToGrid w:val="0"/>
                <w:kern w:val="21"/>
                <w:szCs w:val="21"/>
                <w:lang w:val="en-US" w:eastAsia="zh-CN"/>
              </w:rPr>
            </w:pPr>
            <w:r>
              <w:rPr>
                <w:rFonts w:hint="default" w:ascii="Arial" w:hAnsi="Arial" w:eastAsia="宋体" w:cs="Arial"/>
                <w:snapToGrid w:val="0"/>
                <w:kern w:val="21"/>
                <w:szCs w:val="21"/>
                <w:lang w:val="en-US" w:eastAsia="zh-CN"/>
              </w:rPr>
              <w:t>0</w:t>
            </w:r>
          </w:p>
        </w:tc>
        <w:tc>
          <w:tcPr>
            <w:tcW w:w="1529" w:type="dxa"/>
            <w:shd w:val="clear" w:color="auto" w:fill="auto"/>
            <w:vAlign w:val="center"/>
          </w:tcPr>
          <w:p w14:paraId="69EA3E0A">
            <w:pPr>
              <w:autoSpaceDE w:val="0"/>
              <w:autoSpaceDN w:val="0"/>
              <w:jc w:val="center"/>
              <w:rPr>
                <w:rFonts w:hint="default" w:ascii="Arial" w:hAnsi="Arial" w:eastAsia="宋体" w:cs="Arial"/>
                <w:szCs w:val="21"/>
                <w:lang w:val="en-US" w:eastAsia="zh-CN"/>
              </w:rPr>
            </w:pPr>
            <w:r>
              <w:rPr>
                <w:rFonts w:hint="default" w:ascii="Arial" w:hAnsi="Arial" w:eastAsia="宋体" w:cs="Arial"/>
                <w:szCs w:val="21"/>
                <w:lang w:val="en-US" w:eastAsia="zh-CN"/>
              </w:rPr>
              <w:t>0（0.1）</w:t>
            </w:r>
          </w:p>
        </w:tc>
        <w:tc>
          <w:tcPr>
            <w:tcW w:w="1484" w:type="dxa"/>
            <w:shd w:val="clear" w:color="auto" w:fill="auto"/>
            <w:vAlign w:val="center"/>
          </w:tcPr>
          <w:p w14:paraId="06FFFB97">
            <w:pPr>
              <w:autoSpaceDE w:val="0"/>
              <w:autoSpaceDN w:val="0"/>
              <w:jc w:val="center"/>
              <w:rPr>
                <w:rFonts w:hint="default" w:ascii="Arial" w:hAnsi="Arial" w:eastAsia="宋体" w:cs="Arial"/>
                <w:kern w:val="2"/>
                <w:sz w:val="21"/>
                <w:szCs w:val="21"/>
                <w:lang w:val="en-US" w:eastAsia="zh-CN" w:bidi="ar-SA"/>
              </w:rPr>
            </w:pPr>
            <w:r>
              <w:rPr>
                <w:rFonts w:hint="default" w:ascii="Arial" w:hAnsi="Arial" w:eastAsia="宋体" w:cs="Arial"/>
                <w:szCs w:val="21"/>
                <w:lang w:val="en-US" w:eastAsia="zh-CN"/>
              </w:rPr>
              <w:t>0（+0.1）</w:t>
            </w:r>
          </w:p>
        </w:tc>
      </w:tr>
    </w:tbl>
    <w:p w14:paraId="5BDBFB2B">
      <w:pPr>
        <w:pStyle w:val="88"/>
        <w:spacing w:before="272" w:beforeLines="80" w:after="34"/>
        <w:jc w:val="left"/>
        <w:rPr>
          <w:rFonts w:hint="default" w:ascii="Arial" w:hAnsi="Arial" w:eastAsia="宋体" w:cs="Arial"/>
          <w:snapToGrid w:val="0"/>
          <w:spacing w:val="-6"/>
          <w:kern w:val="21"/>
          <w:szCs w:val="21"/>
        </w:rPr>
      </w:pPr>
      <w:r>
        <w:rPr>
          <w:rFonts w:hint="default" w:ascii="Arial" w:hAnsi="Arial" w:eastAsia="宋体" w:cs="Arial"/>
          <w:snapToGrid w:val="0"/>
          <w:kern w:val="21"/>
          <w:szCs w:val="21"/>
        </w:rPr>
        <w:t>注：</w:t>
      </w:r>
      <w:r>
        <w:rPr>
          <w:rFonts w:hint="default" w:ascii="Arial" w:hAnsi="Arial" w:eastAsia="宋体" w:cs="Arial"/>
          <w:snapToGrid w:val="0"/>
          <w:spacing w:val="-16"/>
          <w:kern w:val="21"/>
          <w:szCs w:val="21"/>
        </w:rPr>
        <w:fldChar w:fldCharType="begin"/>
      </w:r>
      <w:r>
        <w:rPr>
          <w:rFonts w:hint="default" w:ascii="Arial" w:hAnsi="Arial" w:eastAsia="宋体" w:cs="Arial"/>
          <w:snapToGrid w:val="0"/>
          <w:spacing w:val="-16"/>
          <w:kern w:val="21"/>
          <w:szCs w:val="21"/>
        </w:rPr>
        <w:instrText xml:space="preserve"> = 6 \* GB3 \* MERGEFORMAT </w:instrText>
      </w:r>
      <w:r>
        <w:rPr>
          <w:rFonts w:hint="default" w:ascii="Arial" w:hAnsi="Arial" w:eastAsia="宋体" w:cs="Arial"/>
          <w:snapToGrid w:val="0"/>
          <w:spacing w:val="-16"/>
          <w:kern w:val="21"/>
          <w:szCs w:val="21"/>
        </w:rPr>
        <w:fldChar w:fldCharType="separate"/>
      </w:r>
      <w:r>
        <w:rPr>
          <w:rFonts w:hint="default" w:ascii="Arial" w:hAnsi="Arial" w:eastAsia="宋体" w:cs="Arial"/>
          <w:szCs w:val="21"/>
        </w:rPr>
        <w:t>⑥</w:t>
      </w:r>
      <w:r>
        <w:rPr>
          <w:rFonts w:hint="default" w:ascii="Arial" w:hAnsi="Arial" w:eastAsia="宋体" w:cs="Arial"/>
          <w:snapToGrid w:val="0"/>
          <w:spacing w:val="-16"/>
          <w:kern w:val="21"/>
          <w:szCs w:val="21"/>
        </w:rPr>
        <w:fldChar w:fldCharType="end"/>
      </w:r>
      <w:r>
        <w:rPr>
          <w:rFonts w:hint="default" w:ascii="Arial" w:hAnsi="Arial" w:eastAsia="宋体" w:cs="Arial"/>
          <w:snapToGrid w:val="0"/>
          <w:spacing w:val="-1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1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①</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3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③</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4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④</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r>
        <w:rPr>
          <w:rFonts w:hint="default" w:ascii="Arial" w:hAnsi="Arial" w:eastAsia="宋体" w:cs="Arial"/>
          <w:snapToGrid w:val="0"/>
          <w:spacing w:val="-16"/>
          <w:kern w:val="21"/>
          <w:szCs w:val="21"/>
        </w:rPr>
        <w:fldChar w:fldCharType="begin"/>
      </w:r>
      <w:r>
        <w:rPr>
          <w:rFonts w:hint="default" w:ascii="Arial" w:hAnsi="Arial" w:eastAsia="宋体" w:cs="Arial"/>
          <w:snapToGrid w:val="0"/>
          <w:spacing w:val="-16"/>
          <w:kern w:val="21"/>
          <w:szCs w:val="21"/>
        </w:rPr>
        <w:instrText xml:space="preserve"> = 5 \* GB3 \* MERGEFORMAT </w:instrText>
      </w:r>
      <w:r>
        <w:rPr>
          <w:rFonts w:hint="default" w:ascii="Arial" w:hAnsi="Arial" w:eastAsia="宋体" w:cs="Arial"/>
          <w:snapToGrid w:val="0"/>
          <w:spacing w:val="-16"/>
          <w:kern w:val="21"/>
          <w:szCs w:val="21"/>
        </w:rPr>
        <w:fldChar w:fldCharType="separate"/>
      </w:r>
      <w:r>
        <w:rPr>
          <w:rFonts w:hint="default" w:ascii="Arial" w:hAnsi="Arial" w:eastAsia="宋体" w:cs="Arial"/>
          <w:szCs w:val="21"/>
        </w:rPr>
        <w:t>⑤</w:t>
      </w:r>
      <w:r>
        <w:rPr>
          <w:rFonts w:hint="default" w:ascii="Arial" w:hAnsi="Arial" w:eastAsia="宋体" w:cs="Arial"/>
          <w:snapToGrid w:val="0"/>
          <w:spacing w:val="-16"/>
          <w:kern w:val="21"/>
          <w:szCs w:val="21"/>
        </w:rPr>
        <w:fldChar w:fldCharType="end"/>
      </w:r>
      <w:r>
        <w:rPr>
          <w:rFonts w:hint="default" w:ascii="Arial" w:hAnsi="Arial" w:eastAsia="宋体" w:cs="Arial"/>
          <w:snapToGrid w:val="0"/>
          <w:spacing w:val="-1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7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⑦</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r>
        <w:rPr>
          <w:rFonts w:hint="default" w:ascii="Arial" w:hAnsi="Arial" w:eastAsia="宋体" w:cs="Arial"/>
          <w:snapToGrid w:val="0"/>
          <w:spacing w:val="-16"/>
          <w:kern w:val="21"/>
          <w:szCs w:val="21"/>
        </w:rPr>
        <w:fldChar w:fldCharType="begin"/>
      </w:r>
      <w:r>
        <w:rPr>
          <w:rFonts w:hint="default" w:ascii="Arial" w:hAnsi="Arial" w:eastAsia="宋体" w:cs="Arial"/>
          <w:snapToGrid w:val="0"/>
          <w:spacing w:val="-16"/>
          <w:kern w:val="21"/>
          <w:szCs w:val="21"/>
        </w:rPr>
        <w:instrText xml:space="preserve"> = 6 \* GB3 \* MERGEFORMAT </w:instrText>
      </w:r>
      <w:r>
        <w:rPr>
          <w:rFonts w:hint="default" w:ascii="Arial" w:hAnsi="Arial" w:eastAsia="宋体" w:cs="Arial"/>
          <w:snapToGrid w:val="0"/>
          <w:spacing w:val="-16"/>
          <w:kern w:val="21"/>
          <w:szCs w:val="21"/>
        </w:rPr>
        <w:fldChar w:fldCharType="separate"/>
      </w:r>
      <w:r>
        <w:rPr>
          <w:rFonts w:hint="default" w:ascii="Arial" w:hAnsi="Arial" w:eastAsia="宋体" w:cs="Arial"/>
          <w:szCs w:val="21"/>
        </w:rPr>
        <w:t>⑥</w:t>
      </w:r>
      <w:r>
        <w:rPr>
          <w:rFonts w:hint="default" w:ascii="Arial" w:hAnsi="Arial" w:eastAsia="宋体" w:cs="Arial"/>
          <w:snapToGrid w:val="0"/>
          <w:spacing w:val="-16"/>
          <w:kern w:val="21"/>
          <w:szCs w:val="21"/>
        </w:rPr>
        <w:fldChar w:fldCharType="end"/>
      </w:r>
      <w:r>
        <w:rPr>
          <w:rFonts w:hint="default" w:ascii="Arial" w:hAnsi="Arial" w:eastAsia="宋体" w:cs="Arial"/>
          <w:snapToGrid w:val="0"/>
          <w:spacing w:val="-16"/>
          <w:kern w:val="21"/>
          <w:szCs w:val="21"/>
        </w:rPr>
        <w:t>-</w:t>
      </w:r>
      <w:r>
        <w:rPr>
          <w:rFonts w:hint="default" w:ascii="Arial" w:hAnsi="Arial" w:eastAsia="宋体" w:cs="Arial"/>
          <w:snapToGrid w:val="0"/>
          <w:spacing w:val="-6"/>
          <w:kern w:val="21"/>
          <w:szCs w:val="21"/>
        </w:rPr>
        <w:fldChar w:fldCharType="begin"/>
      </w:r>
      <w:r>
        <w:rPr>
          <w:rFonts w:hint="default" w:ascii="Arial" w:hAnsi="Arial" w:eastAsia="宋体" w:cs="Arial"/>
          <w:snapToGrid w:val="0"/>
          <w:spacing w:val="-6"/>
          <w:kern w:val="21"/>
          <w:szCs w:val="21"/>
        </w:rPr>
        <w:instrText xml:space="preserve"> = 1 \* GB3 \* MERGEFORMAT </w:instrText>
      </w:r>
      <w:r>
        <w:rPr>
          <w:rFonts w:hint="default" w:ascii="Arial" w:hAnsi="Arial" w:eastAsia="宋体" w:cs="Arial"/>
          <w:snapToGrid w:val="0"/>
          <w:spacing w:val="-6"/>
          <w:kern w:val="21"/>
          <w:szCs w:val="21"/>
        </w:rPr>
        <w:fldChar w:fldCharType="separate"/>
      </w:r>
      <w:r>
        <w:rPr>
          <w:rFonts w:hint="default" w:ascii="Arial" w:hAnsi="Arial" w:eastAsia="宋体" w:cs="Arial"/>
          <w:szCs w:val="21"/>
        </w:rPr>
        <w:t>①</w:t>
      </w:r>
      <w:r>
        <w:rPr>
          <w:rFonts w:hint="default" w:ascii="Arial" w:hAnsi="Arial" w:eastAsia="宋体" w:cs="Arial"/>
          <w:snapToGrid w:val="0"/>
          <w:spacing w:val="-6"/>
          <w:kern w:val="21"/>
          <w:szCs w:val="21"/>
        </w:rPr>
        <w:fldChar w:fldCharType="end"/>
      </w:r>
      <w:r>
        <w:rPr>
          <w:rFonts w:hint="default" w:ascii="Arial" w:hAnsi="Arial" w:eastAsia="宋体" w:cs="Arial"/>
          <w:snapToGrid w:val="0"/>
          <w:spacing w:val="-6"/>
          <w:kern w:val="21"/>
          <w:szCs w:val="21"/>
        </w:rPr>
        <w:t>；</w:t>
      </w:r>
    </w:p>
    <w:sectPr>
      <w:headerReference r:id="rId30" w:type="default"/>
      <w:pgSz w:w="16838" w:h="11906" w:orient="landscape"/>
      <w:pgMar w:top="1287" w:right="1440" w:bottom="1701" w:left="1440" w:header="851" w:footer="992" w:gutter="0"/>
      <w:pgBorders>
        <w:top w:val="single" w:color="auto" w:sz="4" w:space="1"/>
        <w:left w:val="single" w:color="auto" w:sz="4" w:space="4"/>
        <w:bottom w:val="single" w:color="auto" w:sz="4" w:space="1"/>
        <w:right w:val="single" w:color="auto" w:sz="4" w:space="4"/>
      </w:pgBorders>
      <w:cols w:space="425" w:num="1" w:sep="1"/>
      <w:docGrid w:type="lines"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onospace">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7FFAEFF" w:usb1="F9DFFFFF" w:usb2="0000007F" w:usb3="00000000" w:csb0="203F01FF" w:csb1="DFFF0000"/>
  </w:font>
  <w:font w:name="Times">
    <w:altName w:val="Times New Roman"/>
    <w:panose1 w:val="02020603050405020304"/>
    <w:charset w:val="00"/>
    <w:family w:val="roman"/>
    <w:pitch w:val="default"/>
    <w:sig w:usb0="00000000" w:usb1="00000000" w:usb2="00000009" w:usb3="00000000" w:csb0="000001FF" w:csb1="00000000"/>
  </w:font>
  <w:font w:name="ˎ̥">
    <w:altName w:val="Times New Roman"/>
    <w:panose1 w:val="00000000000000000000"/>
    <w:charset w:val="00"/>
    <w:family w:val="roman"/>
    <w:pitch w:val="default"/>
    <w:sig w:usb0="00000000" w:usb1="00000000" w:usb2="00000000" w:usb3="00000000" w:csb0="00000000" w:csb1="00000000"/>
  </w:font>
  <w:font w:name="Geneva">
    <w:altName w:val="Arial"/>
    <w:panose1 w:val="00000000000000000000"/>
    <w:charset w:val="00"/>
    <w:family w:val="swiss"/>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o¨²¨¬.">
    <w:altName w:val="Arial"/>
    <w:panose1 w:val="00000000000000000000"/>
    <w:charset w:val="00"/>
    <w:family w:val="moder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细黑">
    <w:panose1 w:val="02010600040101010101"/>
    <w:charset w:val="86"/>
    <w:family w:val="auto"/>
    <w:pitch w:val="default"/>
    <w:sig w:usb0="00000287" w:usb1="080F0000" w:usb2="00000000" w:usb3="00000000" w:csb0="0004009F" w:csb1="DFD70000"/>
  </w:font>
  <w:font w:name="·s²Ó©úÅé">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华文仿宋">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方正宋三简体">
    <w:altName w:val="宋体"/>
    <w:panose1 w:val="00000000000000000000"/>
    <w:charset w:val="86"/>
    <w:family w:val="auto"/>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4493890"/>
      <w:docPartObj>
        <w:docPartGallery w:val="autotext"/>
      </w:docPartObj>
    </w:sdtPr>
    <w:sdtContent>
      <w:p w14:paraId="5C52145B">
        <w:pPr>
          <w:pStyle w:val="34"/>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sz w:val="21"/>
        <w:szCs w:val="21"/>
      </w:rPr>
      <w:id w:val="827872260"/>
      <w:docPartObj>
        <w:docPartGallery w:val="autotext"/>
      </w:docPartObj>
    </w:sdtPr>
    <w:sdtEndPr>
      <w:rPr>
        <w:rFonts w:ascii="Times New Roman" w:hAnsi="Times New Roman" w:cs="Times New Roman"/>
        <w:sz w:val="21"/>
        <w:szCs w:val="21"/>
      </w:rPr>
    </w:sdtEndPr>
    <w:sdtContent>
      <w:p w14:paraId="3B61ECEB">
        <w:pPr>
          <w:pStyle w:val="3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29</w:t>
        </w:r>
        <w:r>
          <w:rPr>
            <w:rFonts w:ascii="Times New Roman" w:hAnsi="Times New Roman" w:cs="Times New Roman"/>
            <w:sz w:val="21"/>
            <w:szCs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993871477"/>
      <w:docPartObj>
        <w:docPartGallery w:val="autotext"/>
      </w:docPartObj>
    </w:sdtPr>
    <w:sdtEndPr>
      <w:rPr>
        <w:sz w:val="21"/>
        <w:szCs w:val="21"/>
      </w:rPr>
    </w:sdtEndPr>
    <w:sdtContent>
      <w:p w14:paraId="26D3F07D">
        <w:pPr>
          <w:pStyle w:val="34"/>
          <w:jc w:val="center"/>
          <w:rPr>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64</w:t>
        </w:r>
        <w:r>
          <w:rPr>
            <w:rFonts w:ascii="Times New Roman" w:hAnsi="Times New Roman" w:eastAsia="宋体" w:cs="Times New Roman"/>
            <w:sz w:val="21"/>
            <w:szCs w:val="21"/>
          </w:rPr>
          <w:fldChar w:fldCharType="end"/>
        </w:r>
      </w:p>
    </w:sdtContent>
  </w:sdt>
  <w:p w14:paraId="1BFDD3E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1"/>
        <w:szCs w:val="21"/>
      </w:rPr>
      <w:id w:val="147476668"/>
      <w:docPartObj>
        <w:docPartGallery w:val="autotext"/>
      </w:docPartObj>
    </w:sdtPr>
    <w:sdtEndPr>
      <w:rPr>
        <w:sz w:val="21"/>
        <w:szCs w:val="21"/>
      </w:rPr>
    </w:sdtEndPr>
    <w:sdtContent>
      <w:p w14:paraId="783B6ABE">
        <w:pPr>
          <w:pStyle w:val="34"/>
          <w:jc w:val="center"/>
          <w:rPr>
            <w:sz w:val="21"/>
            <w:szCs w:val="21"/>
          </w:rPr>
        </w:pPr>
        <w:r>
          <w:rPr>
            <w:rFonts w:ascii="Times New Roman" w:hAnsi="Times New Roman" w:eastAsia="宋体" w:cs="Times New Roman"/>
            <w:sz w:val="21"/>
            <w:szCs w:val="21"/>
          </w:rPr>
          <w:fldChar w:fldCharType="begin"/>
        </w:r>
        <w:r>
          <w:rPr>
            <w:rFonts w:ascii="Times New Roman" w:hAnsi="Times New Roman" w:eastAsia="宋体" w:cs="Times New Roman"/>
            <w:sz w:val="21"/>
            <w:szCs w:val="21"/>
          </w:rPr>
          <w:instrText xml:space="preserve">PAGE   \* MERGEFORMAT</w:instrText>
        </w:r>
        <w:r>
          <w:rPr>
            <w:rFonts w:ascii="Times New Roman" w:hAnsi="Times New Roman" w:eastAsia="宋体" w:cs="Times New Roman"/>
            <w:sz w:val="21"/>
            <w:szCs w:val="21"/>
          </w:rPr>
          <w:fldChar w:fldCharType="separate"/>
        </w:r>
        <w:r>
          <w:rPr>
            <w:rFonts w:ascii="Times New Roman" w:hAnsi="Times New Roman" w:eastAsia="宋体" w:cs="Times New Roman"/>
            <w:sz w:val="21"/>
            <w:szCs w:val="21"/>
            <w:lang w:val="zh-CN"/>
          </w:rPr>
          <w:t>64</w:t>
        </w:r>
        <w:r>
          <w:rPr>
            <w:rFonts w:ascii="Times New Roman" w:hAnsi="Times New Roman" w:eastAsia="宋体" w:cs="Times New Roman"/>
            <w:sz w:val="21"/>
            <w:szCs w:val="21"/>
          </w:rPr>
          <w:fldChar w:fldCharType="end"/>
        </w:r>
      </w:p>
    </w:sdtContent>
  </w:sdt>
  <w:p w14:paraId="55A2DE5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31539">
    <w:pPr>
      <w:pStyle w:val="3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97F3B">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67456" behindDoc="0" locked="0" layoutInCell="1" allowOverlap="1">
              <wp:simplePos x="0" y="0"/>
              <wp:positionH relativeFrom="page">
                <wp:posOffset>1009650</wp:posOffset>
              </wp:positionH>
              <wp:positionV relativeFrom="page">
                <wp:posOffset>899795</wp:posOffset>
              </wp:positionV>
              <wp:extent cx="455930" cy="8886190"/>
              <wp:effectExtent l="4445" t="4445" r="15875" b="5715"/>
              <wp:wrapNone/>
              <wp:docPr id="12" name="文本框 4"/>
              <wp:cNvGraphicFramePr/>
              <a:graphic xmlns:a="http://schemas.openxmlformats.org/drawingml/2006/main">
                <a:graphicData uri="http://schemas.microsoft.com/office/word/2010/wordprocessingShape">
                  <wps:wsp>
                    <wps:cNvSpPr txBox="1"/>
                    <wps:spPr>
                      <a:xfrm>
                        <a:off x="0" y="0"/>
                        <a:ext cx="455930" cy="88861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5D8C35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与项</w:t>
                          </w:r>
                        </w:p>
                        <w:p w14:paraId="2200C346">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目有</w:t>
                          </w:r>
                        </w:p>
                        <w:p w14:paraId="306B780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关的</w:t>
                          </w:r>
                        </w:p>
                        <w:p w14:paraId="5E959BA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原有</w:t>
                          </w:r>
                        </w:p>
                        <w:p w14:paraId="525346FF">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污染</w:t>
                          </w:r>
                        </w:p>
                        <w:p w14:paraId="3989E756">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问题</w:t>
                          </w:r>
                        </w:p>
                      </w:txbxContent>
                    </wps:txbx>
                    <wps:bodyPr anchor="ctr" anchorCtr="0" upright="1"/>
                  </wps:wsp>
                </a:graphicData>
              </a:graphic>
            </wp:anchor>
          </w:drawing>
        </mc:Choice>
        <mc:Fallback>
          <w:pict>
            <v:shape id="文本框 4" o:spid="_x0000_s1026" o:spt="202" type="#_x0000_t202" style="position:absolute;left:0pt;margin-left:79.5pt;margin-top:70.85pt;height:699.7pt;width:35.9pt;mso-position-horizontal-relative:page;mso-position-vertical-relative:page;z-index:251667456;v-text-anchor:middle;mso-width-relative:page;mso-height-relative:page;" fillcolor="#FFFFFF" filled="t" stroked="t" coordsize="21600,21600" o:gfxdata="UEsDBAoAAAAAAIdO4kAAAAAAAAAAAAAAAAAEAAAAZHJzL1BLAwQUAAAACACHTuJAlkRKbtoAAAAM&#10;AQAADwAAAGRycy9kb3ducmV2LnhtbE2PzU7DMBCE70i8g7VI3KjjtkBJ41QIqQcOSKnbB3DiJY4a&#10;21Hs9IenZ3uC245mNDtfsbm4np1wjF3wEsQsA4a+CabzrYTDfvu0AhaT9kb3waOEK0bYlPd3hc5N&#10;OPsdnlRqGZX4mGsJNqUh5zw2Fp2OszCgJ+87jE4nkmPLzajPVO56Ps+yF+505+mD1QN+WGyOanIS&#10;pqHavy++PpWtroeftKpVV22VlI8PIlsDS3hJf2G4zafpUNKmOkzeRNaTfn4jlkTHUrwCo8R8kRFM&#10;fbOWQgAvC/4fovwFUEsDBBQAAAAIAIdO4kB9kjrSHAIAAFIEAAAOAAAAZHJzL2Uyb0RvYy54bWyt&#10;VM2O0zAQviPxDpbvNG13W3WjpiuxpVwQIC08gGs7iSX/yeM26QvAG3Diwp3n6nMwdrrdHzj0QA7J&#10;2DP+Zr5vxlne9kaTvQygnK3oZDSmRFruhLJNRb9+2bxZUAKRWcG0s7KiBwn0dvX61bLzpZy61mkh&#10;A0EQC2XnK9rG6MuiAN5Kw2DkvLTorF0wLOIyNIUIrEN0o4vpeDwvOheED45LANxdD056QgyXALq6&#10;VlyuHd8ZaeOAGqRmESlBqzzQVa62riWPn+oaZCS6osg05jcmQXub3sVqycomMN8qfiqBXVLCC06G&#10;KYtJz1BrFhnZBfUXlFE8OHB1HHFnioFIVgRZTMYvtLlvmZeZC0oN/iw6/D9Y/nH/ORAlcBKmlFhm&#10;sOPHH9+PP38ff30j10mfzkOJYfceA2P/1vUY+7APuJlo93Uw6YuECPpR3cNZXdlHwnHzeja7uUIP&#10;R9disZhPbrL8xeNpHyC+l86QZFQ0YPeyqGz/ASJWgqEPISkZOK3ERmmdF6HZ3ulA9gw7vclPKhKP&#10;PAvTlnQVnV/NUiEMx7fGsUHTeJQAbJPzPTsBT4HH+fkXcCpszaAdCsgIKYyVRkUZstVKJt5ZQeLB&#10;o8oWbxdNxRgpKNESL2OycmRkSl8Siey0RZKpRUMrkhX7bY8wydw6ccC2Mctbh1PPY6CnxV0cbsHO&#10;B9W0qHbuaUbCUcvCna5FmuWn65zv8Vew+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REpu2gAA&#10;AAwBAAAPAAAAAAAAAAEAIAAAACIAAABkcnMvZG93bnJldi54bWxQSwECFAAUAAAACACHTuJAfZI6&#10;0hwCAABSBAAADgAAAAAAAAABACAAAAApAQAAZHJzL2Uyb0RvYy54bWxQSwUGAAAAAAYABgBZAQAA&#10;twUAAAAA&#10;">
              <v:fill on="t" focussize="0,0"/>
              <v:stroke weight="0.5pt" color="#000000" joinstyle="miter"/>
              <v:imagedata o:title=""/>
              <o:lock v:ext="edit" aspectratio="f"/>
              <v:textbox>
                <w:txbxContent>
                  <w:p w14:paraId="35D8C35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与项</w:t>
                    </w:r>
                  </w:p>
                  <w:p w14:paraId="2200C346">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目有</w:t>
                    </w:r>
                  </w:p>
                  <w:p w14:paraId="306B780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关的</w:t>
                    </w:r>
                  </w:p>
                  <w:p w14:paraId="5E959BA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原有</w:t>
                    </w:r>
                  </w:p>
                  <w:p w14:paraId="525346FF">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污染</w:t>
                    </w:r>
                  </w:p>
                  <w:p w14:paraId="3989E756">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问题</w:t>
                    </w:r>
                  </w:p>
                </w:txbxContent>
              </v:textbox>
            </v:shape>
          </w:pict>
        </mc:Fallback>
      </mc:AlternateContent>
    </w:r>
    <w:r>
      <w:rPr>
        <w:rFonts w:hint="eastAsia" w:ascii="宋体" w:hAnsi="宋体" w:eastAsia="宋体"/>
        <w:b/>
        <w:bCs/>
        <w:sz w:val="28"/>
        <w:szCs w:val="28"/>
      </w:rPr>
      <w:t>二、建设项目工程分析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72F6A">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68480" behindDoc="0" locked="0" layoutInCell="1" allowOverlap="1">
              <wp:simplePos x="0" y="0"/>
              <wp:positionH relativeFrom="page">
                <wp:posOffset>1009650</wp:posOffset>
              </wp:positionH>
              <wp:positionV relativeFrom="page">
                <wp:posOffset>900430</wp:posOffset>
              </wp:positionV>
              <wp:extent cx="455930" cy="8876030"/>
              <wp:effectExtent l="5080" t="4445" r="15240" b="15875"/>
              <wp:wrapNone/>
              <wp:docPr id="13" name="Text Box 51"/>
              <wp:cNvGraphicFramePr/>
              <a:graphic xmlns:a="http://schemas.openxmlformats.org/drawingml/2006/main">
                <a:graphicData uri="http://schemas.microsoft.com/office/word/2010/wordprocessingShape">
                  <wps:wsp>
                    <wps:cNvSpPr txBox="1"/>
                    <wps:spPr>
                      <a:xfrm>
                        <a:off x="0" y="0"/>
                        <a:ext cx="455930" cy="88760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A39EACD">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区域环境质量现状</w:t>
                          </w:r>
                        </w:p>
                      </w:txbxContent>
                    </wps:txbx>
                    <wps:bodyPr anchor="ctr" anchorCtr="0" upright="1"/>
                  </wps:wsp>
                </a:graphicData>
              </a:graphic>
            </wp:anchor>
          </w:drawing>
        </mc:Choice>
        <mc:Fallback>
          <w:pict>
            <v:shape id="Text Box 51" o:spid="_x0000_s1026" o:spt="202" type="#_x0000_t202" style="position:absolute;left:0pt;margin-left:79.5pt;margin-top:70.9pt;height:698.9pt;width:35.9pt;mso-position-horizontal-relative:page;mso-position-vertical-relative:page;z-index:251668480;v-text-anchor:middle;mso-width-relative:page;mso-height-relative:page;" fillcolor="#FFFFFF" filled="t" stroked="t" coordsize="21600,21600" o:gfxdata="UEsDBAoAAAAAAIdO4kAAAAAAAAAAAAAAAAAEAAAAZHJzL1BLAwQUAAAACACHTuJAjZhxcdcAAAAM&#10;AQAADwAAAGRycy9kb3ducmV2LnhtbE1PS07DMBTcI3EH6yGxo3YaqNoQp0JIXbBACm4P4MRuHBE/&#10;R7HTD6fndQW7Gc1oPuX24gd2slPsA0rIFgKYxTaYHjsJh/3uaQ0sJo1GDwGthKuNsK3u70pdmHDG&#10;L3tSqWMUgrHQElxKY8F5bJ31Oi7CaJG0Y5i8TkSnjptJnyncD3wpxIp73SM1OD3ad2fbbzV7CfNY&#10;79/yzw/l6uvhJ60b1dc7JeXjQyZegSV7SX9muM2n6VDRpibMaCIbiL9s6Esi8JzRB3Isc0GguUn5&#10;ZgW8Kvn/E9UvUEsDBBQAAAAIAIdO4kBTwvDlCQIAAFIEAAAOAAAAZHJzL2Uyb0RvYy54bWytVEuP&#10;0zAQviPxHyzfadItLUvUdCW2lAsCpF1+wNRxEkt+yeM26b9n7HS7Dzj0QA7JvPzNzDfjrO9Go9lR&#10;BlTO1nw+KzmTVrhG2a7mvx93H245wwi2Ae2srPlJIr/bvH+3Hnwlb1zvdCMDIxCL1eBr3sfoq6JA&#10;0UsDOHNeWnK2LhiIpIauaAIMhG50cVOWq2JwofHBCYlI1u3k5GfEcA2ga1sl5NaJg5E2TqhBaojU&#10;EvbKI9/kattWivizbVFGpmtOncb8piQk79O72Kyh6gL4XolzCXBNCW96MqAsJb1AbSECOwT1F5RR&#10;Ijh0bZwJZ4qpkcwIdTEv33Dz0IOXuReiGv2FdPx/sOLH8VdgqqFNWHBmwdDEH+UY2Rc3suU88TN4&#10;rCjswVNgHMlOsU92JGNqe2yDSV9qiJGf2D1d2E1ogowfl8vPC/IIct3eflqVpBB88XzaB4zfpDMs&#10;CTUPNL1MKhy/Y5xCn0JSMnRaNTuldVZCt7/XgR2BJr3Lzxn9VZi2bKj5arFMhQCtb0trQ6LxRAHa&#10;Lud7dQJfApf5+RdwKmwL2E8FZIQUBpVRUYYs9RKar7Zh8eSJZUu3i6dijGw405IuY5JyZASlr4kk&#10;7rQlCtOIplEkKY77kWCSuHfNicYGVvSOtl7EwM/KfZxuwcEH1fXEdp5pRqJVy2M5X4u0yy/1nO/5&#10;V7D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YcXHXAAAADAEAAA8AAAAAAAAAAQAgAAAAIgAA&#10;AGRycy9kb3ducmV2LnhtbFBLAQIUABQAAAAIAIdO4kBTwvDlCQIAAFIEAAAOAAAAAAAAAAEAIAAA&#10;ACYBAABkcnMvZTJvRG9jLnhtbFBLBQYAAAAABgAGAFkBAAChBQAAAAA=&#10;">
              <v:fill on="t" focussize="0,0"/>
              <v:stroke weight="0.5pt" color="#000000" joinstyle="miter"/>
              <v:imagedata o:title=""/>
              <o:lock v:ext="edit" aspectratio="f"/>
              <v:textbox>
                <w:txbxContent>
                  <w:p w14:paraId="6A39EACD">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区域环境质量现状</w:t>
                    </w:r>
                  </w:p>
                </w:txbxContent>
              </v:textbox>
            </v:shape>
          </w:pict>
        </mc:Fallback>
      </mc:AlternateContent>
    </w:r>
    <w:r>
      <w:rPr>
        <w:rFonts w:hint="eastAsia" w:ascii="宋体" w:hAnsi="宋体" w:eastAsia="宋体"/>
        <w:b/>
        <w:bCs/>
        <w:sz w:val="28"/>
        <w:szCs w:val="28"/>
      </w:rPr>
      <w:t>二、建设项目工程分析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AD5FA">
    <w:pPr>
      <w:pStyle w:val="35"/>
      <w:pBdr>
        <w:bottom w:val="none" w:color="auto" w:sz="0" w:space="0"/>
      </w:pBdr>
      <w:ind w:firstLine="360" w:firstLineChars="200"/>
      <w:jc w:val="both"/>
      <w:rPr>
        <w:rFonts w:ascii="宋体" w:hAnsi="宋体" w:eastAsia="宋体"/>
        <w:b/>
        <w:bCs/>
        <w:sz w:val="28"/>
        <w:szCs w:val="28"/>
      </w:rPr>
    </w:pPr>
    <w:r>
      <mc:AlternateContent>
        <mc:Choice Requires="wps">
          <w:drawing>
            <wp:anchor distT="0" distB="0" distL="114300" distR="114300" simplePos="0" relativeHeight="251661312"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4" name="文本框 6"/>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9352B7E">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环境</w:t>
                          </w:r>
                        </w:p>
                        <w:p w14:paraId="00F6B8E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73627C2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目标</w:t>
                          </w:r>
                        </w:p>
                      </w:txbxContent>
                    </wps:txbx>
                    <wps:bodyPr wrap="none" anchor="ctr" anchorCtr="0" upright="1"/>
                  </wps:wsp>
                </a:graphicData>
              </a:graphic>
            </wp:anchor>
          </w:drawing>
        </mc:Choice>
        <mc:Fallback>
          <w:pict>
            <v:shape id="文本框 6" o:spid="_x0000_s1026" o:spt="202" type="#_x0000_t202" style="position:absolute;left:0pt;margin-left:79.5pt;margin-top:71pt;height:700.45pt;width:38.95pt;mso-position-horizontal-relative:page;mso-position-vertical-relative:page;mso-wrap-style:none;z-index:251661312;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L/UAGQgAgAAXQQAAA4AAABkcnMvZTJvRG9jLnhtbK1UzY7T&#10;MBC+I/EOlu807dKWbtR0JbaUCwKkhQeY2k5iyX+y3SZ9AXgDTly481z7HIydtvsDhx7wwZmxx9/M&#10;fDOT5U2vFdkLH6Q1FZ2MxpQIwyyXpqno1y+bVwtKQgTDQVkjKnoQgd6sXr5Ydq4UV7a1igtPEMSE&#10;snMVbWN0ZVEE1goNYWSdMHhZW68houqbgnvoEF2r4mo8nhed9dx5y0QIeLoeLukR0V8CaOtaMrG2&#10;bKeFiQOqFwoiphRa6QJd5WjrWrD4qa6DiERVFDONeUcnKG/TXqyWUDYeXCvZMQS4JIRnOWmQBp2e&#10;odYQgey8/AtKS+ZtsHUcMauLIZHMCGYxGT/j5q4FJ3IuSHVwZ9LD/4NlH/efPZG8olNKDGgs+P2P&#10;7/c/f9//+kbmiZ7OhRKt7hzaxf6t7bFpTucBD1PWfe11+mI+BO+R3MOZXNFHwvBwej2dz2eUMLxa&#10;LK5nbyazBFM8vHY+xPfCapKEinosXuYU9h9CHExPJslZsEryjVQqK77Z3ipP9oCF3uR1RH9ipgzp&#10;Kjp/PcMQGWD31tg1KGqHDATTZH9PXoTHwOO8/gWcAltDaIcAMkIyg1LLKHyWWgH8neEkHhyybHC4&#10;aApGC06JEjiLScqWEaS6xBK5UwYpTCUaSpGk2G97hEni1vIDlq3D/j55BMNaiwPAoqdkUG7jMBA7&#10;52XTIvO5vhkVuy6X6Dghqa0f69n3w19h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va6y1gAA&#10;AAwBAAAPAAAAAAAAAAEAIAAAACIAAABkcnMvZG93bnJldi54bWxQSwECFAAUAAAACACHTuJAv9QA&#10;ZCACAABdBAAADgAAAAAAAAABACAAAAAlAQAAZHJzL2Uyb0RvYy54bWxQSwUGAAAAAAYABgBZAQAA&#10;twUAAAAA&#10;">
              <v:fill on="t" focussize="0,0"/>
              <v:stroke weight="0.5pt" color="#000000" joinstyle="miter"/>
              <v:imagedata o:title=""/>
              <o:lock v:ext="edit" aspectratio="f"/>
              <v:textbox>
                <w:txbxContent>
                  <w:p w14:paraId="19352B7E">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环境</w:t>
                    </w:r>
                  </w:p>
                  <w:p w14:paraId="00F6B8E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73627C2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目标</w:t>
                    </w:r>
                  </w:p>
                </w:txbxContent>
              </v:textbox>
            </v:shape>
          </w:pict>
        </mc:Fallback>
      </mc:AlternateContent>
    </w:r>
    <w:r>
      <w:rPr>
        <w:rFonts w:hint="eastAsia" w:ascii="宋体" w:hAnsi="宋体" w:eastAsia="宋体"/>
        <w:b/>
        <w:bCs/>
        <w:sz w:val="28"/>
        <w:szCs w:val="28"/>
      </w:rPr>
      <w:t>三、区域环境质量现状、环境保护目标及评价标准</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CC2AB">
    <w:pPr>
      <w:pStyle w:val="35"/>
      <w:pBdr>
        <w:bottom w:val="none" w:color="auto" w:sz="0" w:space="0"/>
      </w:pBdr>
      <w:ind w:firstLine="360" w:firstLineChars="200"/>
      <w:jc w:val="both"/>
      <w:rPr>
        <w:rFonts w:ascii="宋体" w:hAnsi="宋体" w:eastAsia="宋体"/>
        <w:b/>
        <w:bCs/>
        <w:sz w:val="28"/>
        <w:szCs w:val="28"/>
      </w:rPr>
    </w:pPr>
    <w:r>
      <mc:AlternateContent>
        <mc:Choice Requires="wps">
          <w:drawing>
            <wp:anchor distT="0" distB="0" distL="114300" distR="114300" simplePos="0" relativeHeight="251662336"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6" name="文本框 9"/>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61A78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总量</w:t>
                          </w:r>
                        </w:p>
                        <w:p w14:paraId="57550F2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控制</w:t>
                          </w:r>
                        </w:p>
                        <w:p w14:paraId="320078E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指标</w:t>
                          </w:r>
                        </w:p>
                      </w:txbxContent>
                    </wps:txbx>
                    <wps:bodyPr wrap="none" anchor="ctr" anchorCtr="0" upright="1"/>
                  </wps:wsp>
                </a:graphicData>
              </a:graphic>
            </wp:anchor>
          </w:drawing>
        </mc:Choice>
        <mc:Fallback>
          <w:pict>
            <v:shape id="文本框 9" o:spid="_x0000_s1026" o:spt="202" type="#_x0000_t202" style="position:absolute;left:0pt;margin-left:79.5pt;margin-top:71pt;height:700.45pt;width:38.95pt;mso-position-horizontal-relative:page;mso-position-vertical-relative:page;mso-wrap-style:none;z-index:251662336;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L8nvsggAgAAXQQAAA4AAABkcnMvZTJvRG9jLnhtbK1UzY7T&#10;MBC+I/EOlu807bItbdR0JbaUCwKkhQeY2k5iyX+y3SZ9AXgDTly481z7HIydtvsDhx7IIRnb42/m&#10;+2Ymy5teK7IXPkhrKjoZjSkRhlkuTVPRr182r+aUhAiGg7JGVPQgAr1ZvXyx7FwprmxrFReeIIgJ&#10;Zecq2sboyqIIrBUawsg6YfCwtl5DxKVvCu6hQ3StiqvxeFZ01nPnLRMh4O56OKRHRH8JoK1rycTa&#10;sp0WJg6oXiiISCm00gW6ytnWtWDxU10HEYmqKDKN+Y1B0N6md7FaQtl4cK1kxxTgkhSecdIgDQY9&#10;Q60hAtl5+ReUlszbYOs4YlYXA5GsCLKYjJ9pc9eCE5kLSh3cWfTw/2DZx/1nTySv6IwSAxoLfv/j&#10;+/3P3/e/vpFFkqdzoUSvO4d+sX9re2ya037AzcS6r71OX+RD8BzFPZzFFX0kDDevF9ez2ZQShkfz&#10;+WL6ZjJNMMXDbedDfC+sJsmoqMfiZU1h/yHEwfXkkoIFqyTfSKXywjfbW+XJHrDQm/wc0Z+4KUM6&#10;pPp6iikywO6tsWvQ1A4VCKbJ8Z7cCI+Bx/n5F3BKbA2hHRLICMkNSi2j8NlqBfB3hpN4cKiyweGi&#10;KRktOCVK4CwmK3tGkOoST9ROGZQwlWgoRbJiv+0RJplbyw9Ytg77+xQRDGstDgCLnpJhcRuHgdg5&#10;L5sWlc/1zajYdblExwlJbf14nWM//BV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qva6y1gAA&#10;AAwBAAAPAAAAAAAAAAEAIAAAACIAAABkcnMvZG93bnJldi54bWxQSwECFAAUAAAACACHTuJAvye+&#10;yCACAABdBAAADgAAAAAAAAABACAAAAAlAQAAZHJzL2Uyb0RvYy54bWxQSwUGAAAAAAYABgBZAQAA&#10;twUAAAAA&#10;">
              <v:fill on="t" focussize="0,0"/>
              <v:stroke weight="0.5pt" color="#000000" joinstyle="miter"/>
              <v:imagedata o:title=""/>
              <o:lock v:ext="edit" aspectratio="f"/>
              <v:textbox>
                <w:txbxContent>
                  <w:p w14:paraId="5561A78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总量</w:t>
                    </w:r>
                  </w:p>
                  <w:p w14:paraId="57550F2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控制</w:t>
                    </w:r>
                  </w:p>
                  <w:p w14:paraId="320078E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指标</w:t>
                    </w:r>
                  </w:p>
                </w:txbxContent>
              </v:textbox>
            </v:shape>
          </w:pict>
        </mc:Fallback>
      </mc:AlternateContent>
    </w:r>
    <w:r>
      <w:rPr>
        <w:rFonts w:hint="eastAsia" w:ascii="宋体" w:hAnsi="宋体" w:eastAsia="宋体"/>
        <w:b/>
        <w:bCs/>
        <w:sz w:val="28"/>
        <w:szCs w:val="28"/>
      </w:rPr>
      <w:t>三、区域环境质量现状、环境保护目标及评价标准</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196FE">
    <w:pPr>
      <w:pStyle w:val="35"/>
      <w:pBdr>
        <w:bottom w:val="none" w:color="auto" w:sz="0" w:space="0"/>
      </w:pBdr>
      <w:ind w:firstLine="1260" w:firstLineChars="700"/>
      <w:jc w:val="both"/>
      <w:rPr>
        <w:rFonts w:ascii="宋体" w:hAnsi="宋体" w:eastAsia="宋体"/>
        <w:b/>
        <w:bCs/>
        <w:sz w:val="28"/>
        <w:szCs w:val="28"/>
      </w:rPr>
    </w:pPr>
    <w:r>
      <mc:AlternateContent>
        <mc:Choice Requires="wps">
          <w:drawing>
            <wp:anchor distT="0" distB="0" distL="114300" distR="114300" simplePos="0" relativeHeight="251663360"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8" name="文本框 11"/>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DE98A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施工</w:t>
                          </w:r>
                        </w:p>
                        <w:p w14:paraId="458BD21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796677A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境保</w:t>
                          </w:r>
                        </w:p>
                        <w:p w14:paraId="35FAD9E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护措</w:t>
                          </w:r>
                        </w:p>
                        <w:p w14:paraId="5A9CC0E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施</w:t>
                          </w:r>
                        </w:p>
                      </w:txbxContent>
                    </wps:txbx>
                    <wps:bodyPr wrap="none" anchor="ctr" anchorCtr="0" upright="1"/>
                  </wps:wsp>
                </a:graphicData>
              </a:graphic>
            </wp:anchor>
          </w:drawing>
        </mc:Choice>
        <mc:Fallback>
          <w:pict>
            <v:shape id="文本框 11" o:spid="_x0000_s1026" o:spt="202" type="#_x0000_t202" style="position:absolute;left:0pt;margin-left:79.5pt;margin-top:71pt;height:700.45pt;width:38.95pt;mso-position-horizontal-relative:page;mso-position-vertical-relative:page;mso-wrap-style:none;z-index:251663360;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D5IMa8hAgAAXgQAAA4AAABkcnMvZTJvRG9jLnhtbK1UzY7T&#10;MBC+I/EOlu807bIt3ajpSmwpFwRICw/g2k5iyX/yuE36AvAGnLhw57n6HIydtvsDhx7IIRnb429m&#10;vm8mi9veaLKTAZSzFZ2MxpRIy51Qtqno1y/rV3NKIDIrmHZWVnQvgd4uX75YdL6UV651WshAEMRC&#10;2fmKtjH6siiAt9IwGDkvLR7WLhgWcRmaQgTWIbrRxdV4PCs6F4QPjksA3F0Nh/SIGC4BdHWtuFw5&#10;vjXSxgE1SM0ilgSt8kCXOdu6ljx+qmuQkeiKYqUxvzEI2pv0LpYLVjaB+VbxYwrskhSe1WSYshj0&#10;DLVikZFtUH9BGcWDA1fHEXemGArJjGAVk/Ezbu5b5mWuBakGfyYd/h8s/7j7HIgSFUXZLTMo+OHH&#10;98PP34df38hkkvjpPJTodu/RMfZvXY9dc9oH3Exl93Uw6YsFETxHdvdndmUfCcfN65vr2WxKCcej&#10;+fxm+mYyTTDFw20fIL6XzpBkVDSgeplUtvsAcXA9uaRg4LQSa6V1XoRmc6cD2TFUep2fI/oTN21J&#10;V9HZ6ymmyBm2b41tg6bxSAHYJsd7cgMeA4/z8y/glNiKQTskkBGSGyuNijJkq5VMvLOCxL1Hmi1O&#10;F03JGCko0RKHMVnZMzKlL/FE7rRFCpNEgxTJiv2mR5hkbpzYo2wdNvgpIrO8dTgBPAZKhsVdHCZi&#10;64NqWmQ+65tRse2yRMcRSX39eJ1jP/wW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r2ustYA&#10;AAAMAQAADwAAAAAAAAABACAAAAAiAAAAZHJzL2Rvd25yZXYueG1sUEsBAhQAFAAAAAgAh07iQD5I&#10;Ma8hAgAAXgQAAA4AAAAAAAAAAQAgAAAAJQEAAGRycy9lMm9Eb2MueG1sUEsFBgAAAAAGAAYAWQEA&#10;ALgFAAAAAA==&#10;">
              <v:fill on="t" focussize="0,0"/>
              <v:stroke weight="0.5pt" color="#000000" joinstyle="miter"/>
              <v:imagedata o:title=""/>
              <o:lock v:ext="edit" aspectratio="f"/>
              <v:textbox>
                <w:txbxContent>
                  <w:p w14:paraId="2FDE98A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施工</w:t>
                    </w:r>
                  </w:p>
                  <w:p w14:paraId="458BD21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796677A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境保</w:t>
                    </w:r>
                  </w:p>
                  <w:p w14:paraId="35FAD9E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护措</w:t>
                    </w:r>
                  </w:p>
                  <w:p w14:paraId="5A9CC0E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施</w:t>
                    </w:r>
                  </w:p>
                </w:txbxContent>
              </v:textbox>
            </v:shape>
          </w:pict>
        </mc:Fallback>
      </mc:AlternateContent>
    </w:r>
    <w:r>
      <w:rPr>
        <w:rFonts w:hint="eastAsia" w:ascii="宋体" w:hAnsi="宋体" w:eastAsia="宋体"/>
        <w:b/>
        <w:bCs/>
        <w:sz w:val="28"/>
        <w:szCs w:val="28"/>
      </w:rPr>
      <w:t>四、主要环境影响和保护措施</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5F22">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74624"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5" name="文本框 3"/>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AFDECA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3890282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10FA550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085D4E1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3236D5AE">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77C832A5">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wps:txbx>
                    <wps:bodyPr wrap="none" anchor="ctr" anchorCtr="0" upright="1"/>
                  </wps:wsp>
                </a:graphicData>
              </a:graphic>
            </wp:anchor>
          </w:drawing>
        </mc:Choice>
        <mc:Fallback>
          <w:pict>
            <v:shape id="文本框 3" o:spid="_x0000_s1026" o:spt="202" type="#_x0000_t202" style="position:absolute;left:0pt;margin-left:79.5pt;margin-top:70.9pt;height:700.55pt;width:38.95pt;mso-position-horizontal-relative:page;mso-position-vertical-relative:page;mso-wrap-style:none;z-index:251674624;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TFYdZh8CAABdBAAADgAAAGRycy9lMm9Eb2MueG1srVRN&#10;rhMxDN4jcYcoezp9P63aUadP4pWyQYD04ABukpmJlD8laWd6AbgBKzbsOVfPgZNp+35g0QVZZOzE&#10;+Wx/tmdx12tFdsIHaU1Fr0ZjSoRhlkvTVPTrl/WbGSUhguGgrBEV3YtA75avXy06V4pr21rFhScI&#10;YkLZuYq2MbqyKAJrhYYwsk4YvKyt1xBR9U3BPXSIrlVxPR5Pi8567rxlIgQ8XQ2X9IjoLwG0dS2Z&#10;WFm21cLEAdULBRFTCq10gS5ztHUtWPxU10FEoiqKmca8oxOUN2kvlgsoGw+ulewYAlwSwoucNEiD&#10;Ts9QK4hAtl7+BaUl8zbYOo6Y1cWQSGYEs7gav+DmoQUnci5IdXBn0sP/g2Ufd589kbyiE0oMaCz4&#10;4cf3w8/fh1/fyE2ip3OhRKsHh3axf2t7bJrTecDDlHVfe52+mA/BeyR3fyZX9JEwPLyd306n6ITh&#10;1Ww2n85nkwRTPL52PsT3wmqShIp6LF7mFHYfQhxMTybJWbBK8rVUKiu+2dwrT3aAhV7ndUR/ZqYM&#10;6So6vZlgiAywe2vsGhS1QwaCabK/Zy/CU+BxXv8CToGtILRDABkhmUGpZRQ+S60A/s5wEvcOWTY4&#10;XDQFowWnRAmcxSRlywhSXWKJ3CmDFKYSDaVIUuw3PcIkcWP5HsvWYX+fPIJhrcUBYNFTMij3cRiI&#10;rfOyaZH5XN+Mil2XS3SckNTWT/Xs+/GvsP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1tU1tgA&#10;AAAMAQAADwAAAAAAAAABACAAAAAiAAAAZHJzL2Rvd25yZXYueG1sUEsBAhQAFAAAAAgAh07iQExW&#10;HWYfAgAAXQQAAA4AAAAAAAAAAQAgAAAAJwEAAGRycy9lMm9Eb2MueG1sUEsFBgAAAAAGAAYAWQEA&#10;ALgFAAAAAA==&#10;">
              <v:fill on="t" focussize="0,0"/>
              <v:stroke weight="0.5pt" color="#000000" joinstyle="miter"/>
              <v:imagedata o:title=""/>
              <o:lock v:ext="edit" aspectratio="f"/>
              <v:textbox>
                <w:txbxContent>
                  <w:p w14:paraId="3AFDECA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3890282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10FA550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085D4E1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3236D5AE">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77C832A5">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v:textbox>
            </v:shape>
          </w:pict>
        </mc:Fallback>
      </mc:AlternateContent>
    </w:r>
    <w:r>
      <w:rPr>
        <w:rFonts w:hint="eastAsia" w:ascii="宋体" w:hAnsi="宋体" w:eastAsia="宋体"/>
        <w:b/>
        <w:bCs/>
        <w:sz w:val="28"/>
        <w:szCs w:val="28"/>
      </w:rPr>
      <w:t>二、建设项目工程分析</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7461F">
    <w:pPr>
      <w:pStyle w:val="35"/>
      <w:pBdr>
        <w:bottom w:val="none" w:color="auto" w:sz="0" w:space="1"/>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85B7A">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69504"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14" name="文本框 224"/>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11FF8F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7FA0244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132032E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4F83FAC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4A5A0A4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08DE2BB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wps:txbx>
                    <wps:bodyPr wrap="none" anchor="ctr" anchorCtr="0" upright="1"/>
                  </wps:wsp>
                </a:graphicData>
              </a:graphic>
            </wp:anchor>
          </w:drawing>
        </mc:Choice>
        <mc:Fallback>
          <w:pict>
            <v:shape id="文本框 224" o:spid="_x0000_s1026" o:spt="202" type="#_x0000_t202" style="position:absolute;left:0pt;margin-left:79.5pt;margin-top:70.9pt;height:700.55pt;width:38.95pt;mso-position-horizontal-relative:page;mso-position-vertical-relative:page;mso-wrap-style:none;z-index:251669504;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m2NnCICAABgBAAADgAAAGRycy9lMm9Eb2MueG1srVRN&#10;rtMwEN4jcQfLe5q+0kZt1PRJvFI2CJAeHGDqOIkl/8l2m/QCcANWbNhzrp7jjZ227wcWXZBFMrY/&#10;fzPzzUyWt72SZM+dF0aX9GY0poRrZiqhm5J++7p5M6fEB9AVSKN5SQ/c09vV61fLzhZ8YlojK+4I&#10;kmhfdLakbQi2yDLPWq7Aj4zlGg9r4xQEXLomqxx0yK5kNhmP86wzrrLOMO497q6HQ3pidNcQmroW&#10;jK8N2ymuw8DquISAKflWWE9XKdq65ix8rmvPA5ElxUxDeqMTtLfxna2WUDQObCvYKQS4JoQXOSkQ&#10;Gp1eqNYQgOyc+ItKCeaMN3UYMaOyIZGkCGZxM36hzX0LlqdcUGpvL6L7/0fLPu2/OCIq7IQpJRoU&#10;Vvz488fx15/j7+9kMplGhTrrCwTeW4SG/p3pEX3e97gZE+9rp+IXUyJ4jvoeLvryPhCGm9PFNM9n&#10;lDA8ms8X+WI+izTZ423rfPjAjSLRKKnD+iVZYf/RhwF6hkRn3khRbYSUaeGa7Z10ZA9Y6016TuzP&#10;YFKTrqT52xmGyAAbuMbGQVNZFMHrJvl7dsM/JR6n51/EMbA1+HYIIDFEGBRKBO6S1XKo3uuKhINF&#10;nTXOF43BKF5RIjmOY7QSMoCQ1yBRO6lRwliioRTRCv22R5pobk11wLJ12OJnj6BZa3AGWHCUDIu7&#10;MMzEzjrRtKh8qm9ixcZLJToNSezsp+vk+/HHsHo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1tU&#10;1tgAAAAMAQAADwAAAAAAAAABACAAAAAiAAAAZHJzL2Rvd25yZXYueG1sUEsBAhQAFAAAAAgAh07i&#10;QPptjZwiAgAAYAQAAA4AAAAAAAAAAQAgAAAAJwEAAGRycy9lMm9Eb2MueG1sUEsFBgAAAAAGAAYA&#10;WQEAALsFAAAAAA==&#10;">
              <v:fill on="t" focussize="0,0"/>
              <v:stroke weight="0.5pt" color="#000000" joinstyle="miter"/>
              <v:imagedata o:title=""/>
              <o:lock v:ext="edit" aspectratio="f"/>
              <v:textbox>
                <w:txbxContent>
                  <w:p w14:paraId="011FF8F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7FA0244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132032E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4F83FAC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4A5A0A4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08DE2BB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v:textbox>
            </v:shape>
          </w:pict>
        </mc:Fallback>
      </mc:AlternateContent>
    </w:r>
    <w:r>
      <w:rPr>
        <w:rFonts w:hint="eastAsia" w:ascii="宋体" w:hAnsi="宋体" w:eastAsia="宋体"/>
        <w:b/>
        <w:bCs/>
        <w:sz w:val="28"/>
        <w:szCs w:val="28"/>
      </w:rPr>
      <w:t>二、建设项目工程分析</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BEC7A">
    <w:pPr>
      <w:pStyle w:val="35"/>
      <w:pBdr>
        <w:bottom w:val="none" w:color="auto" w:sz="0" w:space="0"/>
      </w:pBdr>
      <w:ind w:firstLine="4216" w:firstLineChars="1500"/>
      <w:jc w:val="both"/>
      <w:rPr>
        <w:rFonts w:ascii="宋体" w:hAnsi="宋体" w:eastAsia="宋体"/>
        <w:b/>
        <w:bCs/>
        <w:sz w:val="28"/>
        <w:szCs w:val="28"/>
      </w:rPr>
    </w:pPr>
    <w:r>
      <w:rPr>
        <w:rFonts w:hint="eastAsia" w:ascii="宋体" w:hAnsi="宋体" w:eastAsia="宋体"/>
        <w:b/>
        <w:bCs/>
        <w:sz w:val="28"/>
        <w:szCs w:val="28"/>
      </w:rPr>
      <w:t>二、建设项目工程分析</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66ACD">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71552" behindDoc="0" locked="0" layoutInCell="1" allowOverlap="1">
              <wp:simplePos x="0" y="0"/>
              <wp:positionH relativeFrom="page">
                <wp:posOffset>1009650</wp:posOffset>
              </wp:positionH>
              <wp:positionV relativeFrom="page">
                <wp:posOffset>900430</wp:posOffset>
              </wp:positionV>
              <wp:extent cx="494665" cy="8896985"/>
              <wp:effectExtent l="5080" t="5080" r="14605" b="13335"/>
              <wp:wrapNone/>
              <wp:docPr id="16" name="文本框 17"/>
              <wp:cNvGraphicFramePr/>
              <a:graphic xmlns:a="http://schemas.openxmlformats.org/drawingml/2006/main">
                <a:graphicData uri="http://schemas.microsoft.com/office/word/2010/wordprocessingShape">
                  <wps:wsp>
                    <wps:cNvSpPr txBox="1"/>
                    <wps:spPr>
                      <a:xfrm>
                        <a:off x="0" y="0"/>
                        <a:ext cx="494665" cy="88969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EEC48B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3900182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6AE9A47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6A0FAB6C">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6B079EE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16C9D72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wps:txbx>
                    <wps:bodyPr wrap="none" anchor="ctr" anchorCtr="0" upright="1"/>
                  </wps:wsp>
                </a:graphicData>
              </a:graphic>
            </wp:anchor>
          </w:drawing>
        </mc:Choice>
        <mc:Fallback>
          <w:pict>
            <v:shape id="文本框 17" o:spid="_x0000_s1026" o:spt="202" type="#_x0000_t202" style="position:absolute;left:0pt;margin-left:79.5pt;margin-top:70.9pt;height:700.55pt;width:38.95pt;mso-position-horizontal-relative:page;mso-position-vertical-relative:page;mso-wrap-style:none;z-index:251671552;v-text-anchor:middle;mso-width-relative:page;mso-height-relative:page;" fillcolor="#FFFFFF" filled="t" stroked="t" coordsize="21600,21600" o:gfxdata="UEsDBAoAAAAAAIdO4kAAAAAAAAAAAAAAAAAEAAAAZHJzL1BLAwQUAAAACACHTuJAx1tU1tgAAAAM&#10;AQAADwAAAGRycy9kb3ducmV2LnhtbE2PzU7DMBCE70i8g7VIXFDrJISqCXF6CEKqxIlQcXbjJYmw&#10;1yF2/96e7QluO5rR7DfV5uysOOIcRk8K0mUCAqnzZqRewe7jdbEGEaImo60nVHDBAJv69qbSpfEn&#10;esdjG3vBJRRKrWCIcSqlDN2AToeln5DY+/Kz05Hl3Esz6xOXOyuzJFlJp0fiD4OesBmw+24Pjlvo&#10;7eUhS/Phc/eD6bZpm+1sL0rd36XJM4iI5/gXhis+o0PNTHt/IBOEZf1U8JbIR57yBk5kj6sCxP5q&#10;5VkBsq7k/xH1L1BLAwQUAAAACACHTuJAm86fhiACAABfBAAADgAAAGRycy9lMm9Eb2MueG1srVRN&#10;rtMwEN4jcQfLe5r28RraqOmTeKVsECA9OMDUcRJL/pPtNukF4Aas2LDnXD0HY6ft+110QRbJ2P78&#10;zcw3M1nc9EqSHXdeGF3SyWhMCdfMVEI3Jf3+bf1mRokPoCuQRvOS7rmnN8vXrxadLfiVaY2suCNI&#10;on3R2ZK2IdgiyzxruQI/MpZrPKyNUxBw6ZqsctAhu5LZ1XicZ51xlXWGce9xdzUc0iOju4TQ1LVg&#10;fGXYVnEdBlbHJQRMybfCerpM0dY1Z+FLXXseiCwpZhrSG52gvYnvbLmAonFgW8GOIcAlITzJSYHQ&#10;6PRMtYIAZOvEMyolmDPe1GHEjMqGRJIimMVk/ESbuxYsT7mg1N6eRff/j5Z93n11RFTYCTklGhRW&#10;/PDr5+H338OfH2TyLgrUWV8g7s4iMvTvTY/g077HzZh3XzsVv5gRwXOUd3+Wl/eBMNy8nl/n+ZQS&#10;hkez2Tyfz6aRJru/bZ0PH7lRJBoldVi+pCrsPvkwQE+Q6MwbKaq1kDItXLO5lY7sAEu9Ts+R/RFM&#10;atKVNH87xRAZYP/W2DdoKosaeN0kf49u+IfE4/S8RBwDW4FvhwASQ4RBoUTgLlkth+qDrkjYW5RZ&#10;43jRGIziFSWS4zRGKyEDCHkJErWTGiWMJRpKEa3Qb3qkiebGVHssW4cdfvIImrUGR4AFR8mwuA3D&#10;SGytE02Lyqf6Jlbsu1Si44zExn64Tr7v/wv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dbVNbY&#10;AAAADAEAAA8AAAAAAAAAAQAgAAAAIgAAAGRycy9kb3ducmV2LnhtbFBLAQIUABQAAAAIAIdO4kCb&#10;zp+GIAIAAF8EAAAOAAAAAAAAAAEAIAAAACcBAABkcnMvZTJvRG9jLnhtbFBLBQYAAAAABgAGAFkB&#10;AAC5BQAAAAA=&#10;">
              <v:fill on="t" focussize="0,0"/>
              <v:stroke weight="0.5pt" color="#000000" joinstyle="miter"/>
              <v:imagedata o:title=""/>
              <o:lock v:ext="edit" aspectratio="f"/>
              <v:textbox>
                <w:txbxContent>
                  <w:p w14:paraId="2EEC48B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3900182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6AE9A47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6A0FAB6C">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6B079EED">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16C9D727">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v:textbox>
            </v:shape>
          </w:pict>
        </mc:Fallback>
      </mc:AlternateContent>
    </w:r>
    <w:r>
      <w:rPr>
        <w:rFonts w:hint="eastAsia" w:ascii="宋体" w:hAnsi="宋体" w:eastAsia="宋体"/>
        <w:b/>
        <w:bCs/>
        <w:sz w:val="28"/>
        <w:szCs w:val="28"/>
      </w:rPr>
      <w:t>二、建设项目工程分析</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7BBC6">
    <w:pPr>
      <w:pStyle w:val="35"/>
      <w:pBdr>
        <w:bottom w:val="none" w:color="auto" w:sz="0" w:space="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103FF">
    <w:pPr>
      <w:pStyle w:val="35"/>
      <w:pBdr>
        <w:bottom w:val="none" w:color="auto" w:sz="0" w:space="0"/>
      </w:pBdr>
      <w:rPr>
        <w:rFonts w:ascii="宋体" w:hAnsi="宋体" w:eastAsia="宋体"/>
        <w:b/>
        <w:bCs/>
        <w:sz w:val="28"/>
        <w:szCs w:val="28"/>
      </w:rPr>
    </w:pPr>
    <w:r>
      <w:rPr>
        <w:rFonts w:hint="eastAsia" w:ascii="宋体" w:hAnsi="宋体" w:eastAsia="宋体"/>
        <w:b/>
        <w:bCs/>
        <w:sz w:val="28"/>
        <w:szCs w:val="28"/>
      </w:rPr>
      <w:t>二、建设项目工程分析</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7C0DC0">
    <w:pPr>
      <w:pStyle w:val="35"/>
      <w:pBdr>
        <w:bottom w:val="none" w:color="auto" w:sz="0" w:space="0"/>
      </w:pBdr>
      <w:ind w:firstLine="1260" w:firstLineChars="700"/>
      <w:jc w:val="both"/>
      <w:rPr>
        <w:rFonts w:ascii="宋体" w:hAnsi="宋体" w:eastAsia="宋体"/>
        <w:b/>
        <w:bCs/>
        <w:sz w:val="28"/>
        <w:szCs w:val="28"/>
      </w:rPr>
    </w:pPr>
    <w:r>
      <mc:AlternateContent>
        <mc:Choice Requires="wps">
          <w:drawing>
            <wp:anchor distT="0" distB="0" distL="114300" distR="114300" simplePos="0" relativeHeight="251664384" behindDoc="0" locked="0" layoutInCell="1" allowOverlap="1">
              <wp:simplePos x="0" y="0"/>
              <wp:positionH relativeFrom="page">
                <wp:posOffset>1009650</wp:posOffset>
              </wp:positionH>
              <wp:positionV relativeFrom="page">
                <wp:posOffset>901700</wp:posOffset>
              </wp:positionV>
              <wp:extent cx="494665" cy="8895715"/>
              <wp:effectExtent l="5080" t="5080" r="14605" b="14605"/>
              <wp:wrapNone/>
              <wp:docPr id="9" name="文本框 12"/>
              <wp:cNvGraphicFramePr/>
              <a:graphic xmlns:a="http://schemas.openxmlformats.org/drawingml/2006/main">
                <a:graphicData uri="http://schemas.microsoft.com/office/word/2010/wordprocessingShape">
                  <wps:wsp>
                    <wps:cNvSpPr txBox="1"/>
                    <wps:spPr>
                      <a:xfrm>
                        <a:off x="0" y="0"/>
                        <a:ext cx="494665" cy="889571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040661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45D68F7F">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6FB66AD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7C5ADF8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74CB44E0">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5ADAFFF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wps:txbx>
                    <wps:bodyPr wrap="none" anchor="ctr" anchorCtr="0" upright="1"/>
                  </wps:wsp>
                </a:graphicData>
              </a:graphic>
            </wp:anchor>
          </w:drawing>
        </mc:Choice>
        <mc:Fallback>
          <w:pict>
            <v:shape id="文本框 12" o:spid="_x0000_s1026" o:spt="202" type="#_x0000_t202" style="position:absolute;left:0pt;margin-left:79.5pt;margin-top:71pt;height:700.45pt;width:38.95pt;mso-position-horizontal-relative:page;mso-position-vertical-relative:page;mso-wrap-style:none;z-index:251664384;v-text-anchor:middle;mso-width-relative:page;mso-height-relative:page;" fillcolor="#FFFFFF" filled="t" stroked="t" coordsize="21600,21600" o:gfxdata="UEsDBAoAAAAAAIdO4kAAAAAAAAAAAAAAAAAEAAAAZHJzL1BLAwQUAAAACACHTuJAqr2ustYAAAAM&#10;AQAADwAAAGRycy9kb3ducmV2LnhtbE1Py07DMBC8I/EP1iJxQa0TE6omxOkhCKkSJ0LF2U2WJMJe&#10;h9h9/T3bE9xmNKN5lJuzs+KIcxg9aUiXCQik1ncj9Rp2H6+LNYgQDXXGekINFwywqW5vSlN0/kTv&#10;eGxiLziEQmE0DDFOhZShHdCZsPQTEmtffnYmMp172c3mxOHOSpUkK+nMSNwwmAnrAdvv5uA4hd5e&#10;HlSaDZ+7H0y3dVNvZ3vR+v4uTZ5BRDzHPzNc5/N0qHjT3h+oC8Iyf8r5S2SQKQbsUI+rHMT+KmUq&#10;B1mV8v+J6hdQSwMEFAAAAAgAh07iQHbUfa4hAgAAXgQAAA4AAABkcnMvZTJvRG9jLnhtbK1UTa7T&#10;MBDeI3EHy3uatLyWNmr6JF4pGwRIDw4wdZzEkv9ku016AbgBKzbsOVfPwdhp+35g0QVeODP2+JuZ&#10;b2ayvO2VJHvuvDC6pONRTgnXzFRCNyX9+mXzak6JD6ArkEbzkh64p7erly+WnS34xLRGVtwRBNG+&#10;6GxJ2xBskWWetVyBHxnLNV7WxikIqLomqxx0iK5kNsnzWdYZV1lnGPceT9fDJT0humsATV0LxteG&#10;7RTXYUB1XELAlHwrrKerFG1dcxY+1bXngciSYqYh7egE5W3cs9USisaBbQU7hQDXhPAsJwVCo9ML&#10;1BoCkJ0Tf0EpwZzxpg4jZlQ2JJIYwSzG+TNu7luwPOWCVHt7Id3/P1j2cf/ZEVGVdEGJBoUFP/74&#10;fvz5+/jrGxlPIj+d9QWa3Vs0DP1b02PXnM89Hsa0+9qp+MWECN4ju4cLu7wPhOHhzeJmNptSwvBq&#10;Pl9M34ynESZ7eG2dD++5USQKJXVYvUQq7D/4MJieTaIzb6SoNkLKpLhmeycd2QNWepPWCf2JmdSk&#10;K+ns9RRDZIDtW2PboKgsUuB1k/w9eeEfA+dp/Qs4BrYG3w4BJIRoBoUSgbsktRyqd7oi4WCRZo3T&#10;RWMwileUSI7DGKVkGUDIayyRO6mRwliioRRRCv22R5gobk11wLJ12OBnj6BZa3ACWHCUDMpdGCZi&#10;Z51oWmQ+1TehYtulEp1GJPb1Yz35fvgtr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r2ustYA&#10;AAAMAQAADwAAAAAAAAABACAAAAAiAAAAZHJzL2Rvd25yZXYueG1sUEsBAhQAFAAAAAgAh07iQHbU&#10;fa4hAgAAXgQAAA4AAAAAAAAAAQAgAAAAJQEAAGRycy9lMm9Eb2MueG1sUEsFBgAAAAAGAAYAWQEA&#10;ALgFAAAAAA==&#10;">
              <v:fill on="t" focussize="0,0"/>
              <v:stroke weight="0.5pt" color="#000000" joinstyle="miter"/>
              <v:imagedata o:title=""/>
              <o:lock v:ext="edit" aspectratio="f"/>
              <v:textbox>
                <w:txbxContent>
                  <w:p w14:paraId="70406612">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运营</w:t>
                    </w:r>
                  </w:p>
                  <w:p w14:paraId="45D68F7F">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期环</w:t>
                    </w:r>
                  </w:p>
                  <w:p w14:paraId="6FB66AD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境影</w:t>
                    </w:r>
                  </w:p>
                  <w:p w14:paraId="7C5ADF88">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响和</w:t>
                    </w:r>
                  </w:p>
                  <w:p w14:paraId="74CB44E0">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保护</w:t>
                    </w:r>
                  </w:p>
                  <w:p w14:paraId="5ADAFFF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措施</w:t>
                    </w:r>
                  </w:p>
                </w:txbxContent>
              </v:textbox>
            </v:shape>
          </w:pict>
        </mc:Fallback>
      </mc:AlternateContent>
    </w:r>
    <w:r>
      <w:rPr>
        <w:rFonts w:hint="eastAsia" w:ascii="宋体" w:hAnsi="宋体" w:eastAsia="宋体"/>
        <w:b/>
        <w:bCs/>
        <w:sz w:val="28"/>
        <w:szCs w:val="28"/>
      </w:rPr>
      <w:t>四、主要环境影响和保护措施</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92775">
    <w:pPr>
      <w:pStyle w:val="35"/>
      <w:pBdr>
        <w:bottom w:val="none" w:color="auto" w:sz="0" w:space="0"/>
      </w:pBdr>
      <w:rPr>
        <w:rFonts w:ascii="宋体" w:hAnsi="宋体" w:eastAsia="宋体"/>
        <w:b/>
        <w:bCs/>
        <w:sz w:val="28"/>
        <w:szCs w:val="28"/>
      </w:rPr>
    </w:pPr>
    <w:r>
      <w:rPr>
        <w:rFonts w:hint="eastAsia" w:ascii="宋体" w:hAnsi="宋体" w:eastAsia="宋体"/>
        <w:b/>
        <w:bCs/>
        <w:sz w:val="28"/>
        <w:szCs w:val="28"/>
      </w:rPr>
      <w:t>五、环境保护措施监督清单</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5B3B6">
    <w:pPr>
      <w:pStyle w:val="35"/>
      <w:pBdr>
        <w:bottom w:val="none" w:color="auto" w:sz="0" w:space="0"/>
      </w:pBdr>
      <w:rPr>
        <w:rFonts w:ascii="宋体" w:hAnsi="宋体" w:eastAsia="宋体"/>
        <w:b/>
        <w:bCs/>
        <w:sz w:val="28"/>
        <w:szCs w:val="28"/>
      </w:rPr>
    </w:pPr>
    <w:r>
      <w:rPr>
        <w:rFonts w:hint="eastAsia" w:ascii="宋体" w:hAnsi="宋体" w:eastAsia="宋体"/>
        <w:b/>
        <w:bCs/>
        <w:sz w:val="28"/>
        <w:szCs w:val="28"/>
      </w:rPr>
      <w:t>六、结论</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A3755">
    <w:pPr>
      <w:pStyle w:val="35"/>
      <w:pBdr>
        <w:bottom w:val="none" w:color="auto" w:sz="0" w:space="0"/>
      </w:pBdr>
      <w:rPr>
        <w:rFonts w:ascii="宋体" w:hAnsi="宋体" w:eastAsia="宋体"/>
        <w:b/>
        <w:bCs/>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5CEB7">
    <w:pPr>
      <w:pStyle w:val="35"/>
      <w:pBdr>
        <w:bottom w:val="none" w:color="auto" w:sz="0" w:space="0"/>
      </w:pBdr>
      <w:rPr>
        <w:rFonts w:ascii="宋体" w:hAnsi="宋体" w:eastAsia="宋体"/>
        <w:b/>
        <w:bCs/>
        <w:sz w:val="28"/>
        <w:szCs w:val="28"/>
      </w:rPr>
    </w:pPr>
    <w:r>
      <w:rPr>
        <w:rFonts w:hint="eastAsia" w:ascii="宋体" w:hAnsi="宋体" w:eastAsia="宋体"/>
        <w:b/>
        <w:bCs/>
        <w:sz w:val="28"/>
        <w:szCs w:val="28"/>
      </w:rPr>
      <w:t>一、建设项目基本情况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F123">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ascii="宋体" w:hAnsi="宋体" w:eastAsia="宋体"/>
        <w:b/>
        <w:bCs/>
        <w:sz w:val="28"/>
        <w:szCs w:val="28"/>
        <w:lang w:val="en-US" w:eastAsia="zh-CN"/>
      </w:rPr>
    </w:pPr>
    <w:r>
      <w:rPr>
        <w:rFonts w:hint="eastAsia" w:ascii="宋体" w:hAnsi="宋体" w:eastAsia="宋体"/>
        <w:b/>
        <w:bCs/>
        <w:sz w:val="28"/>
        <w:szCs w:val="28"/>
      </w:rPr>
      <mc:AlternateContent>
        <mc:Choice Requires="wps">
          <w:drawing>
            <wp:anchor distT="0" distB="0" distL="114300" distR="114300" simplePos="0" relativeHeight="251670528" behindDoc="0" locked="0" layoutInCell="1" allowOverlap="1">
              <wp:simplePos x="0" y="0"/>
              <wp:positionH relativeFrom="page">
                <wp:posOffset>1009650</wp:posOffset>
              </wp:positionH>
              <wp:positionV relativeFrom="page">
                <wp:posOffset>900430</wp:posOffset>
              </wp:positionV>
              <wp:extent cx="490855" cy="8896985"/>
              <wp:effectExtent l="4445" t="4445" r="19050" b="13970"/>
              <wp:wrapNone/>
              <wp:docPr id="15" name="文本框 16"/>
              <wp:cNvGraphicFramePr/>
              <a:graphic xmlns:a="http://schemas.openxmlformats.org/drawingml/2006/main">
                <a:graphicData uri="http://schemas.microsoft.com/office/word/2010/wordprocessingShape">
                  <wps:wsp>
                    <wps:cNvSpPr txBox="1"/>
                    <wps:spPr>
                      <a:xfrm>
                        <a:off x="0" y="0"/>
                        <a:ext cx="490855" cy="88969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C40E36D">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494687B4">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51F11274">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5DEBA14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4FAD057A">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2C190CDC">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6785880C">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416B0C8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分析</w:t>
                          </w:r>
                        </w:p>
                        <w:p w14:paraId="05DCCF96">
                          <w:pPr>
                            <w:pStyle w:val="35"/>
                            <w:pBdr>
                              <w:bottom w:val="none" w:color="auto" w:sz="0" w:space="0"/>
                            </w:pBdr>
                            <w:rPr>
                              <w:rFonts w:ascii="宋体" w:hAnsi="宋体" w:eastAsia="宋体"/>
                              <w:bCs/>
                              <w:color w:val="000000" w:themeColor="text1"/>
                              <w:sz w:val="24"/>
                              <w:szCs w:val="24"/>
                              <w14:textFill>
                                <w14:solidFill>
                                  <w14:schemeClr w14:val="tx1"/>
                                </w14:solidFill>
                              </w14:textFill>
                            </w:rPr>
                          </w:pPr>
                        </w:p>
                      </w:txbxContent>
                    </wps:txbx>
                    <wps:bodyPr anchor="ctr" anchorCtr="0" upright="1"/>
                  </wps:wsp>
                </a:graphicData>
              </a:graphic>
            </wp:anchor>
          </w:drawing>
        </mc:Choice>
        <mc:Fallback>
          <w:pict>
            <v:shape id="文本框 16" o:spid="_x0000_s1026" o:spt="202" type="#_x0000_t202" style="position:absolute;left:0pt;margin-left:79.5pt;margin-top:70.9pt;height:700.55pt;width:38.65pt;mso-position-horizontal-relative:page;mso-position-vertical-relative:page;z-index:251670528;v-text-anchor:middle;mso-width-relative:page;mso-height-relative:page;" fillcolor="#FFFFFF" filled="t" stroked="t" coordsize="21600,21600" o:gfxdata="UEsDBAoAAAAAAIdO4kAAAAAAAAAAAAAAAAAEAAAAZHJzL1BLAwQUAAAACACHTuJAnfft69oAAAAM&#10;AQAADwAAAGRycy9kb3ducmV2LnhtbE2PzU7DMBCE70h9B2uRuFHnp1RtiFNVSD1wQApuH8CJTRwR&#10;r6PY6Q9Pz/YEtx3NaHa+cnd1AzubKfQeBaTLBJjB1useOwGn4+F5AyxEhVoNHo2AmwmwqxYPpSq0&#10;v+CnOcvYMSrBUCgBNsax4Dy01jgVln40SN6Xn5yKJKeO60ldqNwNPEuSNXeqR/pg1WjerGm/5ewE&#10;zGN93Ocf79LWt9NP3DSyrw9SiKfHNHkFFs01/oXhPp+mQ0WbGj+jDmwg/bIllkjHKiUGSmT5OgfW&#10;3K1VtgVelfw/RPULUEsDBBQAAAAIAIdO4kAws7rKGgIAAFMEAAAOAAAAZHJzL2Uyb0RvYy54bWyt&#10;VM2O0zAQviPxDpbvNOlCqzZquhJbygUB0sIDuLaTWPKfPG6TvgC8AScu3HmufQ7GTrf7A4ce8MEZ&#10;25+/mflmnNX1YDQ5yADK2ZpOJyUl0nInlG1r+vXL9tWCEojMCqadlTU9SqDX65cvVr2v5JXrnBYy&#10;ECSxUPW+pl2MvioK4J00DCbOS4uHjQuGRVyGthCB9chudHFVlvOid0H44LgEwN3NeEhPjOESQtc0&#10;isuN43sjbRxZg9QsYkrQKQ90naNtGsnjp6YBGYmuKWYa84xO0N6luVivWNUG5jvFTyGwS0J4lpNh&#10;yqLTM9WGRUb2Qf1FZRQPDlwTJ9yZYkwkK4JZTMtn2tx2zMucC0oN/iw6/D9a/vHwORAlsBNmlFhm&#10;sOJ3P77f/fx99+sbmc6TQL2HCnG3HpFxeOsGBN/vA26mvIcmmPTFjAieo7zHs7xyiITj5ptluZih&#10;F45Hi8VyvlzMEk3xcNsHiO+lMyQZNQ1YvqwqO3yAOELvIckZOK3EVmmdF6Hd3ehADgxLvc3jxP4E&#10;pi3pazp/PcMQOcP+bbBv0DQeNQDbZn9PbsBj4jKPfxGnwDYMujGAzJBgrDIqypCtTjLxzgoSjx5l&#10;tvi8aArGSEGJlvgak5WRkSl9CRK10xYlTCUaS5GsOOwGpEnmzokjlo1Z3jlsex4DPS1u4vgM9j6o&#10;tkO1c00zE/ZaLsvpXaRmfrzO/h7+Be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fft69oAAAAM&#10;AQAADwAAAAAAAAABACAAAAAiAAAAZHJzL2Rvd25yZXYueG1sUEsBAhQAFAAAAAgAh07iQDCzusoa&#10;AgAAUwQAAA4AAAAAAAAAAQAgAAAAKQEAAGRycy9lMm9Eb2MueG1sUEsFBgAAAAAGAAYAWQEAALUF&#10;AAAAAA==&#10;">
              <v:fill on="t" focussize="0,0"/>
              <v:stroke weight="0.5pt" color="#000000" joinstyle="miter"/>
              <v:imagedata o:title=""/>
              <o:lock v:ext="edit" aspectratio="f"/>
              <v:textbox>
                <w:txbxContent>
                  <w:p w14:paraId="2C40E36D">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494687B4">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51F11274">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5DEBA14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4FAD057A">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2C190CDC">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6785880C">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416B0C8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分析</w:t>
                    </w:r>
                  </w:p>
                  <w:p w14:paraId="05DCCF96">
                    <w:pPr>
                      <w:pStyle w:val="35"/>
                      <w:pBdr>
                        <w:bottom w:val="none" w:color="auto" w:sz="0" w:space="0"/>
                      </w:pBdr>
                      <w:rPr>
                        <w:rFonts w:ascii="宋体" w:hAnsi="宋体" w:eastAsia="宋体"/>
                        <w:bCs/>
                        <w:color w:val="000000" w:themeColor="text1"/>
                        <w:sz w:val="24"/>
                        <w:szCs w:val="24"/>
                        <w14:textFill>
                          <w14:solidFill>
                            <w14:schemeClr w14:val="tx1"/>
                          </w14:solidFill>
                        </w14:textFill>
                      </w:rPr>
                    </w:pPr>
                  </w:p>
                </w:txbxContent>
              </v:textbox>
            </v:shape>
          </w:pict>
        </mc:Fallback>
      </mc:AlternateContent>
    </w:r>
    <w:r>
      <w:rPr>
        <w:rFonts w:hint="eastAsia" w:ascii="宋体" w:hAnsi="宋体" w:eastAsia="宋体"/>
        <w:b/>
        <w:bCs/>
        <w:sz w:val="28"/>
        <w:szCs w:val="28"/>
        <w:lang w:val="en-US" w:eastAsia="zh-CN"/>
      </w:rPr>
      <w:t>一</w:t>
    </w:r>
    <w:r>
      <w:rPr>
        <w:rFonts w:hint="eastAsia" w:ascii="宋体" w:hAnsi="宋体" w:eastAsia="宋体"/>
        <w:b/>
        <w:bCs/>
        <w:sz w:val="28"/>
        <w:szCs w:val="28"/>
      </w:rPr>
      <w:t>、建设项目</w:t>
    </w:r>
    <w:r>
      <w:rPr>
        <w:rFonts w:hint="eastAsia" w:ascii="宋体" w:hAnsi="宋体" w:eastAsia="宋体"/>
        <w:b/>
        <w:bCs/>
        <w:sz w:val="28"/>
        <w:szCs w:val="28"/>
        <w:lang w:val="en-US" w:eastAsia="zh-CN"/>
      </w:rPr>
      <w:t>基本情况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712BC">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一</w:t>
    </w:r>
    <w:r>
      <w:rPr>
        <w:rFonts w:hint="eastAsia" w:ascii="宋体" w:hAnsi="宋体" w:eastAsia="宋体"/>
        <w:b/>
        <w:bCs/>
        <w:sz w:val="28"/>
        <w:szCs w:val="28"/>
      </w:rPr>
      <w:t>、建设项目</w:t>
    </w:r>
    <w:r>
      <w:rPr>
        <w:rFonts w:hint="eastAsia" w:ascii="宋体" w:hAnsi="宋体" w:eastAsia="宋体"/>
        <w:b/>
        <w:bCs/>
        <w:sz w:val="28"/>
        <w:szCs w:val="28"/>
        <w:lang w:val="en-US" w:eastAsia="zh-CN"/>
      </w:rPr>
      <w:t>基本情况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EF46A">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eastAsia="宋体"/>
        <w:sz w:val="28"/>
        <w:szCs w:val="28"/>
        <w:lang w:val="en-US" w:eastAsia="zh-CN"/>
      </w:rPr>
    </w:pPr>
    <w:r>
      <w:rPr>
        <w:sz w:val="28"/>
        <w:szCs w:val="28"/>
      </w:rPr>
      <mc:AlternateContent>
        <mc:Choice Requires="wps">
          <w:drawing>
            <wp:anchor distT="0" distB="0" distL="114300" distR="114300" simplePos="0" relativeHeight="251660288" behindDoc="0" locked="0" layoutInCell="1" allowOverlap="1">
              <wp:simplePos x="0" y="0"/>
              <wp:positionH relativeFrom="page">
                <wp:posOffset>993140</wp:posOffset>
              </wp:positionH>
              <wp:positionV relativeFrom="page">
                <wp:posOffset>892175</wp:posOffset>
              </wp:positionV>
              <wp:extent cx="494030" cy="8820785"/>
              <wp:effectExtent l="4445" t="4445" r="15875" b="13970"/>
              <wp:wrapNone/>
              <wp:docPr id="3" name="文本框 2"/>
              <wp:cNvGraphicFramePr/>
              <a:graphic xmlns:a="http://schemas.openxmlformats.org/drawingml/2006/main">
                <a:graphicData uri="http://schemas.microsoft.com/office/word/2010/wordprocessingShape">
                  <wps:wsp>
                    <wps:cNvSpPr txBox="1"/>
                    <wps:spPr>
                      <a:xfrm>
                        <a:off x="0" y="0"/>
                        <a:ext cx="494030" cy="88207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9F8C31A">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293C7A4F">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6B79268B">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7B1F5739">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6F1667D0">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77F8F8B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054E429E">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77BFD81F">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sz w:val="24"/>
                              <w:szCs w:val="24"/>
                            </w:rPr>
                            <w:t>分析</w:t>
                          </w:r>
                        </w:p>
                      </w:txbxContent>
                    </wps:txbx>
                    <wps:bodyPr anchor="ctr" anchorCtr="0" upright="1"/>
                  </wps:wsp>
                </a:graphicData>
              </a:graphic>
            </wp:anchor>
          </w:drawing>
        </mc:Choice>
        <mc:Fallback>
          <w:pict>
            <v:shape id="文本框 2" o:spid="_x0000_s1026" o:spt="202" type="#_x0000_t202" style="position:absolute;left:0pt;margin-left:78.2pt;margin-top:70.25pt;height:694.55pt;width:38.9pt;mso-position-horizontal-relative:page;mso-position-vertical-relative:page;z-index:251660288;v-text-anchor:middle;mso-width-relative:page;mso-height-relative:page;" fillcolor="#FFFFFF" filled="t" stroked="t" coordsize="21600,21600" o:gfxdata="UEsDBAoAAAAAAIdO4kAAAAAAAAAAAAAAAAAEAAAAZHJzL1BLAwQUAAAACACHTuJAL9xVoNoAAAAM&#10;AQAADwAAAGRycy9kb3ducmV2LnhtbE2PzU7DMBCE70i8g7VI3KjdNI1KGqdCSD1wQApuH8CJTRI1&#10;Xkex0x+enu0JbjuaT7Mzxe7qBna2U+g9SlguBDCLjTc9thKOh/3LBliIGo0ePFoJNxtgVz4+FDo3&#10;/oJf9qxiyygEQ64ldDGOOeeh6azTYeFHi+R9+8npSHJquZn0hcLdwBMhMu50j/Sh06N972xzUrOT&#10;MI/V4W31+aG66nb8iZta9dVeSfn8tBRbYNFe4x8M9/pUHUrqVPsZTWAD6XWWEkpHKtbAiEhWaQKs&#10;vlvJawa8LPj/EeUvUEsDBBQAAAAIAIdO4kDx76WHGQIAAFEEAAAOAAAAZHJzL2Uyb0RvYy54bWyt&#10;VM2O0zAQviPxDpbvNNl2dylR05XYUi4IkBYeYGo7iSX/yXab9AXgDThx4c5z9TkYO93uDxx6wAdn&#10;7Bl/M/PNTBY3g1ZkJ3yQ1tT0YlJSIgyzXJq2pl+/rF/NKQkRDAdljajpXgR6s3z5YtG7SkxtZxUX&#10;niCICVXvatrF6KqiCKwTGsLEOmFQ2VivIeLRtwX30CO6VsW0LK+L3nruvGUiBLxdjUp6RPTnANqm&#10;kUysLNtqYeKI6oWCiCmFTrpAlznaphEsfmqaICJRNcVMY97RCcqbtBfLBVStB9dJdgwBzgnhWU4a&#10;pEGnJ6gVRCBbL/+C0pJ5G2wTJ8zqYkwkM4JZXJTPuLnrwImcC1Id3In08P9g2cfdZ08kr+mMEgMa&#10;C3748f3w8/fh1zcyTfT0LlRodefQLg5v7YBNc38f8DJlPTRepy/mQ1CP5O5P5IohEoaXl28uyxlq&#10;GKrm82n5en6VYIqH186H+F5YTZJQU4/Fy5zC7kOIo+m9SXIWrJJ8LZXKB99ubpUnO8BCr/M6oj8x&#10;U4b0Nb2eXaVAALu3wa5BUTtkIJg2+3vyIjwGLvP6F3AKbAWhGwPICMkMKi2j8FnqBPB3hpO4d8iy&#10;weGiKRgtOCVK4CwmKVtGkOocS+ROGaQwlWgsRZLisBkQJokby/dYNjCss9j0LHp6PNzGcQi2zsu2&#10;Q7ZzTTMSdlouy3EqUis/Pmd/D3+C5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3FWg2gAAAAwB&#10;AAAPAAAAAAAAAAEAIAAAACIAAABkcnMvZG93bnJldi54bWxQSwECFAAUAAAACACHTuJA8e+lhxkC&#10;AABRBAAADgAAAAAAAAABACAAAAApAQAAZHJzL2Uyb0RvYy54bWxQSwUGAAAAAAYABgBZAQAAtAUA&#10;AAAA&#10;">
              <v:fill on="t" focussize="0,0"/>
              <v:stroke weight="0.5pt" color="#000000" joinstyle="miter"/>
              <v:imagedata o:title=""/>
              <o:lock v:ext="edit" aspectratio="f"/>
              <v:textbox>
                <w:txbxContent>
                  <w:p w14:paraId="59F8C31A">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规划</w:t>
                    </w:r>
                  </w:p>
                  <w:p w14:paraId="293C7A4F">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及规</w:t>
                    </w:r>
                  </w:p>
                  <w:p w14:paraId="6B79268B">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划环</w:t>
                    </w:r>
                  </w:p>
                  <w:p w14:paraId="7B1F5739">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境影</w:t>
                    </w:r>
                  </w:p>
                  <w:p w14:paraId="6F1667D0">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响评</w:t>
                    </w:r>
                  </w:p>
                  <w:p w14:paraId="77F8F8B6">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价符</w:t>
                    </w:r>
                  </w:p>
                  <w:p w14:paraId="054E429E">
                    <w:pPr>
                      <w:pStyle w:val="35"/>
                      <w:pBdr>
                        <w:bottom w:val="none" w:color="auto" w:sz="0" w:space="0"/>
                      </w:pBdr>
                      <w:rPr>
                        <w:rFonts w:hint="eastAsia" w:ascii="宋体" w:hAnsi="宋体" w:eastAsia="宋体"/>
                        <w:bCs/>
                        <w:color w:val="000000"/>
                        <w:sz w:val="24"/>
                        <w:szCs w:val="24"/>
                      </w:rPr>
                    </w:pPr>
                    <w:r>
                      <w:rPr>
                        <w:rFonts w:hint="eastAsia" w:ascii="宋体" w:hAnsi="宋体" w:eastAsia="宋体"/>
                        <w:bCs/>
                        <w:color w:val="000000"/>
                        <w:sz w:val="24"/>
                        <w:szCs w:val="24"/>
                      </w:rPr>
                      <w:t>合性</w:t>
                    </w:r>
                  </w:p>
                  <w:p w14:paraId="77BFD81F">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sz w:val="24"/>
                        <w:szCs w:val="24"/>
                      </w:rPr>
                      <w:t>分析</w:t>
                    </w:r>
                  </w:p>
                </w:txbxContent>
              </v:textbox>
            </v:shape>
          </w:pict>
        </mc:Fallback>
      </mc:AlternateContent>
    </w:r>
    <w:r>
      <w:rPr>
        <w:rFonts w:hint="eastAsia"/>
        <w:sz w:val="28"/>
        <w:szCs w:val="28"/>
        <w:lang w:val="en-US" w:eastAsia="zh-CN"/>
      </w:rPr>
      <w:t>一</w:t>
    </w:r>
    <w:r>
      <w:rPr>
        <w:rFonts w:hint="eastAsia" w:ascii="宋体" w:hAnsi="宋体" w:eastAsia="宋体"/>
        <w:b/>
        <w:bCs/>
        <w:sz w:val="28"/>
        <w:szCs w:val="28"/>
      </w:rPr>
      <w:t>、建设项目</w:t>
    </w:r>
    <w:r>
      <w:rPr>
        <w:rFonts w:hint="eastAsia" w:ascii="宋体" w:hAnsi="宋体" w:eastAsia="宋体"/>
        <w:b/>
        <w:bCs/>
        <w:sz w:val="28"/>
        <w:szCs w:val="28"/>
        <w:lang w:val="en-US" w:eastAsia="zh-CN"/>
      </w:rPr>
      <w:t>基本情况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B8B9D">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eastAsia="宋体"/>
        <w:sz w:val="28"/>
        <w:szCs w:val="28"/>
        <w:lang w:val="en-US" w:eastAsia="zh-CN"/>
      </w:rPr>
    </w:pPr>
    <w:r>
      <w:rPr>
        <w:sz w:val="28"/>
        <w:szCs w:val="28"/>
      </w:rPr>
      <mc:AlternateContent>
        <mc:Choice Requires="wps">
          <w:drawing>
            <wp:anchor distT="0" distB="0" distL="114300" distR="114300" simplePos="0" relativeHeight="251673600" behindDoc="0" locked="0" layoutInCell="1" allowOverlap="1">
              <wp:simplePos x="0" y="0"/>
              <wp:positionH relativeFrom="page">
                <wp:posOffset>993140</wp:posOffset>
              </wp:positionH>
              <wp:positionV relativeFrom="page">
                <wp:posOffset>892175</wp:posOffset>
              </wp:positionV>
              <wp:extent cx="494030" cy="8820785"/>
              <wp:effectExtent l="4445" t="4445" r="15875" b="13970"/>
              <wp:wrapNone/>
              <wp:docPr id="18" name="文本框 19"/>
              <wp:cNvGraphicFramePr/>
              <a:graphic xmlns:a="http://schemas.openxmlformats.org/drawingml/2006/main">
                <a:graphicData uri="http://schemas.microsoft.com/office/word/2010/wordprocessingShape">
                  <wps:wsp>
                    <wps:cNvSpPr txBox="1"/>
                    <wps:spPr>
                      <a:xfrm>
                        <a:off x="0" y="0"/>
                        <a:ext cx="494030" cy="88207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08FED94">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sz w:val="24"/>
                              <w:szCs w:val="24"/>
                              <w:lang w:val="en-US" w:eastAsia="zh-CN"/>
                            </w:rPr>
                            <w:t>其它</w:t>
                          </w:r>
                          <w:r>
                            <w:rPr>
                              <w:rFonts w:hint="eastAsia" w:ascii="宋体" w:hAnsi="宋体" w:eastAsia="宋体"/>
                              <w:bCs/>
                              <w:color w:val="000000"/>
                              <w:sz w:val="24"/>
                              <w:szCs w:val="24"/>
                            </w:rPr>
                            <w:t>符合性分析</w:t>
                          </w:r>
                        </w:p>
                      </w:txbxContent>
                    </wps:txbx>
                    <wps:bodyPr anchor="ctr" anchorCtr="0" upright="1"/>
                  </wps:wsp>
                </a:graphicData>
              </a:graphic>
            </wp:anchor>
          </w:drawing>
        </mc:Choice>
        <mc:Fallback>
          <w:pict>
            <v:shape id="文本框 19" o:spid="_x0000_s1026" o:spt="202" type="#_x0000_t202" style="position:absolute;left:0pt;margin-left:78.2pt;margin-top:70.25pt;height:694.55pt;width:38.9pt;mso-position-horizontal-relative:page;mso-position-vertical-relative:page;z-index:251673600;v-text-anchor:middle;mso-width-relative:page;mso-height-relative:page;" fillcolor="#FFFFFF" filled="t" stroked="t" coordsize="21600,21600" o:gfxdata="UEsDBAoAAAAAAIdO4kAAAAAAAAAAAAAAAAAEAAAAZHJzL1BLAwQUAAAACACHTuJAL9xVoNoAAAAM&#10;AQAADwAAAGRycy9kb3ducmV2LnhtbE2PzU7DMBCE70i8g7VI3KjdNI1KGqdCSD1wQApuH8CJTRI1&#10;Xkex0x+enu0JbjuaT7Mzxe7qBna2U+g9SlguBDCLjTc9thKOh/3LBliIGo0ePFoJNxtgVz4+FDo3&#10;/oJf9qxiyygEQ64ldDGOOeeh6azTYeFHi+R9+8npSHJquZn0hcLdwBMhMu50j/Sh06N972xzUrOT&#10;MI/V4W31+aG66nb8iZta9dVeSfn8tBRbYNFe4x8M9/pUHUrqVPsZTWAD6XWWEkpHKtbAiEhWaQKs&#10;vlvJawa8LPj/EeUvUEsDBBQAAAAIAIdO4kCLLsiIGgIAAFMEAAAOAAAAZHJzL2Uyb0RvYy54bWyt&#10;VEuS0zAQ3VPFHVTaEzuZDxlXnKliQthQQNXAARRJtlWlX6mV2LkA3IAVG/acK+eYlpzJfGAxC7yw&#10;W+rW6+73Wl5cD0aTnQygnK3pdFJSIi13Qtm2pt++rt/MKYHIrGDaWVnTvQR6vXz9atH7Ss5c57SQ&#10;gSCIhar3Ne1i9FVRAO+kYTBxXlp0Ni4YFnEZ2kIE1iO60cWsLC+L3gXhg+MSAHdXo5MeEcNLAF3T&#10;KC5Xjm+NtHFEDVKziC1BpzzQZa62aSSPn5sGZCS6pthpzG9MgvYmvYvlglVtYL5T/FgCe0kJz3oy&#10;TFlMeoJascjINqi/oIziwYFr4oQ7U4yNZEawi2n5jJvbjnmZe0GqwZ9Ih/8Hyz/tvgSiBE4C6m6Z&#10;QcUPP38cfv05/P5OpleJoN5DhXG3HiPj8M4NGHy/D7iZ+h6aYNIXOyLoR3r3J3rlEAnHzfOr8/IM&#10;PRxd8/msfDu/SDDFw2kfIH6QzpBk1DSgfJlVtvsIcQy9D0nJwGkl1krrvAjt5kYHsmMo9To/R/Qn&#10;YdqSvqaXZxepEIbz2+DcoGk8cgC2zfmenIDHwGV+/gWcClsx6MYCMkIKY5VRUYZsdZKJ91aQuPdI&#10;s8XrRVMxRgpKtMTbmKwcGZnSL4lE7rRFCpNEoxTJisNmQJhkbpzYo2zM8s7h2PMY6HFxE8drsPVB&#10;tR2ynTXNSDhrWZbjvUjD/Hid8z38C5Z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9xVoNoAAAAM&#10;AQAADwAAAAAAAAABACAAAAAiAAAAZHJzL2Rvd25yZXYueG1sUEsBAhQAFAAAAAgAh07iQIsuyIga&#10;AgAAUwQAAA4AAAAAAAAAAQAgAAAAKQEAAGRycy9lMm9Eb2MueG1sUEsFBgAAAAAGAAYAWQEAALUF&#10;AAAAAA==&#10;">
              <v:fill on="t" focussize="0,0"/>
              <v:stroke weight="0.5pt" color="#000000" joinstyle="miter"/>
              <v:imagedata o:title=""/>
              <o:lock v:ext="edit" aspectratio="f"/>
              <v:textbox>
                <w:txbxContent>
                  <w:p w14:paraId="608FED94">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sz w:val="24"/>
                        <w:szCs w:val="24"/>
                        <w:lang w:val="en-US" w:eastAsia="zh-CN"/>
                      </w:rPr>
                      <w:t>其它</w:t>
                    </w:r>
                    <w:r>
                      <w:rPr>
                        <w:rFonts w:hint="eastAsia" w:ascii="宋体" w:hAnsi="宋体" w:eastAsia="宋体"/>
                        <w:bCs/>
                        <w:color w:val="000000"/>
                        <w:sz w:val="24"/>
                        <w:szCs w:val="24"/>
                      </w:rPr>
                      <w:t>符合性分析</w:t>
                    </w:r>
                  </w:p>
                </w:txbxContent>
              </v:textbox>
            </v:shape>
          </w:pict>
        </mc:Fallback>
      </mc:AlternateContent>
    </w:r>
    <w:r>
      <w:rPr>
        <w:rFonts w:hint="eastAsia"/>
        <w:sz w:val="28"/>
        <w:szCs w:val="28"/>
        <w:lang w:val="en-US" w:eastAsia="zh-CN"/>
      </w:rPr>
      <w:t>一</w:t>
    </w:r>
    <w:r>
      <w:rPr>
        <w:rFonts w:hint="eastAsia" w:ascii="宋体" w:hAnsi="宋体" w:eastAsia="宋体"/>
        <w:b/>
        <w:bCs/>
        <w:sz w:val="28"/>
        <w:szCs w:val="28"/>
      </w:rPr>
      <w:t>、建设项目</w:t>
    </w:r>
    <w:r>
      <w:rPr>
        <w:rFonts w:hint="eastAsia" w:ascii="宋体" w:hAnsi="宋体" w:eastAsia="宋体"/>
        <w:b/>
        <w:bCs/>
        <w:sz w:val="28"/>
        <w:szCs w:val="28"/>
        <w:lang w:val="en-US" w:eastAsia="zh-CN"/>
      </w:rPr>
      <w:t>基本情况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8F60">
    <w:pPr>
      <w:pStyle w:val="35"/>
      <w:keepNext w:val="0"/>
      <w:keepLines w:val="0"/>
      <w:pageBreakBefore w:val="0"/>
      <w:widowControl w:val="0"/>
      <w:pBdr>
        <w:bottom w:val="none" w:color="auto" w:sz="0" w:space="0"/>
      </w:pBdr>
      <w:kinsoku/>
      <w:wordWrap/>
      <w:overflowPunct/>
      <w:topLinePunct w:val="0"/>
      <w:bidi w:val="0"/>
      <w:adjustRightInd/>
      <w:snapToGrid w:val="0"/>
      <w:ind w:firstLine="0" w:firstLineChars="0"/>
      <w:jc w:val="center"/>
      <w:textAlignment w:val="auto"/>
      <w:rPr>
        <w:rFonts w:hint="eastAsia" w:eastAsia="宋体"/>
        <w:sz w:val="28"/>
        <w:szCs w:val="28"/>
        <w:lang w:val="en-US" w:eastAsia="zh-CN"/>
      </w:rPr>
    </w:pPr>
    <w:r>
      <w:rPr>
        <w:sz w:val="28"/>
        <w:szCs w:val="28"/>
      </w:rPr>
      <mc:AlternateContent>
        <mc:Choice Requires="wps">
          <w:drawing>
            <wp:anchor distT="0" distB="0" distL="114300" distR="114300" simplePos="0" relativeHeight="251672576" behindDoc="0" locked="0" layoutInCell="1" allowOverlap="1">
              <wp:simplePos x="0" y="0"/>
              <wp:positionH relativeFrom="page">
                <wp:posOffset>993140</wp:posOffset>
              </wp:positionH>
              <wp:positionV relativeFrom="page">
                <wp:posOffset>892175</wp:posOffset>
              </wp:positionV>
              <wp:extent cx="494030" cy="8820785"/>
              <wp:effectExtent l="4445" t="4445" r="15875" b="13970"/>
              <wp:wrapNone/>
              <wp:docPr id="17" name="文本框 18"/>
              <wp:cNvGraphicFramePr/>
              <a:graphic xmlns:a="http://schemas.openxmlformats.org/drawingml/2006/main">
                <a:graphicData uri="http://schemas.microsoft.com/office/word/2010/wordprocessingShape">
                  <wps:wsp>
                    <wps:cNvSpPr txBox="1"/>
                    <wps:spPr>
                      <a:xfrm>
                        <a:off x="0" y="0"/>
                        <a:ext cx="494030" cy="88207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5E27040">
                          <w:pPr>
                            <w:pStyle w:val="35"/>
                            <w:pBdr>
                              <w:bottom w:val="none" w:color="auto" w:sz="0" w:space="0"/>
                            </w:pBdr>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建设</w:t>
                          </w:r>
                        </w:p>
                        <w:p w14:paraId="59EAD788">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内容</w:t>
                          </w:r>
                        </w:p>
                      </w:txbxContent>
                    </wps:txbx>
                    <wps:bodyPr anchor="ctr" anchorCtr="0" upright="1"/>
                  </wps:wsp>
                </a:graphicData>
              </a:graphic>
            </wp:anchor>
          </w:drawing>
        </mc:Choice>
        <mc:Fallback>
          <w:pict>
            <v:shape id="文本框 18" o:spid="_x0000_s1026" o:spt="202" type="#_x0000_t202" style="position:absolute;left:0pt;margin-left:78.2pt;margin-top:70.25pt;height:694.55pt;width:38.9pt;mso-position-horizontal-relative:page;mso-position-vertical-relative:page;z-index:251672576;v-text-anchor:middle;mso-width-relative:page;mso-height-relative:page;" fillcolor="#FFFFFF" filled="t" stroked="t" coordsize="21600,21600" o:gfxdata="UEsDBAoAAAAAAIdO4kAAAAAAAAAAAAAAAAAEAAAAZHJzL1BLAwQUAAAACACHTuJAL9xVoNoAAAAM&#10;AQAADwAAAGRycy9kb3ducmV2LnhtbE2PzU7DMBCE70i8g7VI3KjdNI1KGqdCSD1wQApuH8CJTRI1&#10;Xkex0x+enu0JbjuaT7Mzxe7qBna2U+g9SlguBDCLjTc9thKOh/3LBliIGo0ePFoJNxtgVz4+FDo3&#10;/oJf9qxiyygEQ64ldDGOOeeh6azTYeFHi+R9+8npSHJquZn0hcLdwBMhMu50j/Sh06N972xzUrOT&#10;MI/V4W31+aG66nb8iZta9dVeSfn8tBRbYNFe4x8M9/pUHUrqVPsZTWAD6XWWEkpHKtbAiEhWaQKs&#10;vlvJawa8LPj/EeUvUEsDBBQAAAAIAIdO4kDDU9EQGgIAAFMEAAAOAAAAZHJzL2Uyb0RvYy54bWyt&#10;VEuS0zAQ3VPFHVTaEzuZX3DFmSomhA0FVA0cQJFkW1X6lVqJnQvADVixYc+5co5pyZnMBxazwAu7&#10;pX563f265cX1YDTZyQDK2ZpOJyUl0nInlG1r+u3r+s2cEojMCqadlTXdS6DXy9evFr2v5Mx1TgsZ&#10;CJJYqHpf0y5GXxUF8E4aBhPnpUVn44JhEZehLURgPbIbXczK8rLoXRA+OC4BcHc1OumRMbyE0DWN&#10;4nLl+NZIG0fWIDWLWBJ0ygNd5mybRvL4uWlARqJripXG/MYgaG/Su1guWNUG5jvFjymwl6TwrCbD&#10;lMWgJ6oVi4xsg/qLyigeHLgmTrgzxVhIVgSrmJbPtLntmJe5FpQa/El0+H+0/NPuSyBK4CRcUWKZ&#10;wY4ffv44/Ppz+P2dTOdJoN5Dhbhbj8g4vHMDgu/3ATdT3UMTTPpiRQT9KO/+JK8cIuG4ef72vDxD&#10;D0fXfD4rr+YXiaZ4OO0DxA/SGZKMmgZsX1aV7T5CHKH3kBQMnFZirbTOi9BubnQgO4atXufnyP4E&#10;pi3pa3p5dpESYTi/Dc4NmsajBmDbHO/JCXhMXObnX8QpsRWDbkwgMyQYq4yKMmSrk0y8t4LEvUeZ&#10;LV4vmpIxUlCiJd7GZGVkZEq/BInaaYsSphaNrUhWHDYD0iRz48Qe28Ys7xyOPY+BHhc3cbwGWx9U&#10;26HauaeZCWctt+V4L9IwP17neA//gu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9xVoNoAAAAM&#10;AQAADwAAAAAAAAABACAAAAAiAAAAZHJzL2Rvd25yZXYueG1sUEsBAhQAFAAAAAgAh07iQMNT0RAa&#10;AgAAUwQAAA4AAAAAAAAAAQAgAAAAKQEAAGRycy9lMm9Eb2MueG1sUEsFBgAAAAAGAAYAWQEAALUF&#10;AAAAAA==&#10;">
              <v:fill on="t" focussize="0,0"/>
              <v:stroke weight="0.5pt" color="#000000" joinstyle="miter"/>
              <v:imagedata o:title=""/>
              <o:lock v:ext="edit" aspectratio="f"/>
              <v:textbox>
                <w:txbxContent>
                  <w:p w14:paraId="15E27040">
                    <w:pPr>
                      <w:pStyle w:val="35"/>
                      <w:pBdr>
                        <w:bottom w:val="none" w:color="auto" w:sz="0" w:space="0"/>
                      </w:pBdr>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建设</w:t>
                    </w:r>
                  </w:p>
                  <w:p w14:paraId="59EAD788">
                    <w:pPr>
                      <w:pStyle w:val="35"/>
                      <w:pBdr>
                        <w:bottom w:val="none" w:color="auto" w:sz="0" w:space="0"/>
                      </w:pBdr>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内容</w:t>
                    </w:r>
                  </w:p>
                </w:txbxContent>
              </v:textbox>
            </v:shape>
          </w:pict>
        </mc:Fallback>
      </mc:AlternateContent>
    </w:r>
    <w:r>
      <w:rPr>
        <w:rFonts w:hint="eastAsia"/>
        <w:sz w:val="28"/>
        <w:szCs w:val="28"/>
        <w:lang w:val="en-US" w:eastAsia="zh-CN"/>
      </w:rPr>
      <w:t>二</w:t>
    </w:r>
    <w:r>
      <w:rPr>
        <w:rFonts w:hint="eastAsia" w:ascii="宋体" w:hAnsi="宋体" w:eastAsia="宋体"/>
        <w:b/>
        <w:bCs/>
        <w:sz w:val="28"/>
        <w:szCs w:val="28"/>
      </w:rPr>
      <w:t>、建设项目</w:t>
    </w:r>
    <w:r>
      <w:rPr>
        <w:rFonts w:hint="eastAsia" w:ascii="宋体" w:hAnsi="宋体" w:eastAsia="宋体"/>
        <w:b/>
        <w:bCs/>
        <w:sz w:val="28"/>
        <w:szCs w:val="28"/>
        <w:lang w:val="en-US" w:eastAsia="zh-CN"/>
      </w:rPr>
      <w:t>工程分析</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031FE">
    <w:pPr>
      <w:pStyle w:val="35"/>
      <w:pBdr>
        <w:bottom w:val="none" w:color="auto" w:sz="0" w:space="0"/>
      </w:pBdr>
      <w:ind w:firstLine="2700" w:firstLineChars="1500"/>
      <w:jc w:val="both"/>
      <w:rPr>
        <w:rFonts w:ascii="宋体" w:hAnsi="宋体" w:eastAsia="宋体"/>
        <w:b/>
        <w:bCs/>
        <w:sz w:val="28"/>
        <w:szCs w:val="28"/>
      </w:rPr>
    </w:pPr>
    <w:r>
      <mc:AlternateContent>
        <mc:Choice Requires="wps">
          <w:drawing>
            <wp:anchor distT="0" distB="0" distL="114300" distR="114300" simplePos="0" relativeHeight="251665408" behindDoc="0" locked="0" layoutInCell="1" allowOverlap="1">
              <wp:simplePos x="0" y="0"/>
              <wp:positionH relativeFrom="page">
                <wp:posOffset>1009650</wp:posOffset>
              </wp:positionH>
              <wp:positionV relativeFrom="page">
                <wp:posOffset>900430</wp:posOffset>
              </wp:positionV>
              <wp:extent cx="494030" cy="8820785"/>
              <wp:effectExtent l="4445" t="4445" r="15875" b="13970"/>
              <wp:wrapNone/>
              <wp:docPr id="10" name="文本框 18"/>
              <wp:cNvGraphicFramePr/>
              <a:graphic xmlns:a="http://schemas.openxmlformats.org/drawingml/2006/main">
                <a:graphicData uri="http://schemas.microsoft.com/office/word/2010/wordprocessingShape">
                  <wps:wsp>
                    <wps:cNvSpPr txBox="1"/>
                    <wps:spPr>
                      <a:xfrm>
                        <a:off x="0" y="0"/>
                        <a:ext cx="494030" cy="8820785"/>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5948C6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工艺</w:t>
                          </w:r>
                        </w:p>
                        <w:p w14:paraId="70A901E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流程</w:t>
                          </w:r>
                        </w:p>
                        <w:p w14:paraId="4D58A2A5">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和产</w:t>
                          </w:r>
                        </w:p>
                        <w:p w14:paraId="49C8E6F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排污</w:t>
                          </w:r>
                        </w:p>
                        <w:p w14:paraId="6404135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环节</w:t>
                          </w:r>
                        </w:p>
                      </w:txbxContent>
                    </wps:txbx>
                    <wps:bodyPr anchor="ctr" anchorCtr="0" upright="1"/>
                  </wps:wsp>
                </a:graphicData>
              </a:graphic>
            </wp:anchor>
          </w:drawing>
        </mc:Choice>
        <mc:Fallback>
          <w:pict>
            <v:shape id="文本框 18" o:spid="_x0000_s1026" o:spt="202" type="#_x0000_t202" style="position:absolute;left:0pt;margin-left:79.5pt;margin-top:70.9pt;height:694.55pt;width:38.9pt;mso-position-horizontal-relative:page;mso-position-vertical-relative:page;z-index:251665408;v-text-anchor:middle;mso-width-relative:page;mso-height-relative:page;" fillcolor="#FFFFFF" filled="t" stroked="t" coordsize="21600,21600" o:gfxdata="UEsDBAoAAAAAAIdO4kAAAAAAAAAAAAAAAAAEAAAAZHJzL1BLAwQUAAAACACHTuJAh6kQQ9cAAAAM&#10;AQAADwAAAGRycy9kb3ducmV2LnhtbE1PS07DMBTcI3EH6yGxo3YaqNoQp0JIXbBACm4P4MRuHBE/&#10;R7HTD6fndQW7Gc1oPuX24gd2slPsA0rIFgKYxTaYHjsJh/3uaQ0sJo1GDwGthKuNsK3u70pdmHDG&#10;L3tSqWMUgrHQElxKY8F5bJ31Oi7CaJG0Y5i8TkSnjptJnyncD3wpxIp73SM1OD3ad2fbbzV7CfNY&#10;79/yzw/l6uvhJ60b1dc7JeXjQyZegSV7SX9muM2n6VDRpibMaCIbiL9s6Esi8JzRB3Is8xWB5ibl&#10;YgO8Kvn/E9UvUEsDBBQAAAAIAIdO4kAiloZDGQIAAFMEAAAOAAAAZHJzL2Uyb0RvYy54bWytVEuS&#10;0zAQ3VPFHVTaEzuZD8EVZ6qYEDYUUDVwgI4k26rSryQldi4AN2DFhj3nyjloyZnMBxZZ4IXdUj+9&#10;7n7d8uJm0IrshA/SmppOJyUlwjDLpWlr+vXL+tWckhDBcFDWiJruRaA3y5cvFr2rxMx2VnHhCZKY&#10;UPWupl2MriqKwDqhIUysEwadjfUaIi59W3APPbJrVczK8rrorefOWyZCwN3V6KRHRn8OoW0aycTK&#10;sq0WJo6sXiiIWFLopAt0mbNtGsHip6YJIhJVU6w05jcGQXuT3sVyAVXrwXWSHVOAc1J4VpMGaTDo&#10;iWoFEcjWy7+otGTeBtvECbO6GAvJimAV0/KZNncdOJFrQamDO4ke/h8t+7j77InkOAkoiQGNHT/8&#10;+H74+fvw6xuZzpNAvQsV4u4cIuPw1g4Ivt8PuJnqHhqv0xcrIuhHrv1JXjFEwnDz8s1leYEehq75&#10;fFa+nl8lmuLhtPMhvhdWk2TU1GP7sqqw+xDiCL2HpGDBKsnXUqm88O3mVnmyA2z1Oj9H9icwZUhf&#10;0+uLq5QI4Pw2ODdoaocaBNPmeE9OhMfEZX7+RZwSW0HoxgQyQ4JBpWUUPludAP7OcBL3DmU2eL1o&#10;SkYLTokSeBuTlZERpDoHidopgxKmFo2tSFYcNgPSJHNj+R7bBoZ1FseeRU+Pi9s4XoOt87LtUO3c&#10;08yEs5bbcrwXaZgfr3O8h3/B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HqRBD1wAAAAwBAAAP&#10;AAAAAAAAAAEAIAAAACIAAABkcnMvZG93bnJldi54bWxQSwECFAAUAAAACACHTuJAIpaGQxkCAABT&#10;BAAADgAAAAAAAAABACAAAAAmAQAAZHJzL2Uyb0RvYy54bWxQSwUGAAAAAAYABgBZAQAAsQUAAAAA&#10;">
              <v:fill on="t" focussize="0,0"/>
              <v:stroke weight="0.5pt" color="#000000" joinstyle="miter"/>
              <v:imagedata o:title=""/>
              <o:lock v:ext="edit" aspectratio="f"/>
              <v:textbox>
                <w:txbxContent>
                  <w:p w14:paraId="55948C6B">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工艺</w:t>
                    </w:r>
                  </w:p>
                  <w:p w14:paraId="70A901E9">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流程</w:t>
                    </w:r>
                  </w:p>
                  <w:p w14:paraId="4D58A2A5">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和产</w:t>
                    </w:r>
                  </w:p>
                  <w:p w14:paraId="49C8E6F3">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排污</w:t>
                    </w:r>
                  </w:p>
                  <w:p w14:paraId="64041354">
                    <w:pPr>
                      <w:pStyle w:val="35"/>
                      <w:pBdr>
                        <w:bottom w:val="none" w:color="auto" w:sz="0" w:space="0"/>
                      </w:pBdr>
                      <w:rPr>
                        <w:rFonts w:ascii="宋体" w:hAnsi="宋体" w:eastAsia="宋体"/>
                        <w:bCs/>
                        <w:color w:val="000000" w:themeColor="text1"/>
                        <w:sz w:val="24"/>
                        <w:szCs w:val="24"/>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环节</w:t>
                    </w:r>
                  </w:p>
                </w:txbxContent>
              </v:textbox>
            </v:shape>
          </w:pict>
        </mc:Fallback>
      </mc:AlternateContent>
    </w:r>
    <w:r>
      <w:rPr>
        <w:rFonts w:hint="eastAsia" w:ascii="宋体" w:hAnsi="宋体" w:eastAsia="宋体"/>
        <w:b/>
        <w:bCs/>
        <w:sz w:val="28"/>
        <w:szCs w:val="28"/>
      </w:rPr>
      <w:t>二、建设项目工程分析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E122F1"/>
    <w:multiLevelType w:val="singleLevel"/>
    <w:tmpl w:val="80E122F1"/>
    <w:lvl w:ilvl="0" w:tentative="0">
      <w:start w:val="1"/>
      <w:numFmt w:val="decimal"/>
      <w:suff w:val="nothing"/>
      <w:lvlText w:val="%1、"/>
      <w:lvlJc w:val="left"/>
    </w:lvl>
  </w:abstractNum>
  <w:abstractNum w:abstractNumId="1">
    <w:nsid w:val="EDEF28E1"/>
    <w:multiLevelType w:val="singleLevel"/>
    <w:tmpl w:val="EDEF28E1"/>
    <w:lvl w:ilvl="0" w:tentative="0">
      <w:start w:val="1"/>
      <w:numFmt w:val="decimal"/>
      <w:suff w:val="nothing"/>
      <w:lvlText w:val="（%1）"/>
      <w:lvlJc w:val="left"/>
    </w:lvl>
  </w:abstractNum>
  <w:abstractNum w:abstractNumId="2">
    <w:nsid w:val="FFFFFF7D"/>
    <w:multiLevelType w:val="singleLevel"/>
    <w:tmpl w:val="FFFFFF7D"/>
    <w:lvl w:ilvl="0" w:tentative="0">
      <w:start w:val="1"/>
      <w:numFmt w:val="decimal"/>
      <w:pStyle w:val="28"/>
      <w:lvlText w:val="%1."/>
      <w:lvlJc w:val="left"/>
      <w:pPr>
        <w:tabs>
          <w:tab w:val="left" w:pos="1620"/>
        </w:tabs>
        <w:ind w:left="1620" w:leftChars="600" w:hanging="360" w:hangingChars="200"/>
      </w:pPr>
    </w:lvl>
  </w:abstractNum>
  <w:abstractNum w:abstractNumId="3">
    <w:nsid w:val="10703BA6"/>
    <w:multiLevelType w:val="multilevel"/>
    <w:tmpl w:val="10703BA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3341D58"/>
    <w:multiLevelType w:val="singleLevel"/>
    <w:tmpl w:val="13341D58"/>
    <w:lvl w:ilvl="0" w:tentative="0">
      <w:start w:val="2"/>
      <w:numFmt w:val="decimal"/>
      <w:suff w:val="nothing"/>
      <w:lvlText w:val="%1、"/>
      <w:lvlJc w:val="left"/>
    </w:lvl>
  </w:abstractNum>
  <w:abstractNum w:abstractNumId="5">
    <w:nsid w:val="1DA739E5"/>
    <w:multiLevelType w:val="multilevel"/>
    <w:tmpl w:val="1DA739E5"/>
    <w:lvl w:ilvl="0" w:tentative="0">
      <w:start w:val="1"/>
      <w:numFmt w:val="decimal"/>
      <w:pStyle w:val="843"/>
      <w:suff w:val="nothing"/>
      <w:lvlText w:val="%1"/>
      <w:lvlJc w:val="center"/>
      <w:pPr>
        <w:ind w:left="0" w:firstLine="0"/>
      </w:pPr>
      <w:rPr>
        <w:rFonts w:hint="eastAsia"/>
        <w:vanish w:val="0"/>
      </w:rPr>
    </w:lvl>
    <w:lvl w:ilvl="1" w:tentative="0">
      <w:start w:val="1"/>
      <w:numFmt w:val="decimal"/>
      <w:pStyle w:val="838"/>
      <w:suff w:val="nothing"/>
      <w:lvlText w:val="%1.%2"/>
      <w:lvlJc w:val="left"/>
      <w:pPr>
        <w:ind w:left="0" w:firstLine="0"/>
      </w:pPr>
      <w:rPr>
        <w:rFonts w:hint="eastAsia"/>
      </w:rPr>
    </w:lvl>
    <w:lvl w:ilvl="2" w:tentative="0">
      <w:start w:val="1"/>
      <w:numFmt w:val="decimal"/>
      <w:pStyle w:val="841"/>
      <w:suff w:val="nothing"/>
      <w:lvlText w:val="%1.%2.%3"/>
      <w:lvlJc w:val="left"/>
      <w:pPr>
        <w:ind w:left="0" w:firstLine="0"/>
      </w:pPr>
      <w:rPr>
        <w:rFonts w:hint="eastAsia"/>
      </w:rPr>
    </w:lvl>
    <w:lvl w:ilvl="3" w:tentative="0">
      <w:start w:val="1"/>
      <w:numFmt w:val="lowerLetter"/>
      <w:lvlText w:val="%4)"/>
      <w:lvlJc w:val="left"/>
      <w:pPr>
        <w:tabs>
          <w:tab w:val="left" w:pos="-852"/>
        </w:tabs>
        <w:ind w:left="0" w:firstLine="0"/>
      </w:pPr>
      <w:rPr>
        <w:rFonts w:hint="eastAsia"/>
      </w:rPr>
    </w:lvl>
    <w:lvl w:ilvl="4" w:tentative="0">
      <w:start w:val="1"/>
      <w:numFmt w:val="decimal"/>
      <w:lvlText w:val="(%5)"/>
      <w:lvlJc w:val="left"/>
      <w:pPr>
        <w:tabs>
          <w:tab w:val="left" w:pos="-1"/>
        </w:tabs>
        <w:ind w:left="0" w:firstLine="0"/>
      </w:pPr>
      <w:rPr>
        <w:rFonts w:hint="eastAsia"/>
      </w:rPr>
    </w:lvl>
    <w:lvl w:ilvl="5" w:tentative="0">
      <w:start w:val="1"/>
      <w:numFmt w:val="lowerLetter"/>
      <w:lvlText w:val="(%6)"/>
      <w:lvlJc w:val="left"/>
      <w:pPr>
        <w:tabs>
          <w:tab w:val="left" w:pos="849"/>
        </w:tabs>
        <w:ind w:left="0" w:firstLine="0"/>
      </w:pPr>
      <w:rPr>
        <w:rFonts w:hint="eastAsia"/>
      </w:rPr>
    </w:lvl>
    <w:lvl w:ilvl="6" w:tentative="0">
      <w:start w:val="1"/>
      <w:numFmt w:val="lowerRoman"/>
      <w:lvlText w:val="(%7)"/>
      <w:lvlJc w:val="left"/>
      <w:pPr>
        <w:tabs>
          <w:tab w:val="left" w:pos="1700"/>
        </w:tabs>
        <w:ind w:left="0" w:firstLine="0"/>
      </w:pPr>
      <w:rPr>
        <w:rFonts w:hint="eastAsia"/>
      </w:rPr>
    </w:lvl>
    <w:lvl w:ilvl="7" w:tentative="0">
      <w:start w:val="1"/>
      <w:numFmt w:val="lowerLetter"/>
      <w:lvlText w:val="(%8)"/>
      <w:lvlJc w:val="left"/>
      <w:pPr>
        <w:tabs>
          <w:tab w:val="left" w:pos="2550"/>
        </w:tabs>
        <w:ind w:left="0" w:firstLine="0"/>
      </w:pPr>
      <w:rPr>
        <w:rFonts w:hint="eastAsia"/>
      </w:rPr>
    </w:lvl>
    <w:lvl w:ilvl="8" w:tentative="0">
      <w:start w:val="1"/>
      <w:numFmt w:val="lowerRoman"/>
      <w:lvlText w:val="(%9)"/>
      <w:lvlJc w:val="left"/>
      <w:pPr>
        <w:tabs>
          <w:tab w:val="left" w:pos="3400"/>
        </w:tabs>
        <w:ind w:left="0" w:firstLine="0"/>
      </w:pPr>
      <w:rPr>
        <w:rFonts w:hint="eastAsia"/>
      </w:rPr>
    </w:lvl>
  </w:abstractNum>
  <w:abstractNum w:abstractNumId="6">
    <w:nsid w:val="1DD8360F"/>
    <w:multiLevelType w:val="singleLevel"/>
    <w:tmpl w:val="1DD8360F"/>
    <w:lvl w:ilvl="0" w:tentative="0">
      <w:start w:val="3"/>
      <w:numFmt w:val="decimal"/>
      <w:suff w:val="nothing"/>
      <w:lvlText w:val="（%1）"/>
      <w:lvlJc w:val="left"/>
    </w:lvl>
  </w:abstractNum>
  <w:abstractNum w:abstractNumId="7">
    <w:nsid w:val="1F4F4C03"/>
    <w:multiLevelType w:val="multilevel"/>
    <w:tmpl w:val="1F4F4C03"/>
    <w:lvl w:ilvl="0" w:tentative="0">
      <w:start w:val="1"/>
      <w:numFmt w:val="decimal"/>
      <w:pStyle w:val="835"/>
      <w:suff w:val="nothing"/>
      <w:lvlText w:val="%1"/>
      <w:lvlJc w:val="center"/>
      <w:pPr>
        <w:ind w:left="582"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6E11DC3"/>
    <w:multiLevelType w:val="singleLevel"/>
    <w:tmpl w:val="26E11DC3"/>
    <w:lvl w:ilvl="0" w:tentative="0">
      <w:start w:val="1"/>
      <w:numFmt w:val="decimal"/>
      <w:suff w:val="nothing"/>
      <w:lvlText w:val="%1、"/>
      <w:lvlJc w:val="left"/>
    </w:lvl>
  </w:abstractNum>
  <w:abstractNum w:abstractNumId="9">
    <w:nsid w:val="40E3EE89"/>
    <w:multiLevelType w:val="singleLevel"/>
    <w:tmpl w:val="40E3EE89"/>
    <w:lvl w:ilvl="0" w:tentative="0">
      <w:start w:val="2"/>
      <w:numFmt w:val="decimal"/>
      <w:suff w:val="nothing"/>
      <w:lvlText w:val="（%1）"/>
      <w:lvlJc w:val="left"/>
    </w:lvl>
  </w:abstractNum>
  <w:abstractNum w:abstractNumId="10">
    <w:nsid w:val="4C552069"/>
    <w:multiLevelType w:val="multilevel"/>
    <w:tmpl w:val="4C552069"/>
    <w:lvl w:ilvl="0" w:tentative="0">
      <w:start w:val="1"/>
      <w:numFmt w:val="decimal"/>
      <w:lvlText w:val="（%1）"/>
      <w:lvlJc w:val="left"/>
      <w:pPr>
        <w:ind w:left="1200" w:hanging="720"/>
      </w:pPr>
      <w:rPr>
        <w:rFonts w:hint="default" w:ascii="Times New Roman" w:hAnsi="Times New Roman"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41F132C"/>
    <w:multiLevelType w:val="multilevel"/>
    <w:tmpl w:val="741F132C"/>
    <w:lvl w:ilvl="0" w:tentative="0">
      <w:start w:val="1"/>
      <w:numFmt w:val="decimal"/>
      <w:lvlText w:val="%1."/>
      <w:lvlJc w:val="left"/>
      <w:pPr>
        <w:ind w:left="210"/>
      </w:pPr>
      <w:rPr>
        <w:rFonts w:hint="default" w:ascii="Times New Roman" w:hAnsi="Times New Roman" w:eastAsia="宋体"/>
        <w:b/>
        <w:i w:val="0"/>
        <w:caps w:val="0"/>
        <w:strike w:val="0"/>
        <w:dstrike w:val="0"/>
        <w:vanish w:val="0"/>
        <w:color w:val="FFFFFF" w:themeColor="background1"/>
        <w:sz w:val="28"/>
        <w:vertAlign w:val="baseline"/>
        <w14:textFill>
          <w14:solidFill>
            <w14:schemeClr w14:val="bg1"/>
          </w14:solidFill>
        </w14:textFill>
      </w:rPr>
    </w:lvl>
    <w:lvl w:ilvl="1" w:tentative="0">
      <w:start w:val="1"/>
      <w:numFmt w:val="decimal"/>
      <w:isLgl/>
      <w:suff w:val="nothing"/>
      <w:lvlText w:val="%1.%2 "/>
      <w:lvlJc w:val="left"/>
      <w:pPr>
        <w:ind w:left="920" w:firstLine="0"/>
      </w:pPr>
      <w:rPr>
        <w:rFonts w:hint="default" w:ascii="Arial" w:hAnsi="Arial" w:eastAsia="宋体" w:cs="Arial"/>
        <w:b/>
        <w:color w:val="auto"/>
        <w:sz w:val="28"/>
        <w:szCs w:val="28"/>
      </w:rPr>
    </w:lvl>
    <w:lvl w:ilvl="2" w:tentative="0">
      <w:start w:val="1"/>
      <w:numFmt w:val="decimal"/>
      <w:suff w:val="nothing"/>
      <w:lvlText w:val="%1.%2.%3 "/>
      <w:lvlJc w:val="left"/>
      <w:pPr>
        <w:ind w:left="493" w:hanging="283"/>
      </w:pPr>
      <w:rPr>
        <w:rFonts w:hint="default" w:ascii="Arial" w:hAnsi="Arial" w:cs="Arial"/>
        <w:b/>
        <w:i w:val="0"/>
        <w:color w:val="auto"/>
        <w:sz w:val="24"/>
      </w:rPr>
    </w:lvl>
    <w:lvl w:ilvl="3" w:tentative="0">
      <w:start w:val="1"/>
      <w:numFmt w:val="decimal"/>
      <w:lvlRestart w:val="1"/>
      <w:suff w:val="nothing"/>
      <w:lvlText w:val="表%1-%4"/>
      <w:lvlJc w:val="center"/>
      <w:pPr>
        <w:ind w:left="777" w:firstLine="0"/>
      </w:pPr>
      <w:rPr>
        <w:rFonts w:hint="default" w:ascii="Arial" w:hAnsi="Arial" w:eastAsia="宋体" w:cs="Arial"/>
        <w:b/>
        <w:i w:val="0"/>
        <w:color w:val="auto"/>
        <w:kern w:val="0"/>
        <w:sz w:val="24"/>
        <w:szCs w:val="24"/>
      </w:rPr>
    </w:lvl>
    <w:lvl w:ilvl="4" w:tentative="0">
      <w:start w:val="1"/>
      <w:numFmt w:val="decimal"/>
      <w:suff w:val="nothing"/>
      <w:lvlText w:val="%1.%2.%3.%5"/>
      <w:lvlJc w:val="left"/>
      <w:pPr>
        <w:ind w:left="662" w:firstLine="0"/>
      </w:pPr>
      <w:rPr>
        <w:rFonts w:hint="default" w:ascii="Arial" w:hAnsi="Arial" w:cs="Arial"/>
        <w:sz w:val="24"/>
        <w:szCs w:val="24"/>
      </w:rPr>
    </w:lvl>
    <w:lvl w:ilvl="5" w:tentative="0">
      <w:start w:val="1"/>
      <w:numFmt w:val="decimal"/>
      <w:suff w:val="nothing"/>
      <w:lvlText w:val="图%1-%6"/>
      <w:lvlJc w:val="left"/>
      <w:pPr>
        <w:ind w:left="775" w:firstLine="0"/>
      </w:pPr>
      <w:rPr>
        <w:rFonts w:hint="eastAsia"/>
      </w:rPr>
    </w:lvl>
    <w:lvl w:ilvl="6" w:tentative="0">
      <w:start w:val="1"/>
      <w:numFmt w:val="decimal"/>
      <w:lvlText w:val="%1.%2.%3.%4.%5.%6.%7."/>
      <w:lvlJc w:val="left"/>
      <w:pPr>
        <w:tabs>
          <w:tab w:val="left" w:pos="4363"/>
        </w:tabs>
        <w:ind w:left="888" w:firstLine="0"/>
      </w:pPr>
      <w:rPr>
        <w:rFonts w:hint="eastAsia"/>
      </w:rPr>
    </w:lvl>
    <w:lvl w:ilvl="7" w:tentative="0">
      <w:start w:val="1"/>
      <w:numFmt w:val="decimal"/>
      <w:lvlText w:val="%1.%2.%3.%4.%5.%6.%7.%8."/>
      <w:lvlJc w:val="left"/>
      <w:pPr>
        <w:tabs>
          <w:tab w:val="left" w:pos="4476"/>
        </w:tabs>
        <w:ind w:left="1001" w:firstLine="0"/>
      </w:pPr>
      <w:rPr>
        <w:rFonts w:hint="eastAsia"/>
      </w:rPr>
    </w:lvl>
    <w:lvl w:ilvl="8" w:tentative="0">
      <w:start w:val="1"/>
      <w:numFmt w:val="decimal"/>
      <w:lvlText w:val="%1.%2.%3.%4.%5.%6.%7.%8.%9."/>
      <w:lvlJc w:val="left"/>
      <w:pPr>
        <w:tabs>
          <w:tab w:val="left" w:pos="4589"/>
        </w:tabs>
        <w:ind w:left="1114" w:firstLine="0"/>
      </w:pPr>
      <w:rPr>
        <w:rFonts w:hint="eastAsia"/>
      </w:rPr>
    </w:lvl>
  </w:abstractNum>
  <w:num w:numId="1">
    <w:abstractNumId w:val="2"/>
  </w:num>
  <w:num w:numId="2">
    <w:abstractNumId w:val="7"/>
  </w:num>
  <w:num w:numId="3">
    <w:abstractNumId w:val="5"/>
  </w:num>
  <w:num w:numId="4">
    <w:abstractNumId w:val="11"/>
  </w:num>
  <w:num w:numId="5">
    <w:abstractNumId w:val="10"/>
  </w:num>
  <w:num w:numId="6">
    <w:abstractNumId w:val="6"/>
  </w:num>
  <w:num w:numId="7">
    <w:abstractNumId w:val="11"/>
    <w:lvlOverride w:ilvl="0">
      <w:lvl w:ilvl="0" w:tentative="1">
        <w:start w:val="1"/>
        <w:numFmt w:val="decimal"/>
        <w:lvlText w:val="%1."/>
        <w:lvlJc w:val="left"/>
        <w:pPr>
          <w:tabs>
            <w:tab w:val="left" w:pos="993"/>
          </w:tabs>
          <w:ind w:left="567" w:hanging="567"/>
        </w:pPr>
        <w:rPr>
          <w:rFonts w:hint="default" w:ascii="Times New Roman" w:hAnsi="Times New Roman" w:eastAsia="宋体"/>
          <w:b/>
          <w:i w:val="0"/>
          <w:caps w:val="0"/>
          <w:strike w:val="0"/>
          <w:dstrike w:val="0"/>
          <w:outline w:val="0"/>
          <w:shadow w:val="0"/>
          <w:emboss w:val="0"/>
          <w:imprint w:val="0"/>
          <w:vanish w:val="0"/>
          <w:sz w:val="28"/>
          <w:vertAlign w:val="baseline"/>
        </w:rPr>
      </w:lvl>
    </w:lvlOverride>
    <w:lvlOverride w:ilvl="1">
      <w:lvl w:ilvl="1" w:tentative="1">
        <w:start w:val="1"/>
        <w:numFmt w:val="decimal"/>
        <w:isLgl/>
        <w:suff w:val="nothing"/>
        <w:lvlText w:val="%1.%2 "/>
        <w:lvlJc w:val="left"/>
        <w:pPr>
          <w:ind w:left="710" w:firstLine="0"/>
        </w:pPr>
        <w:rPr>
          <w:rFonts w:hint="default" w:ascii="Times New Roman" w:hAnsi="Times New Roman" w:eastAsia="宋体" w:cs="Times New Roman"/>
          <w:b/>
          <w:color w:val="auto"/>
          <w:sz w:val="28"/>
          <w:szCs w:val="28"/>
        </w:rPr>
      </w:lvl>
    </w:lvlOverride>
    <w:lvlOverride w:ilvl="2">
      <w:lvl w:ilvl="2" w:tentative="1">
        <w:start w:val="1"/>
        <w:numFmt w:val="decimal"/>
        <w:suff w:val="nothing"/>
        <w:lvlText w:val="%1.%2.%3 "/>
        <w:lvlJc w:val="left"/>
        <w:pPr>
          <w:ind w:left="3118" w:hanging="3118"/>
        </w:pPr>
        <w:rPr>
          <w:rFonts w:hint="default" w:ascii="Times New Roman" w:hAnsi="Times New Roman" w:cs="Times New Roman"/>
          <w:b/>
          <w:i w:val="0"/>
          <w:color w:val="auto"/>
          <w:sz w:val="24"/>
        </w:rPr>
      </w:lvl>
    </w:lvlOverride>
    <w:lvlOverride w:ilvl="3">
      <w:lvl w:ilvl="3" w:tentative="1">
        <w:start w:val="1"/>
        <w:numFmt w:val="decimal"/>
        <w:lvlRestart w:val="1"/>
        <w:suff w:val="nothing"/>
        <w:lvlText w:val="表%1-%4"/>
        <w:lvlJc w:val="center"/>
        <w:pPr>
          <w:ind w:left="567" w:firstLine="0"/>
        </w:pPr>
        <w:rPr>
          <w:rFonts w:hint="default" w:ascii="Times New Roman" w:hAnsi="Times New Roman" w:eastAsia="仿宋" w:cs="Times New Roman"/>
          <w:b/>
          <w:i w:val="0"/>
          <w:color w:val="auto"/>
          <w:kern w:val="0"/>
          <w:sz w:val="24"/>
          <w:szCs w:val="24"/>
        </w:rPr>
      </w:lvl>
    </w:lvlOverride>
    <w:lvlOverride w:ilvl="4">
      <w:lvl w:ilvl="4" w:tentative="1">
        <w:start w:val="1"/>
        <w:numFmt w:val="decimal"/>
        <w:suff w:val="nothing"/>
        <w:lvlText w:val="%1.%2.%3.%5"/>
        <w:lvlJc w:val="left"/>
        <w:pPr>
          <w:ind w:left="452" w:firstLine="0"/>
        </w:pPr>
        <w:rPr>
          <w:rFonts w:hint="default" w:ascii="Arial" w:hAnsi="Arial" w:cs="Arial"/>
          <w:sz w:val="24"/>
          <w:szCs w:val="24"/>
        </w:rPr>
      </w:lvl>
    </w:lvlOverride>
    <w:lvlOverride w:ilvl="5">
      <w:lvl w:ilvl="5" w:tentative="1">
        <w:start w:val="1"/>
        <w:numFmt w:val="decimal"/>
        <w:suff w:val="nothing"/>
        <w:lvlText w:val="图%1-%6"/>
        <w:lvlJc w:val="left"/>
        <w:pPr>
          <w:ind w:left="565" w:firstLine="0"/>
        </w:pPr>
        <w:rPr>
          <w:rFonts w:hint="eastAsia"/>
        </w:rPr>
      </w:lvl>
    </w:lvlOverride>
    <w:lvlOverride w:ilvl="6">
      <w:lvl w:ilvl="6" w:tentative="1">
        <w:start w:val="1"/>
        <w:numFmt w:val="decimal"/>
        <w:lvlText w:val="%1.%2.%3.%4.%5.%6.%7."/>
        <w:lvlJc w:val="left"/>
        <w:pPr>
          <w:tabs>
            <w:tab w:val="left" w:pos="4363"/>
          </w:tabs>
          <w:ind w:left="678" w:firstLine="0"/>
        </w:pPr>
        <w:rPr>
          <w:rFonts w:hint="eastAsia"/>
        </w:rPr>
      </w:lvl>
    </w:lvlOverride>
    <w:lvlOverride w:ilvl="7">
      <w:lvl w:ilvl="7" w:tentative="1">
        <w:start w:val="1"/>
        <w:numFmt w:val="decimal"/>
        <w:lvlText w:val="%1.%2.%3.%4.%5.%6.%7.%8."/>
        <w:lvlJc w:val="left"/>
        <w:pPr>
          <w:tabs>
            <w:tab w:val="left" w:pos="4476"/>
          </w:tabs>
          <w:ind w:left="791" w:firstLine="0"/>
        </w:pPr>
        <w:rPr>
          <w:rFonts w:hint="eastAsia"/>
        </w:rPr>
      </w:lvl>
    </w:lvlOverride>
    <w:lvlOverride w:ilvl="8">
      <w:lvl w:ilvl="8" w:tentative="1">
        <w:start w:val="1"/>
        <w:numFmt w:val="decimal"/>
        <w:lvlText w:val="%1.%2.%3.%4.%5.%6.%7.%8.%9."/>
        <w:lvlJc w:val="left"/>
        <w:pPr>
          <w:tabs>
            <w:tab w:val="left" w:pos="4589"/>
          </w:tabs>
          <w:ind w:left="904" w:firstLine="0"/>
        </w:pPr>
        <w:rPr>
          <w:rFonts w:hint="eastAsia"/>
        </w:rPr>
      </w:lvl>
    </w:lvlOverride>
  </w:num>
  <w:num w:numId="8">
    <w:abstractNumId w:val="4"/>
  </w:num>
  <w:num w:numId="9">
    <w:abstractNumId w:val="11"/>
    <w:lvlOverride w:ilvl="0">
      <w:lvl w:ilvl="0" w:tentative="1">
        <w:start w:val="1"/>
        <w:numFmt w:val="decimal"/>
        <w:lvlText w:val="%1."/>
        <w:lvlJc w:val="left"/>
        <w:pPr>
          <w:tabs>
            <w:tab w:val="left" w:pos="993"/>
          </w:tabs>
          <w:ind w:left="567" w:hanging="567"/>
        </w:pPr>
        <w:rPr>
          <w:rFonts w:hint="default" w:ascii="Times New Roman" w:hAnsi="Times New Roman" w:eastAsia="宋体"/>
          <w:b/>
          <w:i w:val="0"/>
          <w:caps w:val="0"/>
          <w:strike w:val="0"/>
          <w:dstrike w:val="0"/>
          <w:outline w:val="0"/>
          <w:shadow w:val="0"/>
          <w:emboss w:val="0"/>
          <w:imprint w:val="0"/>
          <w:vanish w:val="0"/>
          <w:sz w:val="28"/>
          <w:vertAlign w:val="baseline"/>
        </w:rPr>
      </w:lvl>
    </w:lvlOverride>
    <w:lvlOverride w:ilvl="1">
      <w:lvl w:ilvl="1" w:tentative="1">
        <w:start w:val="1"/>
        <w:numFmt w:val="decimal"/>
        <w:isLgl/>
        <w:suff w:val="nothing"/>
        <w:lvlText w:val="%1.%2 "/>
        <w:lvlJc w:val="left"/>
        <w:pPr>
          <w:ind w:left="710" w:firstLine="0"/>
        </w:pPr>
        <w:rPr>
          <w:rFonts w:hint="default" w:ascii="Times New Roman" w:hAnsi="Times New Roman" w:eastAsia="宋体" w:cs="Times New Roman"/>
          <w:b/>
          <w:color w:val="auto"/>
          <w:sz w:val="28"/>
          <w:szCs w:val="28"/>
        </w:rPr>
      </w:lvl>
    </w:lvlOverride>
    <w:lvlOverride w:ilvl="2">
      <w:lvl w:ilvl="2" w:tentative="1">
        <w:start w:val="1"/>
        <w:numFmt w:val="decimal"/>
        <w:suff w:val="nothing"/>
        <w:lvlText w:val="%1.%2.%3 "/>
        <w:lvlJc w:val="left"/>
        <w:pPr>
          <w:ind w:left="3118" w:hanging="283"/>
        </w:pPr>
        <w:rPr>
          <w:rFonts w:hint="default" w:ascii="Times New Roman" w:hAnsi="Times New Roman" w:cs="Times New Roman"/>
          <w:b/>
          <w:i w:val="0"/>
          <w:color w:val="auto"/>
          <w:sz w:val="24"/>
        </w:rPr>
      </w:lvl>
    </w:lvlOverride>
    <w:lvlOverride w:ilvl="3">
      <w:lvl w:ilvl="3" w:tentative="1">
        <w:start w:val="1"/>
        <w:numFmt w:val="decimal"/>
        <w:lvlRestart w:val="1"/>
        <w:suff w:val="nothing"/>
        <w:lvlText w:val="表%1-%4"/>
        <w:lvlJc w:val="center"/>
        <w:pPr>
          <w:ind w:left="567" w:firstLine="0"/>
        </w:pPr>
        <w:rPr>
          <w:rFonts w:hint="default" w:ascii="Times New Roman" w:hAnsi="Times New Roman" w:eastAsia="仿宋" w:cs="Times New Roman"/>
          <w:b/>
          <w:i w:val="0"/>
          <w:color w:val="auto"/>
          <w:kern w:val="0"/>
          <w:sz w:val="24"/>
          <w:szCs w:val="24"/>
        </w:rPr>
      </w:lvl>
    </w:lvlOverride>
    <w:lvlOverride w:ilvl="4">
      <w:lvl w:ilvl="4" w:tentative="1">
        <w:start w:val="1"/>
        <w:numFmt w:val="decimal"/>
        <w:suff w:val="nothing"/>
        <w:lvlText w:val="%1.%2.%3.%5"/>
        <w:lvlJc w:val="left"/>
        <w:pPr>
          <w:ind w:left="452" w:firstLine="0"/>
        </w:pPr>
        <w:rPr>
          <w:rFonts w:hint="default" w:ascii="Arial" w:hAnsi="Arial" w:cs="Arial"/>
          <w:sz w:val="24"/>
          <w:szCs w:val="24"/>
        </w:rPr>
      </w:lvl>
    </w:lvlOverride>
    <w:lvlOverride w:ilvl="5">
      <w:lvl w:ilvl="5" w:tentative="1">
        <w:start w:val="1"/>
        <w:numFmt w:val="decimal"/>
        <w:suff w:val="nothing"/>
        <w:lvlText w:val="图%1-%6"/>
        <w:lvlJc w:val="left"/>
        <w:pPr>
          <w:ind w:left="565" w:firstLine="0"/>
        </w:pPr>
        <w:rPr>
          <w:rFonts w:hint="eastAsia"/>
        </w:rPr>
      </w:lvl>
    </w:lvlOverride>
    <w:lvlOverride w:ilvl="6">
      <w:lvl w:ilvl="6" w:tentative="1">
        <w:start w:val="1"/>
        <w:numFmt w:val="decimal"/>
        <w:lvlText w:val="%1.%2.%3.%4.%5.%6.%7."/>
        <w:lvlJc w:val="left"/>
        <w:pPr>
          <w:tabs>
            <w:tab w:val="left" w:pos="4363"/>
          </w:tabs>
          <w:ind w:left="678" w:firstLine="0"/>
        </w:pPr>
        <w:rPr>
          <w:rFonts w:hint="eastAsia"/>
        </w:rPr>
      </w:lvl>
    </w:lvlOverride>
    <w:lvlOverride w:ilvl="7">
      <w:lvl w:ilvl="7" w:tentative="1">
        <w:start w:val="1"/>
        <w:numFmt w:val="decimal"/>
        <w:lvlText w:val="%1.%2.%3.%4.%5.%6.%7.%8."/>
        <w:lvlJc w:val="left"/>
        <w:pPr>
          <w:tabs>
            <w:tab w:val="left" w:pos="4476"/>
          </w:tabs>
          <w:ind w:left="791" w:firstLine="0"/>
        </w:pPr>
        <w:rPr>
          <w:rFonts w:hint="eastAsia"/>
        </w:rPr>
      </w:lvl>
    </w:lvlOverride>
    <w:lvlOverride w:ilvl="8">
      <w:lvl w:ilvl="8" w:tentative="1">
        <w:start w:val="1"/>
        <w:numFmt w:val="decimal"/>
        <w:lvlText w:val="%1.%2.%3.%4.%5.%6.%7.%8.%9."/>
        <w:lvlJc w:val="left"/>
        <w:pPr>
          <w:tabs>
            <w:tab w:val="left" w:pos="4589"/>
          </w:tabs>
          <w:ind w:left="904" w:firstLine="0"/>
        </w:pPr>
        <w:rPr>
          <w:rFonts w:hint="eastAsia"/>
        </w:rPr>
      </w:lvl>
    </w:lvlOverride>
  </w:num>
  <w:num w:numId="10">
    <w:abstractNumId w:val="8"/>
  </w:num>
  <w:num w:numId="11">
    <w:abstractNumId w:val="1"/>
  </w:num>
  <w:num w:numId="12">
    <w:abstractNumId w:val="0"/>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1"/>
  <w:bordersDoNotSurroundFooter w:val="1"/>
  <w:hideSpellingErrors/>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balanceSingleByteDoubleByteWidth/>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D50"/>
    <w:rsid w:val="000001DC"/>
    <w:rsid w:val="00000225"/>
    <w:rsid w:val="00000E4D"/>
    <w:rsid w:val="00001011"/>
    <w:rsid w:val="00001351"/>
    <w:rsid w:val="0000145C"/>
    <w:rsid w:val="000014DF"/>
    <w:rsid w:val="00001F33"/>
    <w:rsid w:val="00002238"/>
    <w:rsid w:val="000026B3"/>
    <w:rsid w:val="00002AD0"/>
    <w:rsid w:val="0000322C"/>
    <w:rsid w:val="0000349E"/>
    <w:rsid w:val="000034A9"/>
    <w:rsid w:val="00003880"/>
    <w:rsid w:val="00003F13"/>
    <w:rsid w:val="0000549A"/>
    <w:rsid w:val="000062A0"/>
    <w:rsid w:val="000064BF"/>
    <w:rsid w:val="00006534"/>
    <w:rsid w:val="00006605"/>
    <w:rsid w:val="0000665A"/>
    <w:rsid w:val="00006F33"/>
    <w:rsid w:val="000073C9"/>
    <w:rsid w:val="00007671"/>
    <w:rsid w:val="00007AB7"/>
    <w:rsid w:val="00010940"/>
    <w:rsid w:val="000119AE"/>
    <w:rsid w:val="00011CF2"/>
    <w:rsid w:val="00012B3B"/>
    <w:rsid w:val="00012CD8"/>
    <w:rsid w:val="00012D91"/>
    <w:rsid w:val="0001351F"/>
    <w:rsid w:val="00013631"/>
    <w:rsid w:val="00013AA7"/>
    <w:rsid w:val="00014378"/>
    <w:rsid w:val="000147C4"/>
    <w:rsid w:val="000148F3"/>
    <w:rsid w:val="00014DF1"/>
    <w:rsid w:val="00015817"/>
    <w:rsid w:val="00015B77"/>
    <w:rsid w:val="00015D10"/>
    <w:rsid w:val="00016247"/>
    <w:rsid w:val="00016974"/>
    <w:rsid w:val="00016BBB"/>
    <w:rsid w:val="0001729B"/>
    <w:rsid w:val="0001763B"/>
    <w:rsid w:val="00017CE0"/>
    <w:rsid w:val="00017D4F"/>
    <w:rsid w:val="00017F9D"/>
    <w:rsid w:val="00020A2D"/>
    <w:rsid w:val="000219A1"/>
    <w:rsid w:val="00022110"/>
    <w:rsid w:val="000222FC"/>
    <w:rsid w:val="0002236C"/>
    <w:rsid w:val="00022DA0"/>
    <w:rsid w:val="00022EA8"/>
    <w:rsid w:val="00022F9D"/>
    <w:rsid w:val="0002301C"/>
    <w:rsid w:val="000235CB"/>
    <w:rsid w:val="00023726"/>
    <w:rsid w:val="000237CE"/>
    <w:rsid w:val="00023BFE"/>
    <w:rsid w:val="000249C5"/>
    <w:rsid w:val="000249F9"/>
    <w:rsid w:val="00024A61"/>
    <w:rsid w:val="00025FDC"/>
    <w:rsid w:val="000272F4"/>
    <w:rsid w:val="000274AB"/>
    <w:rsid w:val="00027538"/>
    <w:rsid w:val="00027783"/>
    <w:rsid w:val="0002790A"/>
    <w:rsid w:val="00027AFE"/>
    <w:rsid w:val="00027C9A"/>
    <w:rsid w:val="00027D07"/>
    <w:rsid w:val="00027D37"/>
    <w:rsid w:val="00027FB1"/>
    <w:rsid w:val="00030134"/>
    <w:rsid w:val="0003041C"/>
    <w:rsid w:val="00030910"/>
    <w:rsid w:val="00031214"/>
    <w:rsid w:val="000313A3"/>
    <w:rsid w:val="000321DB"/>
    <w:rsid w:val="00032FEF"/>
    <w:rsid w:val="000338F1"/>
    <w:rsid w:val="0003390B"/>
    <w:rsid w:val="00034013"/>
    <w:rsid w:val="00034385"/>
    <w:rsid w:val="00034EAA"/>
    <w:rsid w:val="000351F4"/>
    <w:rsid w:val="00035A33"/>
    <w:rsid w:val="00036145"/>
    <w:rsid w:val="0003642A"/>
    <w:rsid w:val="000367BE"/>
    <w:rsid w:val="000370FF"/>
    <w:rsid w:val="000374D9"/>
    <w:rsid w:val="00037682"/>
    <w:rsid w:val="000376F0"/>
    <w:rsid w:val="0003782D"/>
    <w:rsid w:val="000379BA"/>
    <w:rsid w:val="00037C84"/>
    <w:rsid w:val="00037DA4"/>
    <w:rsid w:val="0004004A"/>
    <w:rsid w:val="0004099A"/>
    <w:rsid w:val="00041ECE"/>
    <w:rsid w:val="00042966"/>
    <w:rsid w:val="00042D49"/>
    <w:rsid w:val="00042D51"/>
    <w:rsid w:val="000436B3"/>
    <w:rsid w:val="00044BC3"/>
    <w:rsid w:val="00045186"/>
    <w:rsid w:val="0004549D"/>
    <w:rsid w:val="0004552D"/>
    <w:rsid w:val="00045D4D"/>
    <w:rsid w:val="00045D7A"/>
    <w:rsid w:val="00045E27"/>
    <w:rsid w:val="00045FA5"/>
    <w:rsid w:val="0004656E"/>
    <w:rsid w:val="000477F5"/>
    <w:rsid w:val="00050B64"/>
    <w:rsid w:val="00050C2C"/>
    <w:rsid w:val="00050E6A"/>
    <w:rsid w:val="000511E0"/>
    <w:rsid w:val="00051B20"/>
    <w:rsid w:val="00051EB3"/>
    <w:rsid w:val="000523C0"/>
    <w:rsid w:val="000523F5"/>
    <w:rsid w:val="00052AE5"/>
    <w:rsid w:val="00052B7E"/>
    <w:rsid w:val="0005323A"/>
    <w:rsid w:val="00053297"/>
    <w:rsid w:val="000533B0"/>
    <w:rsid w:val="000536E1"/>
    <w:rsid w:val="0005446D"/>
    <w:rsid w:val="00054673"/>
    <w:rsid w:val="0005550F"/>
    <w:rsid w:val="000556D8"/>
    <w:rsid w:val="00055FFF"/>
    <w:rsid w:val="00056269"/>
    <w:rsid w:val="0005652C"/>
    <w:rsid w:val="000567DC"/>
    <w:rsid w:val="00056DDF"/>
    <w:rsid w:val="000575E3"/>
    <w:rsid w:val="00057AEB"/>
    <w:rsid w:val="00057BB7"/>
    <w:rsid w:val="00057C0D"/>
    <w:rsid w:val="00057D23"/>
    <w:rsid w:val="000600BF"/>
    <w:rsid w:val="00060771"/>
    <w:rsid w:val="000613BF"/>
    <w:rsid w:val="00061C60"/>
    <w:rsid w:val="00061E85"/>
    <w:rsid w:val="000620E5"/>
    <w:rsid w:val="000621DC"/>
    <w:rsid w:val="00062214"/>
    <w:rsid w:val="000624A9"/>
    <w:rsid w:val="000628AA"/>
    <w:rsid w:val="00062AE5"/>
    <w:rsid w:val="00062C00"/>
    <w:rsid w:val="00062CB1"/>
    <w:rsid w:val="00062E2B"/>
    <w:rsid w:val="00062F71"/>
    <w:rsid w:val="000631CF"/>
    <w:rsid w:val="0006385E"/>
    <w:rsid w:val="000641D7"/>
    <w:rsid w:val="00064600"/>
    <w:rsid w:val="000647B1"/>
    <w:rsid w:val="00064AC8"/>
    <w:rsid w:val="00064AF2"/>
    <w:rsid w:val="000653B6"/>
    <w:rsid w:val="00065A3B"/>
    <w:rsid w:val="00065A9F"/>
    <w:rsid w:val="00065C01"/>
    <w:rsid w:val="000660B0"/>
    <w:rsid w:val="00066697"/>
    <w:rsid w:val="000669D6"/>
    <w:rsid w:val="00066AA7"/>
    <w:rsid w:val="00066AFF"/>
    <w:rsid w:val="00066D79"/>
    <w:rsid w:val="00066E58"/>
    <w:rsid w:val="00066FE6"/>
    <w:rsid w:val="00066FF8"/>
    <w:rsid w:val="00067308"/>
    <w:rsid w:val="00067A06"/>
    <w:rsid w:val="0007003A"/>
    <w:rsid w:val="00070119"/>
    <w:rsid w:val="00070230"/>
    <w:rsid w:val="000705C4"/>
    <w:rsid w:val="00070956"/>
    <w:rsid w:val="0007109B"/>
    <w:rsid w:val="00071389"/>
    <w:rsid w:val="000716FD"/>
    <w:rsid w:val="00071E70"/>
    <w:rsid w:val="000728C9"/>
    <w:rsid w:val="000729A7"/>
    <w:rsid w:val="00072B9C"/>
    <w:rsid w:val="00073896"/>
    <w:rsid w:val="00073FAE"/>
    <w:rsid w:val="00074AF1"/>
    <w:rsid w:val="00075AB6"/>
    <w:rsid w:val="00076136"/>
    <w:rsid w:val="000762DE"/>
    <w:rsid w:val="00076FAE"/>
    <w:rsid w:val="000777F7"/>
    <w:rsid w:val="00077A46"/>
    <w:rsid w:val="00077B43"/>
    <w:rsid w:val="000800DD"/>
    <w:rsid w:val="00080415"/>
    <w:rsid w:val="0008067D"/>
    <w:rsid w:val="00080714"/>
    <w:rsid w:val="00080770"/>
    <w:rsid w:val="00080CCD"/>
    <w:rsid w:val="00080DCC"/>
    <w:rsid w:val="000813D5"/>
    <w:rsid w:val="00081A75"/>
    <w:rsid w:val="00081E4E"/>
    <w:rsid w:val="00082984"/>
    <w:rsid w:val="00082C00"/>
    <w:rsid w:val="00084A1E"/>
    <w:rsid w:val="00084F2C"/>
    <w:rsid w:val="0008515B"/>
    <w:rsid w:val="00085523"/>
    <w:rsid w:val="000855B5"/>
    <w:rsid w:val="00085BA2"/>
    <w:rsid w:val="00086493"/>
    <w:rsid w:val="00086E0D"/>
    <w:rsid w:val="00087158"/>
    <w:rsid w:val="000872D2"/>
    <w:rsid w:val="000875C3"/>
    <w:rsid w:val="000875FA"/>
    <w:rsid w:val="00087AB7"/>
    <w:rsid w:val="00087B2D"/>
    <w:rsid w:val="00090554"/>
    <w:rsid w:val="000905A8"/>
    <w:rsid w:val="00091262"/>
    <w:rsid w:val="000916A0"/>
    <w:rsid w:val="00091818"/>
    <w:rsid w:val="00091920"/>
    <w:rsid w:val="00091FEA"/>
    <w:rsid w:val="0009252E"/>
    <w:rsid w:val="00092D45"/>
    <w:rsid w:val="00093942"/>
    <w:rsid w:val="00093DF8"/>
    <w:rsid w:val="0009455D"/>
    <w:rsid w:val="00095C3C"/>
    <w:rsid w:val="00095C3E"/>
    <w:rsid w:val="000961E9"/>
    <w:rsid w:val="000968CF"/>
    <w:rsid w:val="00096A9C"/>
    <w:rsid w:val="00096C2F"/>
    <w:rsid w:val="00096D62"/>
    <w:rsid w:val="00097480"/>
    <w:rsid w:val="00097645"/>
    <w:rsid w:val="000A1333"/>
    <w:rsid w:val="000A2585"/>
    <w:rsid w:val="000A2A55"/>
    <w:rsid w:val="000A2CF3"/>
    <w:rsid w:val="000A32BC"/>
    <w:rsid w:val="000A34FB"/>
    <w:rsid w:val="000A4808"/>
    <w:rsid w:val="000A4F16"/>
    <w:rsid w:val="000A523D"/>
    <w:rsid w:val="000A5352"/>
    <w:rsid w:val="000A54CE"/>
    <w:rsid w:val="000A5629"/>
    <w:rsid w:val="000A580A"/>
    <w:rsid w:val="000A5AE1"/>
    <w:rsid w:val="000A6570"/>
    <w:rsid w:val="000A6643"/>
    <w:rsid w:val="000A68D6"/>
    <w:rsid w:val="000A7147"/>
    <w:rsid w:val="000A740A"/>
    <w:rsid w:val="000A7A15"/>
    <w:rsid w:val="000A7B7F"/>
    <w:rsid w:val="000B02CD"/>
    <w:rsid w:val="000B030E"/>
    <w:rsid w:val="000B044A"/>
    <w:rsid w:val="000B0570"/>
    <w:rsid w:val="000B0BD3"/>
    <w:rsid w:val="000B1264"/>
    <w:rsid w:val="000B190B"/>
    <w:rsid w:val="000B2098"/>
    <w:rsid w:val="000B21E9"/>
    <w:rsid w:val="000B26CB"/>
    <w:rsid w:val="000B2A49"/>
    <w:rsid w:val="000B3AB7"/>
    <w:rsid w:val="000B4129"/>
    <w:rsid w:val="000B4798"/>
    <w:rsid w:val="000B479B"/>
    <w:rsid w:val="000B47E7"/>
    <w:rsid w:val="000B54E4"/>
    <w:rsid w:val="000B5727"/>
    <w:rsid w:val="000B5893"/>
    <w:rsid w:val="000B5E25"/>
    <w:rsid w:val="000B607E"/>
    <w:rsid w:val="000B67B3"/>
    <w:rsid w:val="000B6AF6"/>
    <w:rsid w:val="000B721C"/>
    <w:rsid w:val="000B7609"/>
    <w:rsid w:val="000B7A4E"/>
    <w:rsid w:val="000B7AD5"/>
    <w:rsid w:val="000C046B"/>
    <w:rsid w:val="000C064A"/>
    <w:rsid w:val="000C0807"/>
    <w:rsid w:val="000C09D8"/>
    <w:rsid w:val="000C0CEE"/>
    <w:rsid w:val="000C1B5A"/>
    <w:rsid w:val="000C1D4E"/>
    <w:rsid w:val="000C27C3"/>
    <w:rsid w:val="000C2AFA"/>
    <w:rsid w:val="000C2B87"/>
    <w:rsid w:val="000C3384"/>
    <w:rsid w:val="000C3840"/>
    <w:rsid w:val="000C39FB"/>
    <w:rsid w:val="000C3ADD"/>
    <w:rsid w:val="000C3F77"/>
    <w:rsid w:val="000C4755"/>
    <w:rsid w:val="000C4ABE"/>
    <w:rsid w:val="000C5155"/>
    <w:rsid w:val="000C54AE"/>
    <w:rsid w:val="000C55D3"/>
    <w:rsid w:val="000C5942"/>
    <w:rsid w:val="000C5EC5"/>
    <w:rsid w:val="000C641E"/>
    <w:rsid w:val="000C67A6"/>
    <w:rsid w:val="000C6C39"/>
    <w:rsid w:val="000C724E"/>
    <w:rsid w:val="000C751E"/>
    <w:rsid w:val="000C75F8"/>
    <w:rsid w:val="000C76A6"/>
    <w:rsid w:val="000C780B"/>
    <w:rsid w:val="000C78BD"/>
    <w:rsid w:val="000C7F38"/>
    <w:rsid w:val="000D07A7"/>
    <w:rsid w:val="000D12AF"/>
    <w:rsid w:val="000D1749"/>
    <w:rsid w:val="000D1843"/>
    <w:rsid w:val="000D1D5E"/>
    <w:rsid w:val="000D22ED"/>
    <w:rsid w:val="000D25C3"/>
    <w:rsid w:val="000D2B8D"/>
    <w:rsid w:val="000D30B8"/>
    <w:rsid w:val="000D3158"/>
    <w:rsid w:val="000D31EC"/>
    <w:rsid w:val="000D32D5"/>
    <w:rsid w:val="000D3ABB"/>
    <w:rsid w:val="000D3D1F"/>
    <w:rsid w:val="000D43FB"/>
    <w:rsid w:val="000D454C"/>
    <w:rsid w:val="000D5612"/>
    <w:rsid w:val="000D5B00"/>
    <w:rsid w:val="000D62F4"/>
    <w:rsid w:val="000D633E"/>
    <w:rsid w:val="000D66F2"/>
    <w:rsid w:val="000D681F"/>
    <w:rsid w:val="000D689E"/>
    <w:rsid w:val="000D68C7"/>
    <w:rsid w:val="000D6A27"/>
    <w:rsid w:val="000D71BA"/>
    <w:rsid w:val="000D773E"/>
    <w:rsid w:val="000D7AB9"/>
    <w:rsid w:val="000D7EC9"/>
    <w:rsid w:val="000D7FB8"/>
    <w:rsid w:val="000E012A"/>
    <w:rsid w:val="000E0476"/>
    <w:rsid w:val="000E0716"/>
    <w:rsid w:val="000E0B73"/>
    <w:rsid w:val="000E14E5"/>
    <w:rsid w:val="000E1520"/>
    <w:rsid w:val="000E1F04"/>
    <w:rsid w:val="000E2007"/>
    <w:rsid w:val="000E21C1"/>
    <w:rsid w:val="000E2480"/>
    <w:rsid w:val="000E2A4F"/>
    <w:rsid w:val="000E2DC0"/>
    <w:rsid w:val="000E3D12"/>
    <w:rsid w:val="000E3E0A"/>
    <w:rsid w:val="000E4884"/>
    <w:rsid w:val="000E4F00"/>
    <w:rsid w:val="000E5272"/>
    <w:rsid w:val="000E5427"/>
    <w:rsid w:val="000E55DB"/>
    <w:rsid w:val="000E5AF4"/>
    <w:rsid w:val="000E5E4E"/>
    <w:rsid w:val="000E60C2"/>
    <w:rsid w:val="000E677B"/>
    <w:rsid w:val="000E68B1"/>
    <w:rsid w:val="000E69EE"/>
    <w:rsid w:val="000E6CF1"/>
    <w:rsid w:val="000E6DC3"/>
    <w:rsid w:val="000E7A67"/>
    <w:rsid w:val="000F015C"/>
    <w:rsid w:val="000F0972"/>
    <w:rsid w:val="000F09F8"/>
    <w:rsid w:val="000F1380"/>
    <w:rsid w:val="000F13BA"/>
    <w:rsid w:val="000F1514"/>
    <w:rsid w:val="000F1C14"/>
    <w:rsid w:val="000F2576"/>
    <w:rsid w:val="000F2C61"/>
    <w:rsid w:val="000F2D45"/>
    <w:rsid w:val="000F314E"/>
    <w:rsid w:val="000F3382"/>
    <w:rsid w:val="000F3486"/>
    <w:rsid w:val="000F3ABD"/>
    <w:rsid w:val="000F3E61"/>
    <w:rsid w:val="000F47D7"/>
    <w:rsid w:val="000F5261"/>
    <w:rsid w:val="000F53DE"/>
    <w:rsid w:val="000F5446"/>
    <w:rsid w:val="000F583C"/>
    <w:rsid w:val="000F5971"/>
    <w:rsid w:val="000F5A5F"/>
    <w:rsid w:val="000F5BDA"/>
    <w:rsid w:val="000F5F77"/>
    <w:rsid w:val="000F6370"/>
    <w:rsid w:val="000F6DC3"/>
    <w:rsid w:val="000F743E"/>
    <w:rsid w:val="000F7613"/>
    <w:rsid w:val="000F7908"/>
    <w:rsid w:val="000F790E"/>
    <w:rsid w:val="000F7DBA"/>
    <w:rsid w:val="00100009"/>
    <w:rsid w:val="0010007D"/>
    <w:rsid w:val="001001FE"/>
    <w:rsid w:val="00102932"/>
    <w:rsid w:val="00102BAB"/>
    <w:rsid w:val="00102C89"/>
    <w:rsid w:val="001038B5"/>
    <w:rsid w:val="00103B95"/>
    <w:rsid w:val="001040EE"/>
    <w:rsid w:val="001049A2"/>
    <w:rsid w:val="00104B9B"/>
    <w:rsid w:val="00104FFD"/>
    <w:rsid w:val="00106C89"/>
    <w:rsid w:val="00106D46"/>
    <w:rsid w:val="00107CBC"/>
    <w:rsid w:val="0011096E"/>
    <w:rsid w:val="00110A45"/>
    <w:rsid w:val="00110B5B"/>
    <w:rsid w:val="00111586"/>
    <w:rsid w:val="001118E4"/>
    <w:rsid w:val="0011204C"/>
    <w:rsid w:val="0011221B"/>
    <w:rsid w:val="00112419"/>
    <w:rsid w:val="0011348A"/>
    <w:rsid w:val="00113545"/>
    <w:rsid w:val="00113F5E"/>
    <w:rsid w:val="00114104"/>
    <w:rsid w:val="00114881"/>
    <w:rsid w:val="0011557D"/>
    <w:rsid w:val="0011558F"/>
    <w:rsid w:val="00115ADD"/>
    <w:rsid w:val="00115E9B"/>
    <w:rsid w:val="00115FB1"/>
    <w:rsid w:val="0011635C"/>
    <w:rsid w:val="00116697"/>
    <w:rsid w:val="001174ED"/>
    <w:rsid w:val="00117DD9"/>
    <w:rsid w:val="00117E74"/>
    <w:rsid w:val="00117EC7"/>
    <w:rsid w:val="00120325"/>
    <w:rsid w:val="00120484"/>
    <w:rsid w:val="00120BC7"/>
    <w:rsid w:val="0012133D"/>
    <w:rsid w:val="00121547"/>
    <w:rsid w:val="001219E9"/>
    <w:rsid w:val="00121D95"/>
    <w:rsid w:val="00121E1F"/>
    <w:rsid w:val="001221FE"/>
    <w:rsid w:val="00122362"/>
    <w:rsid w:val="00122572"/>
    <w:rsid w:val="001225FD"/>
    <w:rsid w:val="001229F5"/>
    <w:rsid w:val="0012317E"/>
    <w:rsid w:val="00123E28"/>
    <w:rsid w:val="0012408A"/>
    <w:rsid w:val="00124412"/>
    <w:rsid w:val="00125EA9"/>
    <w:rsid w:val="0012610E"/>
    <w:rsid w:val="00126B06"/>
    <w:rsid w:val="0012729F"/>
    <w:rsid w:val="001275B2"/>
    <w:rsid w:val="00127A89"/>
    <w:rsid w:val="00127E61"/>
    <w:rsid w:val="00127F5F"/>
    <w:rsid w:val="00130B80"/>
    <w:rsid w:val="00130CEA"/>
    <w:rsid w:val="001318E3"/>
    <w:rsid w:val="00131A9B"/>
    <w:rsid w:val="001320CD"/>
    <w:rsid w:val="00132A7F"/>
    <w:rsid w:val="00132B9E"/>
    <w:rsid w:val="001331FB"/>
    <w:rsid w:val="001336F5"/>
    <w:rsid w:val="0013374C"/>
    <w:rsid w:val="001339E7"/>
    <w:rsid w:val="001340B9"/>
    <w:rsid w:val="001340BF"/>
    <w:rsid w:val="001346B4"/>
    <w:rsid w:val="001347BA"/>
    <w:rsid w:val="001348B5"/>
    <w:rsid w:val="001349F1"/>
    <w:rsid w:val="00134E82"/>
    <w:rsid w:val="0013571C"/>
    <w:rsid w:val="00135EF3"/>
    <w:rsid w:val="0013659D"/>
    <w:rsid w:val="00136C88"/>
    <w:rsid w:val="0013707C"/>
    <w:rsid w:val="00137794"/>
    <w:rsid w:val="001403DF"/>
    <w:rsid w:val="001406E8"/>
    <w:rsid w:val="0014094D"/>
    <w:rsid w:val="0014110B"/>
    <w:rsid w:val="001414A1"/>
    <w:rsid w:val="0014155D"/>
    <w:rsid w:val="001418D9"/>
    <w:rsid w:val="00141C33"/>
    <w:rsid w:val="00142544"/>
    <w:rsid w:val="00142805"/>
    <w:rsid w:val="00142810"/>
    <w:rsid w:val="001435A0"/>
    <w:rsid w:val="00144547"/>
    <w:rsid w:val="00144587"/>
    <w:rsid w:val="00145111"/>
    <w:rsid w:val="001456E4"/>
    <w:rsid w:val="001464E6"/>
    <w:rsid w:val="00146D09"/>
    <w:rsid w:val="00147FA5"/>
    <w:rsid w:val="00150122"/>
    <w:rsid w:val="0015048D"/>
    <w:rsid w:val="00150F11"/>
    <w:rsid w:val="001511C3"/>
    <w:rsid w:val="00151359"/>
    <w:rsid w:val="00151478"/>
    <w:rsid w:val="001514B9"/>
    <w:rsid w:val="00151710"/>
    <w:rsid w:val="001517C2"/>
    <w:rsid w:val="001519D9"/>
    <w:rsid w:val="0015232B"/>
    <w:rsid w:val="00152DEB"/>
    <w:rsid w:val="00153153"/>
    <w:rsid w:val="001541C8"/>
    <w:rsid w:val="001545A7"/>
    <w:rsid w:val="0015467A"/>
    <w:rsid w:val="00154764"/>
    <w:rsid w:val="00154F1A"/>
    <w:rsid w:val="0015540F"/>
    <w:rsid w:val="001556B3"/>
    <w:rsid w:val="00155A12"/>
    <w:rsid w:val="00155B55"/>
    <w:rsid w:val="00156EF1"/>
    <w:rsid w:val="00157140"/>
    <w:rsid w:val="001575E7"/>
    <w:rsid w:val="001578D3"/>
    <w:rsid w:val="00157B29"/>
    <w:rsid w:val="00160205"/>
    <w:rsid w:val="001603CF"/>
    <w:rsid w:val="001606AE"/>
    <w:rsid w:val="00160922"/>
    <w:rsid w:val="00160EBA"/>
    <w:rsid w:val="00160F7D"/>
    <w:rsid w:val="00161123"/>
    <w:rsid w:val="00161450"/>
    <w:rsid w:val="001614FA"/>
    <w:rsid w:val="001616D5"/>
    <w:rsid w:val="001618EE"/>
    <w:rsid w:val="00161D31"/>
    <w:rsid w:val="00163215"/>
    <w:rsid w:val="00163930"/>
    <w:rsid w:val="00163EF1"/>
    <w:rsid w:val="001640C1"/>
    <w:rsid w:val="0016432E"/>
    <w:rsid w:val="001644C7"/>
    <w:rsid w:val="00164A14"/>
    <w:rsid w:val="00165BA0"/>
    <w:rsid w:val="00165D9E"/>
    <w:rsid w:val="001668E8"/>
    <w:rsid w:val="00166E0E"/>
    <w:rsid w:val="0016723A"/>
    <w:rsid w:val="00167379"/>
    <w:rsid w:val="0016759A"/>
    <w:rsid w:val="00167CCE"/>
    <w:rsid w:val="00167D94"/>
    <w:rsid w:val="0017035B"/>
    <w:rsid w:val="00170497"/>
    <w:rsid w:val="001704B9"/>
    <w:rsid w:val="00171007"/>
    <w:rsid w:val="00171150"/>
    <w:rsid w:val="0017155A"/>
    <w:rsid w:val="001716F3"/>
    <w:rsid w:val="00171B97"/>
    <w:rsid w:val="00171EE6"/>
    <w:rsid w:val="0017265E"/>
    <w:rsid w:val="0017281F"/>
    <w:rsid w:val="00174353"/>
    <w:rsid w:val="00174C4A"/>
    <w:rsid w:val="00174E5E"/>
    <w:rsid w:val="00174EE6"/>
    <w:rsid w:val="001757CF"/>
    <w:rsid w:val="0017655C"/>
    <w:rsid w:val="00176BA0"/>
    <w:rsid w:val="00176E04"/>
    <w:rsid w:val="00176FFB"/>
    <w:rsid w:val="001775A6"/>
    <w:rsid w:val="001775D2"/>
    <w:rsid w:val="001777F7"/>
    <w:rsid w:val="00177DA7"/>
    <w:rsid w:val="00177FCD"/>
    <w:rsid w:val="001801C2"/>
    <w:rsid w:val="001804F2"/>
    <w:rsid w:val="001807B1"/>
    <w:rsid w:val="00180830"/>
    <w:rsid w:val="00180F2D"/>
    <w:rsid w:val="00180F87"/>
    <w:rsid w:val="0018128C"/>
    <w:rsid w:val="001814DC"/>
    <w:rsid w:val="001816A3"/>
    <w:rsid w:val="00181BE9"/>
    <w:rsid w:val="00181BF6"/>
    <w:rsid w:val="001821DA"/>
    <w:rsid w:val="00182394"/>
    <w:rsid w:val="0018273F"/>
    <w:rsid w:val="00182AC0"/>
    <w:rsid w:val="00182EF4"/>
    <w:rsid w:val="001830AE"/>
    <w:rsid w:val="0018363F"/>
    <w:rsid w:val="0018394B"/>
    <w:rsid w:val="00183BBC"/>
    <w:rsid w:val="001841B1"/>
    <w:rsid w:val="00184370"/>
    <w:rsid w:val="001843C5"/>
    <w:rsid w:val="001844C3"/>
    <w:rsid w:val="00184945"/>
    <w:rsid w:val="0018553E"/>
    <w:rsid w:val="00185F1C"/>
    <w:rsid w:val="0018677D"/>
    <w:rsid w:val="00186F33"/>
    <w:rsid w:val="0018717A"/>
    <w:rsid w:val="001879F1"/>
    <w:rsid w:val="00190400"/>
    <w:rsid w:val="001907FB"/>
    <w:rsid w:val="00190B97"/>
    <w:rsid w:val="00190D5E"/>
    <w:rsid w:val="00191384"/>
    <w:rsid w:val="00191977"/>
    <w:rsid w:val="00191B9A"/>
    <w:rsid w:val="0019200E"/>
    <w:rsid w:val="0019207B"/>
    <w:rsid w:val="001928AE"/>
    <w:rsid w:val="0019339B"/>
    <w:rsid w:val="00193582"/>
    <w:rsid w:val="0019384B"/>
    <w:rsid w:val="00193870"/>
    <w:rsid w:val="00193AA8"/>
    <w:rsid w:val="00193FC3"/>
    <w:rsid w:val="001945B6"/>
    <w:rsid w:val="001946B8"/>
    <w:rsid w:val="001946CE"/>
    <w:rsid w:val="00195857"/>
    <w:rsid w:val="001963DB"/>
    <w:rsid w:val="001973B9"/>
    <w:rsid w:val="00197406"/>
    <w:rsid w:val="00197417"/>
    <w:rsid w:val="00197460"/>
    <w:rsid w:val="00197894"/>
    <w:rsid w:val="00197C82"/>
    <w:rsid w:val="00197DBE"/>
    <w:rsid w:val="001A050F"/>
    <w:rsid w:val="001A099A"/>
    <w:rsid w:val="001A0AA5"/>
    <w:rsid w:val="001A11CC"/>
    <w:rsid w:val="001A182D"/>
    <w:rsid w:val="001A1981"/>
    <w:rsid w:val="001A2214"/>
    <w:rsid w:val="001A236F"/>
    <w:rsid w:val="001A2FC2"/>
    <w:rsid w:val="001A34E7"/>
    <w:rsid w:val="001A41D8"/>
    <w:rsid w:val="001A4814"/>
    <w:rsid w:val="001A4B74"/>
    <w:rsid w:val="001A5209"/>
    <w:rsid w:val="001A540A"/>
    <w:rsid w:val="001A5860"/>
    <w:rsid w:val="001A6176"/>
    <w:rsid w:val="001A63D9"/>
    <w:rsid w:val="001A644F"/>
    <w:rsid w:val="001A6729"/>
    <w:rsid w:val="001A679D"/>
    <w:rsid w:val="001A6A1C"/>
    <w:rsid w:val="001A6AAE"/>
    <w:rsid w:val="001A6BAF"/>
    <w:rsid w:val="001A71A6"/>
    <w:rsid w:val="001A76BB"/>
    <w:rsid w:val="001A7773"/>
    <w:rsid w:val="001B01DB"/>
    <w:rsid w:val="001B05AE"/>
    <w:rsid w:val="001B0686"/>
    <w:rsid w:val="001B0AE5"/>
    <w:rsid w:val="001B106A"/>
    <w:rsid w:val="001B1134"/>
    <w:rsid w:val="001B1B03"/>
    <w:rsid w:val="001B33F6"/>
    <w:rsid w:val="001B422D"/>
    <w:rsid w:val="001B43E5"/>
    <w:rsid w:val="001B4519"/>
    <w:rsid w:val="001B4728"/>
    <w:rsid w:val="001B47CB"/>
    <w:rsid w:val="001B4876"/>
    <w:rsid w:val="001B51C2"/>
    <w:rsid w:val="001B53E3"/>
    <w:rsid w:val="001B58C7"/>
    <w:rsid w:val="001B5B63"/>
    <w:rsid w:val="001B5E07"/>
    <w:rsid w:val="001B65AC"/>
    <w:rsid w:val="001B6A83"/>
    <w:rsid w:val="001B7A15"/>
    <w:rsid w:val="001B7D6D"/>
    <w:rsid w:val="001B7F58"/>
    <w:rsid w:val="001C06A8"/>
    <w:rsid w:val="001C099F"/>
    <w:rsid w:val="001C0F0C"/>
    <w:rsid w:val="001C11AA"/>
    <w:rsid w:val="001C15E4"/>
    <w:rsid w:val="001C18A9"/>
    <w:rsid w:val="001C1B4E"/>
    <w:rsid w:val="001C1CAA"/>
    <w:rsid w:val="001C252D"/>
    <w:rsid w:val="001C38B1"/>
    <w:rsid w:val="001C3C29"/>
    <w:rsid w:val="001C3ED0"/>
    <w:rsid w:val="001C45BE"/>
    <w:rsid w:val="001C4606"/>
    <w:rsid w:val="001C4848"/>
    <w:rsid w:val="001C48FF"/>
    <w:rsid w:val="001C4B2B"/>
    <w:rsid w:val="001C4BF3"/>
    <w:rsid w:val="001C5045"/>
    <w:rsid w:val="001C523B"/>
    <w:rsid w:val="001C646B"/>
    <w:rsid w:val="001C7BA5"/>
    <w:rsid w:val="001C7C5A"/>
    <w:rsid w:val="001D0002"/>
    <w:rsid w:val="001D0322"/>
    <w:rsid w:val="001D04BD"/>
    <w:rsid w:val="001D056D"/>
    <w:rsid w:val="001D07AC"/>
    <w:rsid w:val="001D1255"/>
    <w:rsid w:val="001D1C6F"/>
    <w:rsid w:val="001D20F7"/>
    <w:rsid w:val="001D28E5"/>
    <w:rsid w:val="001D2E6C"/>
    <w:rsid w:val="001D303C"/>
    <w:rsid w:val="001D3AD8"/>
    <w:rsid w:val="001D3CF2"/>
    <w:rsid w:val="001D408B"/>
    <w:rsid w:val="001D490F"/>
    <w:rsid w:val="001D4A2B"/>
    <w:rsid w:val="001D4AAB"/>
    <w:rsid w:val="001D4F45"/>
    <w:rsid w:val="001D54BA"/>
    <w:rsid w:val="001D55F2"/>
    <w:rsid w:val="001D5AA8"/>
    <w:rsid w:val="001D5D58"/>
    <w:rsid w:val="001D664C"/>
    <w:rsid w:val="001D6664"/>
    <w:rsid w:val="001D6CB7"/>
    <w:rsid w:val="001D6D5E"/>
    <w:rsid w:val="001D6D91"/>
    <w:rsid w:val="001D6E10"/>
    <w:rsid w:val="001D7087"/>
    <w:rsid w:val="001D72DD"/>
    <w:rsid w:val="001D78E1"/>
    <w:rsid w:val="001E0529"/>
    <w:rsid w:val="001E11F6"/>
    <w:rsid w:val="001E1353"/>
    <w:rsid w:val="001E14C8"/>
    <w:rsid w:val="001E1A47"/>
    <w:rsid w:val="001E1A6A"/>
    <w:rsid w:val="001E2146"/>
    <w:rsid w:val="001E2F3E"/>
    <w:rsid w:val="001E327C"/>
    <w:rsid w:val="001E3CEC"/>
    <w:rsid w:val="001E3DB8"/>
    <w:rsid w:val="001E4169"/>
    <w:rsid w:val="001E416B"/>
    <w:rsid w:val="001E458D"/>
    <w:rsid w:val="001E4865"/>
    <w:rsid w:val="001E4895"/>
    <w:rsid w:val="001E4D84"/>
    <w:rsid w:val="001E5726"/>
    <w:rsid w:val="001E5AAB"/>
    <w:rsid w:val="001E5B57"/>
    <w:rsid w:val="001E612D"/>
    <w:rsid w:val="001E6601"/>
    <w:rsid w:val="001E6992"/>
    <w:rsid w:val="001E6A86"/>
    <w:rsid w:val="001E741C"/>
    <w:rsid w:val="001E77E8"/>
    <w:rsid w:val="001E7809"/>
    <w:rsid w:val="001E7EE5"/>
    <w:rsid w:val="001F038E"/>
    <w:rsid w:val="001F03B8"/>
    <w:rsid w:val="001F06E0"/>
    <w:rsid w:val="001F07B6"/>
    <w:rsid w:val="001F0CA5"/>
    <w:rsid w:val="001F1104"/>
    <w:rsid w:val="001F1121"/>
    <w:rsid w:val="001F169C"/>
    <w:rsid w:val="001F1A0C"/>
    <w:rsid w:val="001F1F0F"/>
    <w:rsid w:val="001F2627"/>
    <w:rsid w:val="001F2882"/>
    <w:rsid w:val="001F28CB"/>
    <w:rsid w:val="001F2F88"/>
    <w:rsid w:val="001F3E23"/>
    <w:rsid w:val="001F4335"/>
    <w:rsid w:val="001F433F"/>
    <w:rsid w:val="001F46DF"/>
    <w:rsid w:val="001F4E3B"/>
    <w:rsid w:val="001F58BE"/>
    <w:rsid w:val="001F6235"/>
    <w:rsid w:val="001F6373"/>
    <w:rsid w:val="001F645A"/>
    <w:rsid w:val="002001D1"/>
    <w:rsid w:val="002006B2"/>
    <w:rsid w:val="00200D83"/>
    <w:rsid w:val="00201130"/>
    <w:rsid w:val="0020175A"/>
    <w:rsid w:val="00201D6E"/>
    <w:rsid w:val="00202243"/>
    <w:rsid w:val="00202E18"/>
    <w:rsid w:val="00203168"/>
    <w:rsid w:val="0020321C"/>
    <w:rsid w:val="00203BEC"/>
    <w:rsid w:val="00203D1A"/>
    <w:rsid w:val="002042A2"/>
    <w:rsid w:val="00204792"/>
    <w:rsid w:val="00204D2D"/>
    <w:rsid w:val="00205395"/>
    <w:rsid w:val="00205902"/>
    <w:rsid w:val="00205CA7"/>
    <w:rsid w:val="00206160"/>
    <w:rsid w:val="00206161"/>
    <w:rsid w:val="00206423"/>
    <w:rsid w:val="0020660A"/>
    <w:rsid w:val="002072A5"/>
    <w:rsid w:val="002073BA"/>
    <w:rsid w:val="0020759C"/>
    <w:rsid w:val="002079B9"/>
    <w:rsid w:val="00207B35"/>
    <w:rsid w:val="00207BC5"/>
    <w:rsid w:val="00210479"/>
    <w:rsid w:val="002108EB"/>
    <w:rsid w:val="00210C6B"/>
    <w:rsid w:val="002110CE"/>
    <w:rsid w:val="0021168C"/>
    <w:rsid w:val="00211B01"/>
    <w:rsid w:val="0021210C"/>
    <w:rsid w:val="00213014"/>
    <w:rsid w:val="0021318A"/>
    <w:rsid w:val="0021375B"/>
    <w:rsid w:val="002138AD"/>
    <w:rsid w:val="00213C91"/>
    <w:rsid w:val="0021435A"/>
    <w:rsid w:val="0021478A"/>
    <w:rsid w:val="00214B2B"/>
    <w:rsid w:val="00214B34"/>
    <w:rsid w:val="00214B93"/>
    <w:rsid w:val="00214BB6"/>
    <w:rsid w:val="00214BC4"/>
    <w:rsid w:val="00214BF1"/>
    <w:rsid w:val="00214E93"/>
    <w:rsid w:val="00214FEB"/>
    <w:rsid w:val="002153D6"/>
    <w:rsid w:val="002157FD"/>
    <w:rsid w:val="00215A50"/>
    <w:rsid w:val="00216316"/>
    <w:rsid w:val="002163C5"/>
    <w:rsid w:val="0021651F"/>
    <w:rsid w:val="002165A6"/>
    <w:rsid w:val="00216F02"/>
    <w:rsid w:val="0021704E"/>
    <w:rsid w:val="0021719A"/>
    <w:rsid w:val="002176A2"/>
    <w:rsid w:val="00217BC0"/>
    <w:rsid w:val="00217DD8"/>
    <w:rsid w:val="00220FEB"/>
    <w:rsid w:val="0022149B"/>
    <w:rsid w:val="0022176E"/>
    <w:rsid w:val="002217C3"/>
    <w:rsid w:val="002226B8"/>
    <w:rsid w:val="00223571"/>
    <w:rsid w:val="002235F0"/>
    <w:rsid w:val="0022364F"/>
    <w:rsid w:val="002236F7"/>
    <w:rsid w:val="002237C9"/>
    <w:rsid w:val="00223905"/>
    <w:rsid w:val="00223AD9"/>
    <w:rsid w:val="00223B9B"/>
    <w:rsid w:val="0022456F"/>
    <w:rsid w:val="002247D8"/>
    <w:rsid w:val="00224F36"/>
    <w:rsid w:val="00224F55"/>
    <w:rsid w:val="002256B6"/>
    <w:rsid w:val="00226044"/>
    <w:rsid w:val="00226222"/>
    <w:rsid w:val="00226259"/>
    <w:rsid w:val="0022646D"/>
    <w:rsid w:val="002265AE"/>
    <w:rsid w:val="00226A25"/>
    <w:rsid w:val="00226B85"/>
    <w:rsid w:val="00226D72"/>
    <w:rsid w:val="002270E2"/>
    <w:rsid w:val="0022739F"/>
    <w:rsid w:val="002273EE"/>
    <w:rsid w:val="00227B45"/>
    <w:rsid w:val="00227E03"/>
    <w:rsid w:val="002301D0"/>
    <w:rsid w:val="0023073D"/>
    <w:rsid w:val="00230CDF"/>
    <w:rsid w:val="00230F0D"/>
    <w:rsid w:val="00231346"/>
    <w:rsid w:val="00231A50"/>
    <w:rsid w:val="00231BF0"/>
    <w:rsid w:val="00231BF1"/>
    <w:rsid w:val="002320A1"/>
    <w:rsid w:val="002325A6"/>
    <w:rsid w:val="00232832"/>
    <w:rsid w:val="002328EA"/>
    <w:rsid w:val="00232D61"/>
    <w:rsid w:val="00233254"/>
    <w:rsid w:val="002332ED"/>
    <w:rsid w:val="0023397D"/>
    <w:rsid w:val="00233F6A"/>
    <w:rsid w:val="00234287"/>
    <w:rsid w:val="00234434"/>
    <w:rsid w:val="00234830"/>
    <w:rsid w:val="00234AC4"/>
    <w:rsid w:val="00234B02"/>
    <w:rsid w:val="00234BCA"/>
    <w:rsid w:val="002358B4"/>
    <w:rsid w:val="002358DE"/>
    <w:rsid w:val="00235A0B"/>
    <w:rsid w:val="00236137"/>
    <w:rsid w:val="002362CA"/>
    <w:rsid w:val="0023637F"/>
    <w:rsid w:val="0023656D"/>
    <w:rsid w:val="002365FB"/>
    <w:rsid w:val="00236699"/>
    <w:rsid w:val="00236F3B"/>
    <w:rsid w:val="002404B9"/>
    <w:rsid w:val="002409AA"/>
    <w:rsid w:val="00240A36"/>
    <w:rsid w:val="00240B77"/>
    <w:rsid w:val="00240C65"/>
    <w:rsid w:val="00240CD0"/>
    <w:rsid w:val="00240F21"/>
    <w:rsid w:val="00241249"/>
    <w:rsid w:val="00241445"/>
    <w:rsid w:val="0024236E"/>
    <w:rsid w:val="0024256B"/>
    <w:rsid w:val="0024274D"/>
    <w:rsid w:val="00243027"/>
    <w:rsid w:val="00243376"/>
    <w:rsid w:val="002437F8"/>
    <w:rsid w:val="00243C76"/>
    <w:rsid w:val="00243E2A"/>
    <w:rsid w:val="0024401A"/>
    <w:rsid w:val="002444AF"/>
    <w:rsid w:val="00244592"/>
    <w:rsid w:val="00244D1E"/>
    <w:rsid w:val="00244FC6"/>
    <w:rsid w:val="00245489"/>
    <w:rsid w:val="002454B9"/>
    <w:rsid w:val="0024579B"/>
    <w:rsid w:val="0024581A"/>
    <w:rsid w:val="00245FA5"/>
    <w:rsid w:val="00246325"/>
    <w:rsid w:val="00246BDA"/>
    <w:rsid w:val="00247302"/>
    <w:rsid w:val="00247596"/>
    <w:rsid w:val="00247A9E"/>
    <w:rsid w:val="002503F3"/>
    <w:rsid w:val="002509A9"/>
    <w:rsid w:val="00251036"/>
    <w:rsid w:val="00251182"/>
    <w:rsid w:val="002514BD"/>
    <w:rsid w:val="00251B5F"/>
    <w:rsid w:val="00251CA2"/>
    <w:rsid w:val="00251E97"/>
    <w:rsid w:val="00251F0F"/>
    <w:rsid w:val="00252218"/>
    <w:rsid w:val="00252A16"/>
    <w:rsid w:val="00252B51"/>
    <w:rsid w:val="00252DE9"/>
    <w:rsid w:val="00252F92"/>
    <w:rsid w:val="0025315C"/>
    <w:rsid w:val="00253E7E"/>
    <w:rsid w:val="00253F30"/>
    <w:rsid w:val="00254433"/>
    <w:rsid w:val="002544A8"/>
    <w:rsid w:val="00254E40"/>
    <w:rsid w:val="00255B63"/>
    <w:rsid w:val="0025662B"/>
    <w:rsid w:val="00256CA2"/>
    <w:rsid w:val="00256D30"/>
    <w:rsid w:val="0025731B"/>
    <w:rsid w:val="00257D91"/>
    <w:rsid w:val="002607B2"/>
    <w:rsid w:val="002609D2"/>
    <w:rsid w:val="002616A9"/>
    <w:rsid w:val="00261CCC"/>
    <w:rsid w:val="00262306"/>
    <w:rsid w:val="00262347"/>
    <w:rsid w:val="00262677"/>
    <w:rsid w:val="00262E81"/>
    <w:rsid w:val="00263049"/>
    <w:rsid w:val="0026344F"/>
    <w:rsid w:val="00263F86"/>
    <w:rsid w:val="00265433"/>
    <w:rsid w:val="002658EB"/>
    <w:rsid w:val="00266F26"/>
    <w:rsid w:val="00267364"/>
    <w:rsid w:val="00267775"/>
    <w:rsid w:val="002679D0"/>
    <w:rsid w:val="00267D5A"/>
    <w:rsid w:val="00267D90"/>
    <w:rsid w:val="00267E35"/>
    <w:rsid w:val="00267FC1"/>
    <w:rsid w:val="0027031A"/>
    <w:rsid w:val="0027083B"/>
    <w:rsid w:val="00270C69"/>
    <w:rsid w:val="00270EFA"/>
    <w:rsid w:val="00270FCA"/>
    <w:rsid w:val="00271378"/>
    <w:rsid w:val="00271E70"/>
    <w:rsid w:val="00271FD0"/>
    <w:rsid w:val="00272ACD"/>
    <w:rsid w:val="00272CB9"/>
    <w:rsid w:val="0027305D"/>
    <w:rsid w:val="002738A4"/>
    <w:rsid w:val="00273AA2"/>
    <w:rsid w:val="0027456D"/>
    <w:rsid w:val="00274E64"/>
    <w:rsid w:val="00274FCC"/>
    <w:rsid w:val="0027537F"/>
    <w:rsid w:val="002762C2"/>
    <w:rsid w:val="00276956"/>
    <w:rsid w:val="00276F32"/>
    <w:rsid w:val="002770EF"/>
    <w:rsid w:val="002775E3"/>
    <w:rsid w:val="00277D0A"/>
    <w:rsid w:val="002802B7"/>
    <w:rsid w:val="002808D6"/>
    <w:rsid w:val="00280935"/>
    <w:rsid w:val="00280A5B"/>
    <w:rsid w:val="00280DAB"/>
    <w:rsid w:val="0028197E"/>
    <w:rsid w:val="002819D8"/>
    <w:rsid w:val="00281A57"/>
    <w:rsid w:val="002826A2"/>
    <w:rsid w:val="00282E92"/>
    <w:rsid w:val="0028325E"/>
    <w:rsid w:val="00283289"/>
    <w:rsid w:val="002837E9"/>
    <w:rsid w:val="002839A0"/>
    <w:rsid w:val="00283AF1"/>
    <w:rsid w:val="00283D42"/>
    <w:rsid w:val="00284693"/>
    <w:rsid w:val="00284A25"/>
    <w:rsid w:val="00284AFC"/>
    <w:rsid w:val="00284D2F"/>
    <w:rsid w:val="00284EBB"/>
    <w:rsid w:val="00284FA4"/>
    <w:rsid w:val="002850BF"/>
    <w:rsid w:val="002863B8"/>
    <w:rsid w:val="00286A0D"/>
    <w:rsid w:val="00287917"/>
    <w:rsid w:val="00290074"/>
    <w:rsid w:val="002906AC"/>
    <w:rsid w:val="00290795"/>
    <w:rsid w:val="002908BE"/>
    <w:rsid w:val="00290AA3"/>
    <w:rsid w:val="00290CD6"/>
    <w:rsid w:val="00291302"/>
    <w:rsid w:val="00291B6A"/>
    <w:rsid w:val="00292E94"/>
    <w:rsid w:val="00293476"/>
    <w:rsid w:val="00293A8F"/>
    <w:rsid w:val="00293E2C"/>
    <w:rsid w:val="00293F96"/>
    <w:rsid w:val="00294330"/>
    <w:rsid w:val="0029440B"/>
    <w:rsid w:val="002948F8"/>
    <w:rsid w:val="00294A9B"/>
    <w:rsid w:val="00294DAF"/>
    <w:rsid w:val="00294DBB"/>
    <w:rsid w:val="00296098"/>
    <w:rsid w:val="00296343"/>
    <w:rsid w:val="0029667D"/>
    <w:rsid w:val="0029684C"/>
    <w:rsid w:val="002970A2"/>
    <w:rsid w:val="0029723B"/>
    <w:rsid w:val="0029744A"/>
    <w:rsid w:val="0029754F"/>
    <w:rsid w:val="002976A8"/>
    <w:rsid w:val="00297A9B"/>
    <w:rsid w:val="00297BD3"/>
    <w:rsid w:val="00297BF5"/>
    <w:rsid w:val="002A030C"/>
    <w:rsid w:val="002A159B"/>
    <w:rsid w:val="002A247D"/>
    <w:rsid w:val="002A2778"/>
    <w:rsid w:val="002A27EC"/>
    <w:rsid w:val="002A2ACD"/>
    <w:rsid w:val="002A3BD2"/>
    <w:rsid w:val="002A3C8A"/>
    <w:rsid w:val="002A48C7"/>
    <w:rsid w:val="002A4A5A"/>
    <w:rsid w:val="002A4C18"/>
    <w:rsid w:val="002A4C53"/>
    <w:rsid w:val="002A553D"/>
    <w:rsid w:val="002A55FA"/>
    <w:rsid w:val="002A57F2"/>
    <w:rsid w:val="002A5830"/>
    <w:rsid w:val="002A69D0"/>
    <w:rsid w:val="002A6F08"/>
    <w:rsid w:val="002A6FEE"/>
    <w:rsid w:val="002A7028"/>
    <w:rsid w:val="002A7329"/>
    <w:rsid w:val="002A74A9"/>
    <w:rsid w:val="002A74E2"/>
    <w:rsid w:val="002A7A29"/>
    <w:rsid w:val="002B0182"/>
    <w:rsid w:val="002B05ED"/>
    <w:rsid w:val="002B06B6"/>
    <w:rsid w:val="002B0893"/>
    <w:rsid w:val="002B0EF7"/>
    <w:rsid w:val="002B0F97"/>
    <w:rsid w:val="002B16B5"/>
    <w:rsid w:val="002B188D"/>
    <w:rsid w:val="002B1899"/>
    <w:rsid w:val="002B1CF0"/>
    <w:rsid w:val="002B1EC0"/>
    <w:rsid w:val="002B211B"/>
    <w:rsid w:val="002B41D6"/>
    <w:rsid w:val="002B48B5"/>
    <w:rsid w:val="002B4ED7"/>
    <w:rsid w:val="002B51E5"/>
    <w:rsid w:val="002B57BC"/>
    <w:rsid w:val="002B57C3"/>
    <w:rsid w:val="002B596F"/>
    <w:rsid w:val="002B6010"/>
    <w:rsid w:val="002B630A"/>
    <w:rsid w:val="002B65A9"/>
    <w:rsid w:val="002B6C79"/>
    <w:rsid w:val="002B6EAF"/>
    <w:rsid w:val="002B6FD3"/>
    <w:rsid w:val="002B7703"/>
    <w:rsid w:val="002B78F2"/>
    <w:rsid w:val="002B7B9C"/>
    <w:rsid w:val="002C0281"/>
    <w:rsid w:val="002C038A"/>
    <w:rsid w:val="002C11E6"/>
    <w:rsid w:val="002C1349"/>
    <w:rsid w:val="002C1446"/>
    <w:rsid w:val="002C1919"/>
    <w:rsid w:val="002C1A8D"/>
    <w:rsid w:val="002C26FD"/>
    <w:rsid w:val="002C29F2"/>
    <w:rsid w:val="002C2D1D"/>
    <w:rsid w:val="002C2DC2"/>
    <w:rsid w:val="002C3394"/>
    <w:rsid w:val="002C3741"/>
    <w:rsid w:val="002C38CD"/>
    <w:rsid w:val="002C3A1B"/>
    <w:rsid w:val="002C4207"/>
    <w:rsid w:val="002C46CE"/>
    <w:rsid w:val="002C4A69"/>
    <w:rsid w:val="002C4E7E"/>
    <w:rsid w:val="002C50D7"/>
    <w:rsid w:val="002C51ED"/>
    <w:rsid w:val="002C540B"/>
    <w:rsid w:val="002C5478"/>
    <w:rsid w:val="002C57C7"/>
    <w:rsid w:val="002C59B1"/>
    <w:rsid w:val="002C68D6"/>
    <w:rsid w:val="002C6BD1"/>
    <w:rsid w:val="002C6F0C"/>
    <w:rsid w:val="002C751E"/>
    <w:rsid w:val="002C790A"/>
    <w:rsid w:val="002C794C"/>
    <w:rsid w:val="002C79C0"/>
    <w:rsid w:val="002C7A65"/>
    <w:rsid w:val="002D0CA5"/>
    <w:rsid w:val="002D0FA2"/>
    <w:rsid w:val="002D119F"/>
    <w:rsid w:val="002D130D"/>
    <w:rsid w:val="002D1470"/>
    <w:rsid w:val="002D14A3"/>
    <w:rsid w:val="002D1550"/>
    <w:rsid w:val="002D17D1"/>
    <w:rsid w:val="002D1A91"/>
    <w:rsid w:val="002D1D0F"/>
    <w:rsid w:val="002D200E"/>
    <w:rsid w:val="002D212F"/>
    <w:rsid w:val="002D2273"/>
    <w:rsid w:val="002D22CF"/>
    <w:rsid w:val="002D3F5E"/>
    <w:rsid w:val="002D4421"/>
    <w:rsid w:val="002D446C"/>
    <w:rsid w:val="002D459E"/>
    <w:rsid w:val="002D4A87"/>
    <w:rsid w:val="002D5432"/>
    <w:rsid w:val="002D561C"/>
    <w:rsid w:val="002D57CD"/>
    <w:rsid w:val="002D62A0"/>
    <w:rsid w:val="002D6319"/>
    <w:rsid w:val="002D6645"/>
    <w:rsid w:val="002D67AB"/>
    <w:rsid w:val="002D698C"/>
    <w:rsid w:val="002D6BD6"/>
    <w:rsid w:val="002D6C57"/>
    <w:rsid w:val="002D6E98"/>
    <w:rsid w:val="002D6FCF"/>
    <w:rsid w:val="002D6FD9"/>
    <w:rsid w:val="002D7110"/>
    <w:rsid w:val="002D7809"/>
    <w:rsid w:val="002E0ED0"/>
    <w:rsid w:val="002E101A"/>
    <w:rsid w:val="002E1545"/>
    <w:rsid w:val="002E163F"/>
    <w:rsid w:val="002E1804"/>
    <w:rsid w:val="002E188F"/>
    <w:rsid w:val="002E18BA"/>
    <w:rsid w:val="002E1FF2"/>
    <w:rsid w:val="002E247F"/>
    <w:rsid w:val="002E249D"/>
    <w:rsid w:val="002E31E1"/>
    <w:rsid w:val="002E33E1"/>
    <w:rsid w:val="002E365E"/>
    <w:rsid w:val="002E383E"/>
    <w:rsid w:val="002E4DFD"/>
    <w:rsid w:val="002E4F75"/>
    <w:rsid w:val="002E502E"/>
    <w:rsid w:val="002E53C2"/>
    <w:rsid w:val="002E54E1"/>
    <w:rsid w:val="002E55C1"/>
    <w:rsid w:val="002E574B"/>
    <w:rsid w:val="002E5F9C"/>
    <w:rsid w:val="002E622D"/>
    <w:rsid w:val="002E6B4A"/>
    <w:rsid w:val="002E6C4E"/>
    <w:rsid w:val="002E6EE4"/>
    <w:rsid w:val="002E6EFA"/>
    <w:rsid w:val="002E75E8"/>
    <w:rsid w:val="002E79C4"/>
    <w:rsid w:val="002E7BD0"/>
    <w:rsid w:val="002F0560"/>
    <w:rsid w:val="002F077D"/>
    <w:rsid w:val="002F0791"/>
    <w:rsid w:val="002F09B8"/>
    <w:rsid w:val="002F09E5"/>
    <w:rsid w:val="002F0C5C"/>
    <w:rsid w:val="002F0F10"/>
    <w:rsid w:val="002F22E0"/>
    <w:rsid w:val="002F247F"/>
    <w:rsid w:val="002F255A"/>
    <w:rsid w:val="002F27F5"/>
    <w:rsid w:val="002F27F6"/>
    <w:rsid w:val="002F2E5C"/>
    <w:rsid w:val="002F33C0"/>
    <w:rsid w:val="002F33CD"/>
    <w:rsid w:val="002F3657"/>
    <w:rsid w:val="002F3EA6"/>
    <w:rsid w:val="002F417D"/>
    <w:rsid w:val="002F41A4"/>
    <w:rsid w:val="002F4447"/>
    <w:rsid w:val="002F4878"/>
    <w:rsid w:val="002F5512"/>
    <w:rsid w:val="002F60AA"/>
    <w:rsid w:val="002F6838"/>
    <w:rsid w:val="002F6C95"/>
    <w:rsid w:val="002F7641"/>
    <w:rsid w:val="002F7996"/>
    <w:rsid w:val="002F79F1"/>
    <w:rsid w:val="002F7CE0"/>
    <w:rsid w:val="002F7D83"/>
    <w:rsid w:val="003013FA"/>
    <w:rsid w:val="00301448"/>
    <w:rsid w:val="00302645"/>
    <w:rsid w:val="00302830"/>
    <w:rsid w:val="003037BA"/>
    <w:rsid w:val="003037D8"/>
    <w:rsid w:val="00304508"/>
    <w:rsid w:val="00304542"/>
    <w:rsid w:val="00304952"/>
    <w:rsid w:val="00304DFF"/>
    <w:rsid w:val="0030566B"/>
    <w:rsid w:val="00305BAA"/>
    <w:rsid w:val="00307CEF"/>
    <w:rsid w:val="003100F4"/>
    <w:rsid w:val="00310BBC"/>
    <w:rsid w:val="0031110A"/>
    <w:rsid w:val="003111DA"/>
    <w:rsid w:val="00311A09"/>
    <w:rsid w:val="00311AD0"/>
    <w:rsid w:val="003120E8"/>
    <w:rsid w:val="003124E8"/>
    <w:rsid w:val="003125E5"/>
    <w:rsid w:val="0031266A"/>
    <w:rsid w:val="00312D01"/>
    <w:rsid w:val="003139B8"/>
    <w:rsid w:val="00313ADD"/>
    <w:rsid w:val="003142B2"/>
    <w:rsid w:val="00314779"/>
    <w:rsid w:val="00314DEB"/>
    <w:rsid w:val="00315074"/>
    <w:rsid w:val="00315363"/>
    <w:rsid w:val="00315DF7"/>
    <w:rsid w:val="0031626D"/>
    <w:rsid w:val="003163DD"/>
    <w:rsid w:val="00316711"/>
    <w:rsid w:val="0031765D"/>
    <w:rsid w:val="0031784B"/>
    <w:rsid w:val="00317C8C"/>
    <w:rsid w:val="00317D45"/>
    <w:rsid w:val="00317D87"/>
    <w:rsid w:val="00317FC9"/>
    <w:rsid w:val="00317FEC"/>
    <w:rsid w:val="003205DD"/>
    <w:rsid w:val="003215C0"/>
    <w:rsid w:val="0032192A"/>
    <w:rsid w:val="00321C2B"/>
    <w:rsid w:val="00321C57"/>
    <w:rsid w:val="00321D4C"/>
    <w:rsid w:val="00321F3E"/>
    <w:rsid w:val="00322595"/>
    <w:rsid w:val="00322718"/>
    <w:rsid w:val="003227DA"/>
    <w:rsid w:val="00322ECB"/>
    <w:rsid w:val="003233D4"/>
    <w:rsid w:val="003242CD"/>
    <w:rsid w:val="00324A95"/>
    <w:rsid w:val="00324F3B"/>
    <w:rsid w:val="00325B36"/>
    <w:rsid w:val="00325BC0"/>
    <w:rsid w:val="00325EF9"/>
    <w:rsid w:val="00326344"/>
    <w:rsid w:val="00326925"/>
    <w:rsid w:val="00326B76"/>
    <w:rsid w:val="00326D67"/>
    <w:rsid w:val="00326D85"/>
    <w:rsid w:val="003273CF"/>
    <w:rsid w:val="00327D9C"/>
    <w:rsid w:val="003307DD"/>
    <w:rsid w:val="003309F1"/>
    <w:rsid w:val="00330CE8"/>
    <w:rsid w:val="003311B0"/>
    <w:rsid w:val="0033140F"/>
    <w:rsid w:val="00332C24"/>
    <w:rsid w:val="00332D54"/>
    <w:rsid w:val="00333B68"/>
    <w:rsid w:val="00334713"/>
    <w:rsid w:val="00335071"/>
    <w:rsid w:val="003351DE"/>
    <w:rsid w:val="0033555D"/>
    <w:rsid w:val="00335847"/>
    <w:rsid w:val="00335E60"/>
    <w:rsid w:val="00335ECC"/>
    <w:rsid w:val="00336375"/>
    <w:rsid w:val="00336582"/>
    <w:rsid w:val="003365E5"/>
    <w:rsid w:val="00336674"/>
    <w:rsid w:val="00336B86"/>
    <w:rsid w:val="00336CB7"/>
    <w:rsid w:val="00336F1D"/>
    <w:rsid w:val="003379C9"/>
    <w:rsid w:val="00337B1E"/>
    <w:rsid w:val="00337EC7"/>
    <w:rsid w:val="00337F9F"/>
    <w:rsid w:val="00340303"/>
    <w:rsid w:val="00340344"/>
    <w:rsid w:val="003406E9"/>
    <w:rsid w:val="003407D8"/>
    <w:rsid w:val="00340EDF"/>
    <w:rsid w:val="00341834"/>
    <w:rsid w:val="00341AC3"/>
    <w:rsid w:val="00341B5B"/>
    <w:rsid w:val="00341E05"/>
    <w:rsid w:val="00342237"/>
    <w:rsid w:val="0034248D"/>
    <w:rsid w:val="0034262C"/>
    <w:rsid w:val="00342B14"/>
    <w:rsid w:val="00342E4F"/>
    <w:rsid w:val="003431FA"/>
    <w:rsid w:val="0034330D"/>
    <w:rsid w:val="00343333"/>
    <w:rsid w:val="003446C3"/>
    <w:rsid w:val="00344CD9"/>
    <w:rsid w:val="003451D6"/>
    <w:rsid w:val="00345426"/>
    <w:rsid w:val="003457A4"/>
    <w:rsid w:val="00345EAF"/>
    <w:rsid w:val="00345FA1"/>
    <w:rsid w:val="003461B1"/>
    <w:rsid w:val="003463A4"/>
    <w:rsid w:val="0034691C"/>
    <w:rsid w:val="0034783B"/>
    <w:rsid w:val="00347A04"/>
    <w:rsid w:val="00347C79"/>
    <w:rsid w:val="00347EF5"/>
    <w:rsid w:val="003504A9"/>
    <w:rsid w:val="00350964"/>
    <w:rsid w:val="003511B7"/>
    <w:rsid w:val="003514A1"/>
    <w:rsid w:val="003516FB"/>
    <w:rsid w:val="0035292D"/>
    <w:rsid w:val="00352C0B"/>
    <w:rsid w:val="003530A4"/>
    <w:rsid w:val="003534C6"/>
    <w:rsid w:val="00353D62"/>
    <w:rsid w:val="00353F53"/>
    <w:rsid w:val="00354502"/>
    <w:rsid w:val="00354DD5"/>
    <w:rsid w:val="00355044"/>
    <w:rsid w:val="0035535D"/>
    <w:rsid w:val="00355370"/>
    <w:rsid w:val="0035547B"/>
    <w:rsid w:val="00355E48"/>
    <w:rsid w:val="00356582"/>
    <w:rsid w:val="0035685A"/>
    <w:rsid w:val="00356C72"/>
    <w:rsid w:val="003577BD"/>
    <w:rsid w:val="00357C1E"/>
    <w:rsid w:val="00360BC7"/>
    <w:rsid w:val="0036127A"/>
    <w:rsid w:val="00361308"/>
    <w:rsid w:val="0036148C"/>
    <w:rsid w:val="00361903"/>
    <w:rsid w:val="0036217C"/>
    <w:rsid w:val="003628B6"/>
    <w:rsid w:val="003629DC"/>
    <w:rsid w:val="00363031"/>
    <w:rsid w:val="00363258"/>
    <w:rsid w:val="00363438"/>
    <w:rsid w:val="00363706"/>
    <w:rsid w:val="0036392D"/>
    <w:rsid w:val="00363A89"/>
    <w:rsid w:val="00363C0F"/>
    <w:rsid w:val="00363ECA"/>
    <w:rsid w:val="00363EEA"/>
    <w:rsid w:val="00364432"/>
    <w:rsid w:val="003649A8"/>
    <w:rsid w:val="00364B1B"/>
    <w:rsid w:val="00364B38"/>
    <w:rsid w:val="00364E13"/>
    <w:rsid w:val="003659EC"/>
    <w:rsid w:val="0036607C"/>
    <w:rsid w:val="00366253"/>
    <w:rsid w:val="00366370"/>
    <w:rsid w:val="00366AAD"/>
    <w:rsid w:val="00366B65"/>
    <w:rsid w:val="0036734A"/>
    <w:rsid w:val="00367C84"/>
    <w:rsid w:val="003708C8"/>
    <w:rsid w:val="0037105D"/>
    <w:rsid w:val="003717A4"/>
    <w:rsid w:val="00371AC0"/>
    <w:rsid w:val="00371EC6"/>
    <w:rsid w:val="003721E3"/>
    <w:rsid w:val="0037235E"/>
    <w:rsid w:val="00372730"/>
    <w:rsid w:val="0037295F"/>
    <w:rsid w:val="00372F6B"/>
    <w:rsid w:val="00373514"/>
    <w:rsid w:val="00373FAB"/>
    <w:rsid w:val="00374AAC"/>
    <w:rsid w:val="00374AF5"/>
    <w:rsid w:val="00374C13"/>
    <w:rsid w:val="00375509"/>
    <w:rsid w:val="00375C45"/>
    <w:rsid w:val="00375F57"/>
    <w:rsid w:val="00376151"/>
    <w:rsid w:val="00376550"/>
    <w:rsid w:val="0037703C"/>
    <w:rsid w:val="00377089"/>
    <w:rsid w:val="00377379"/>
    <w:rsid w:val="00380010"/>
    <w:rsid w:val="003800C2"/>
    <w:rsid w:val="0038063E"/>
    <w:rsid w:val="00380648"/>
    <w:rsid w:val="00380768"/>
    <w:rsid w:val="003809D3"/>
    <w:rsid w:val="003812EA"/>
    <w:rsid w:val="00381401"/>
    <w:rsid w:val="003818FE"/>
    <w:rsid w:val="00381B64"/>
    <w:rsid w:val="00382AD5"/>
    <w:rsid w:val="00382FA4"/>
    <w:rsid w:val="0038330A"/>
    <w:rsid w:val="003839BF"/>
    <w:rsid w:val="00383F20"/>
    <w:rsid w:val="00384704"/>
    <w:rsid w:val="003849E2"/>
    <w:rsid w:val="00384E94"/>
    <w:rsid w:val="00385190"/>
    <w:rsid w:val="0038566B"/>
    <w:rsid w:val="00385B5C"/>
    <w:rsid w:val="00385FBC"/>
    <w:rsid w:val="00386176"/>
    <w:rsid w:val="00386672"/>
    <w:rsid w:val="00386D7E"/>
    <w:rsid w:val="00386FDF"/>
    <w:rsid w:val="00387697"/>
    <w:rsid w:val="00387A4E"/>
    <w:rsid w:val="00387BEA"/>
    <w:rsid w:val="00387C74"/>
    <w:rsid w:val="00390570"/>
    <w:rsid w:val="00390745"/>
    <w:rsid w:val="0039075F"/>
    <w:rsid w:val="00390EC9"/>
    <w:rsid w:val="00391350"/>
    <w:rsid w:val="003914F4"/>
    <w:rsid w:val="00391514"/>
    <w:rsid w:val="00392552"/>
    <w:rsid w:val="003926F2"/>
    <w:rsid w:val="00393D0D"/>
    <w:rsid w:val="00393FC9"/>
    <w:rsid w:val="00394456"/>
    <w:rsid w:val="0039454A"/>
    <w:rsid w:val="003945B2"/>
    <w:rsid w:val="0039471D"/>
    <w:rsid w:val="00394832"/>
    <w:rsid w:val="00394B1D"/>
    <w:rsid w:val="00394E81"/>
    <w:rsid w:val="00394EDA"/>
    <w:rsid w:val="0039517C"/>
    <w:rsid w:val="003951C3"/>
    <w:rsid w:val="00395AA1"/>
    <w:rsid w:val="00395BA3"/>
    <w:rsid w:val="00395E5F"/>
    <w:rsid w:val="00396997"/>
    <w:rsid w:val="00396B63"/>
    <w:rsid w:val="00396C57"/>
    <w:rsid w:val="00396FAD"/>
    <w:rsid w:val="00397079"/>
    <w:rsid w:val="00397163"/>
    <w:rsid w:val="00397322"/>
    <w:rsid w:val="00397808"/>
    <w:rsid w:val="0039785D"/>
    <w:rsid w:val="00397882"/>
    <w:rsid w:val="003A1198"/>
    <w:rsid w:val="003A186E"/>
    <w:rsid w:val="003A1E42"/>
    <w:rsid w:val="003A1FD3"/>
    <w:rsid w:val="003A209B"/>
    <w:rsid w:val="003A21E2"/>
    <w:rsid w:val="003A2B25"/>
    <w:rsid w:val="003A2D6E"/>
    <w:rsid w:val="003A2DEC"/>
    <w:rsid w:val="003A2E35"/>
    <w:rsid w:val="003A2FFE"/>
    <w:rsid w:val="003A30DE"/>
    <w:rsid w:val="003A3A4E"/>
    <w:rsid w:val="003A3DE0"/>
    <w:rsid w:val="003A3F8F"/>
    <w:rsid w:val="003A434D"/>
    <w:rsid w:val="003A4381"/>
    <w:rsid w:val="003A49D4"/>
    <w:rsid w:val="003A4A51"/>
    <w:rsid w:val="003A4E93"/>
    <w:rsid w:val="003A5084"/>
    <w:rsid w:val="003A54B1"/>
    <w:rsid w:val="003A63C9"/>
    <w:rsid w:val="003A654C"/>
    <w:rsid w:val="003A6911"/>
    <w:rsid w:val="003A6ADC"/>
    <w:rsid w:val="003A73CA"/>
    <w:rsid w:val="003B072B"/>
    <w:rsid w:val="003B0C85"/>
    <w:rsid w:val="003B0F43"/>
    <w:rsid w:val="003B1278"/>
    <w:rsid w:val="003B2310"/>
    <w:rsid w:val="003B2BFE"/>
    <w:rsid w:val="003B3491"/>
    <w:rsid w:val="003B42C6"/>
    <w:rsid w:val="003B44A7"/>
    <w:rsid w:val="003B516A"/>
    <w:rsid w:val="003B5D4F"/>
    <w:rsid w:val="003B5DDA"/>
    <w:rsid w:val="003B5F9B"/>
    <w:rsid w:val="003B64C8"/>
    <w:rsid w:val="003B654D"/>
    <w:rsid w:val="003B6759"/>
    <w:rsid w:val="003B6E8E"/>
    <w:rsid w:val="003B71E1"/>
    <w:rsid w:val="003B7418"/>
    <w:rsid w:val="003B7DB8"/>
    <w:rsid w:val="003C0072"/>
    <w:rsid w:val="003C1149"/>
    <w:rsid w:val="003C1CA5"/>
    <w:rsid w:val="003C209F"/>
    <w:rsid w:val="003C2141"/>
    <w:rsid w:val="003C2164"/>
    <w:rsid w:val="003C21BB"/>
    <w:rsid w:val="003C21F8"/>
    <w:rsid w:val="003C22CE"/>
    <w:rsid w:val="003C2390"/>
    <w:rsid w:val="003C29E8"/>
    <w:rsid w:val="003C2D71"/>
    <w:rsid w:val="003C32CE"/>
    <w:rsid w:val="003C34A3"/>
    <w:rsid w:val="003C38D1"/>
    <w:rsid w:val="003C3AF8"/>
    <w:rsid w:val="003C3C79"/>
    <w:rsid w:val="003C4223"/>
    <w:rsid w:val="003C5087"/>
    <w:rsid w:val="003C5420"/>
    <w:rsid w:val="003C55B3"/>
    <w:rsid w:val="003C57E5"/>
    <w:rsid w:val="003C59CC"/>
    <w:rsid w:val="003C5B30"/>
    <w:rsid w:val="003C600E"/>
    <w:rsid w:val="003C6B64"/>
    <w:rsid w:val="003C6E30"/>
    <w:rsid w:val="003C6F56"/>
    <w:rsid w:val="003C6F5A"/>
    <w:rsid w:val="003C70E5"/>
    <w:rsid w:val="003C710C"/>
    <w:rsid w:val="003C71FA"/>
    <w:rsid w:val="003C755C"/>
    <w:rsid w:val="003C777B"/>
    <w:rsid w:val="003C7809"/>
    <w:rsid w:val="003C7BDD"/>
    <w:rsid w:val="003C7C03"/>
    <w:rsid w:val="003C7E32"/>
    <w:rsid w:val="003D02A9"/>
    <w:rsid w:val="003D06AE"/>
    <w:rsid w:val="003D0A09"/>
    <w:rsid w:val="003D0EBA"/>
    <w:rsid w:val="003D1216"/>
    <w:rsid w:val="003D1397"/>
    <w:rsid w:val="003D14B8"/>
    <w:rsid w:val="003D2053"/>
    <w:rsid w:val="003D2AEA"/>
    <w:rsid w:val="003D2B39"/>
    <w:rsid w:val="003D2C06"/>
    <w:rsid w:val="003D30DB"/>
    <w:rsid w:val="003D3303"/>
    <w:rsid w:val="003D376C"/>
    <w:rsid w:val="003D3C31"/>
    <w:rsid w:val="003D3FD0"/>
    <w:rsid w:val="003D4192"/>
    <w:rsid w:val="003D47D1"/>
    <w:rsid w:val="003D47EA"/>
    <w:rsid w:val="003D569F"/>
    <w:rsid w:val="003D5756"/>
    <w:rsid w:val="003D57B5"/>
    <w:rsid w:val="003D5B7B"/>
    <w:rsid w:val="003D5BD6"/>
    <w:rsid w:val="003D5FC3"/>
    <w:rsid w:val="003D6170"/>
    <w:rsid w:val="003D65F0"/>
    <w:rsid w:val="003D7124"/>
    <w:rsid w:val="003D7B50"/>
    <w:rsid w:val="003D7FC6"/>
    <w:rsid w:val="003E0406"/>
    <w:rsid w:val="003E0672"/>
    <w:rsid w:val="003E09F2"/>
    <w:rsid w:val="003E0EA9"/>
    <w:rsid w:val="003E0F04"/>
    <w:rsid w:val="003E14AA"/>
    <w:rsid w:val="003E157F"/>
    <w:rsid w:val="003E1656"/>
    <w:rsid w:val="003E1876"/>
    <w:rsid w:val="003E19D2"/>
    <w:rsid w:val="003E1DA6"/>
    <w:rsid w:val="003E1EF0"/>
    <w:rsid w:val="003E279E"/>
    <w:rsid w:val="003E27A5"/>
    <w:rsid w:val="003E3810"/>
    <w:rsid w:val="003E3DE1"/>
    <w:rsid w:val="003E3F79"/>
    <w:rsid w:val="003E4361"/>
    <w:rsid w:val="003E43DB"/>
    <w:rsid w:val="003E4453"/>
    <w:rsid w:val="003E4E50"/>
    <w:rsid w:val="003E51D7"/>
    <w:rsid w:val="003E5574"/>
    <w:rsid w:val="003E60A2"/>
    <w:rsid w:val="003E671A"/>
    <w:rsid w:val="003E6A3A"/>
    <w:rsid w:val="003E6D0D"/>
    <w:rsid w:val="003E6D8A"/>
    <w:rsid w:val="003E6DCD"/>
    <w:rsid w:val="003E6EF2"/>
    <w:rsid w:val="003E783C"/>
    <w:rsid w:val="003E7AF5"/>
    <w:rsid w:val="003E7C47"/>
    <w:rsid w:val="003F0904"/>
    <w:rsid w:val="003F198E"/>
    <w:rsid w:val="003F3A39"/>
    <w:rsid w:val="003F41B1"/>
    <w:rsid w:val="003F4E2F"/>
    <w:rsid w:val="003F4FB4"/>
    <w:rsid w:val="003F5165"/>
    <w:rsid w:val="003F5856"/>
    <w:rsid w:val="003F6518"/>
    <w:rsid w:val="003F67C9"/>
    <w:rsid w:val="003F6E1C"/>
    <w:rsid w:val="003F711C"/>
    <w:rsid w:val="003F7717"/>
    <w:rsid w:val="003F7731"/>
    <w:rsid w:val="003F7DF9"/>
    <w:rsid w:val="0040004B"/>
    <w:rsid w:val="00400219"/>
    <w:rsid w:val="004003D8"/>
    <w:rsid w:val="00400FD4"/>
    <w:rsid w:val="0040133B"/>
    <w:rsid w:val="00401738"/>
    <w:rsid w:val="00401B62"/>
    <w:rsid w:val="00401C0B"/>
    <w:rsid w:val="0040213D"/>
    <w:rsid w:val="00402474"/>
    <w:rsid w:val="004026AE"/>
    <w:rsid w:val="00402719"/>
    <w:rsid w:val="00402752"/>
    <w:rsid w:val="0040294A"/>
    <w:rsid w:val="00402BD7"/>
    <w:rsid w:val="00402DD2"/>
    <w:rsid w:val="00402EA5"/>
    <w:rsid w:val="00403169"/>
    <w:rsid w:val="004034D8"/>
    <w:rsid w:val="00404207"/>
    <w:rsid w:val="0040475C"/>
    <w:rsid w:val="0040475D"/>
    <w:rsid w:val="0040479C"/>
    <w:rsid w:val="00404C19"/>
    <w:rsid w:val="0040569C"/>
    <w:rsid w:val="00405847"/>
    <w:rsid w:val="00405C08"/>
    <w:rsid w:val="004061C1"/>
    <w:rsid w:val="00406237"/>
    <w:rsid w:val="004071B6"/>
    <w:rsid w:val="00407EC1"/>
    <w:rsid w:val="00407ED6"/>
    <w:rsid w:val="004106CE"/>
    <w:rsid w:val="0041072A"/>
    <w:rsid w:val="00410814"/>
    <w:rsid w:val="004108A1"/>
    <w:rsid w:val="004111F2"/>
    <w:rsid w:val="00411270"/>
    <w:rsid w:val="00411311"/>
    <w:rsid w:val="004115B9"/>
    <w:rsid w:val="00412411"/>
    <w:rsid w:val="0041242E"/>
    <w:rsid w:val="00412869"/>
    <w:rsid w:val="00412BE7"/>
    <w:rsid w:val="0041332B"/>
    <w:rsid w:val="004152C7"/>
    <w:rsid w:val="00415711"/>
    <w:rsid w:val="00415846"/>
    <w:rsid w:val="004160EF"/>
    <w:rsid w:val="004162DC"/>
    <w:rsid w:val="00416621"/>
    <w:rsid w:val="00416796"/>
    <w:rsid w:val="0041684E"/>
    <w:rsid w:val="00416E08"/>
    <w:rsid w:val="0041700D"/>
    <w:rsid w:val="0041731A"/>
    <w:rsid w:val="00417403"/>
    <w:rsid w:val="0041780F"/>
    <w:rsid w:val="00417AEA"/>
    <w:rsid w:val="0042015C"/>
    <w:rsid w:val="00420AF4"/>
    <w:rsid w:val="00421427"/>
    <w:rsid w:val="00421457"/>
    <w:rsid w:val="00421553"/>
    <w:rsid w:val="00421B6F"/>
    <w:rsid w:val="00421EBC"/>
    <w:rsid w:val="00422460"/>
    <w:rsid w:val="00422CC5"/>
    <w:rsid w:val="0042306F"/>
    <w:rsid w:val="0042395C"/>
    <w:rsid w:val="00423D03"/>
    <w:rsid w:val="00423D9A"/>
    <w:rsid w:val="00423EA6"/>
    <w:rsid w:val="004241C4"/>
    <w:rsid w:val="00424560"/>
    <w:rsid w:val="00424611"/>
    <w:rsid w:val="00424843"/>
    <w:rsid w:val="00424AEC"/>
    <w:rsid w:val="00425393"/>
    <w:rsid w:val="004253D0"/>
    <w:rsid w:val="00425823"/>
    <w:rsid w:val="0042676D"/>
    <w:rsid w:val="00426EF5"/>
    <w:rsid w:val="00426FCF"/>
    <w:rsid w:val="00427643"/>
    <w:rsid w:val="00427A79"/>
    <w:rsid w:val="00427C27"/>
    <w:rsid w:val="00427FD7"/>
    <w:rsid w:val="00430062"/>
    <w:rsid w:val="004301E2"/>
    <w:rsid w:val="0043075D"/>
    <w:rsid w:val="00430933"/>
    <w:rsid w:val="00430C64"/>
    <w:rsid w:val="00430EC2"/>
    <w:rsid w:val="00431190"/>
    <w:rsid w:val="004313A1"/>
    <w:rsid w:val="00431974"/>
    <w:rsid w:val="004319B6"/>
    <w:rsid w:val="00431CEF"/>
    <w:rsid w:val="00431E23"/>
    <w:rsid w:val="00432981"/>
    <w:rsid w:val="00433546"/>
    <w:rsid w:val="00433CAC"/>
    <w:rsid w:val="00434208"/>
    <w:rsid w:val="004343B0"/>
    <w:rsid w:val="004343E0"/>
    <w:rsid w:val="00434697"/>
    <w:rsid w:val="00434B90"/>
    <w:rsid w:val="00435631"/>
    <w:rsid w:val="00435700"/>
    <w:rsid w:val="004357C0"/>
    <w:rsid w:val="004359EC"/>
    <w:rsid w:val="004372D8"/>
    <w:rsid w:val="00437FDE"/>
    <w:rsid w:val="00440457"/>
    <w:rsid w:val="004404BB"/>
    <w:rsid w:val="0044100C"/>
    <w:rsid w:val="004411DA"/>
    <w:rsid w:val="00441408"/>
    <w:rsid w:val="00441590"/>
    <w:rsid w:val="00441DF4"/>
    <w:rsid w:val="0044231F"/>
    <w:rsid w:val="00442851"/>
    <w:rsid w:val="00442984"/>
    <w:rsid w:val="0044362C"/>
    <w:rsid w:val="0044474A"/>
    <w:rsid w:val="00444849"/>
    <w:rsid w:val="004448B2"/>
    <w:rsid w:val="00444D01"/>
    <w:rsid w:val="00444DB4"/>
    <w:rsid w:val="00445206"/>
    <w:rsid w:val="00445420"/>
    <w:rsid w:val="00445C11"/>
    <w:rsid w:val="00446C5B"/>
    <w:rsid w:val="00446CF8"/>
    <w:rsid w:val="00446ECB"/>
    <w:rsid w:val="00447179"/>
    <w:rsid w:val="0044779A"/>
    <w:rsid w:val="00447BFA"/>
    <w:rsid w:val="00450248"/>
    <w:rsid w:val="00450A47"/>
    <w:rsid w:val="00451278"/>
    <w:rsid w:val="0045146A"/>
    <w:rsid w:val="00451730"/>
    <w:rsid w:val="004518FA"/>
    <w:rsid w:val="0045194D"/>
    <w:rsid w:val="00451E22"/>
    <w:rsid w:val="004529BC"/>
    <w:rsid w:val="00452D6B"/>
    <w:rsid w:val="00453643"/>
    <w:rsid w:val="00453CA8"/>
    <w:rsid w:val="00453F45"/>
    <w:rsid w:val="00454745"/>
    <w:rsid w:val="00454B5B"/>
    <w:rsid w:val="0045520D"/>
    <w:rsid w:val="00455767"/>
    <w:rsid w:val="00455F57"/>
    <w:rsid w:val="004564A3"/>
    <w:rsid w:val="0045696F"/>
    <w:rsid w:val="00456AEF"/>
    <w:rsid w:val="00456B67"/>
    <w:rsid w:val="00456BB2"/>
    <w:rsid w:val="00456C94"/>
    <w:rsid w:val="004570AA"/>
    <w:rsid w:val="00457922"/>
    <w:rsid w:val="0046001B"/>
    <w:rsid w:val="00460E21"/>
    <w:rsid w:val="00461DBA"/>
    <w:rsid w:val="00461E94"/>
    <w:rsid w:val="00462267"/>
    <w:rsid w:val="004623CA"/>
    <w:rsid w:val="00462A76"/>
    <w:rsid w:val="00462DE9"/>
    <w:rsid w:val="0046330F"/>
    <w:rsid w:val="00463408"/>
    <w:rsid w:val="004635B9"/>
    <w:rsid w:val="00463649"/>
    <w:rsid w:val="00463987"/>
    <w:rsid w:val="0046418B"/>
    <w:rsid w:val="0046442F"/>
    <w:rsid w:val="004648F3"/>
    <w:rsid w:val="00464B33"/>
    <w:rsid w:val="00465200"/>
    <w:rsid w:val="0046551F"/>
    <w:rsid w:val="0046566C"/>
    <w:rsid w:val="0046568C"/>
    <w:rsid w:val="004659D2"/>
    <w:rsid w:val="00465BA3"/>
    <w:rsid w:val="004663A9"/>
    <w:rsid w:val="00466980"/>
    <w:rsid w:val="004669E7"/>
    <w:rsid w:val="00466BEC"/>
    <w:rsid w:val="0046701A"/>
    <w:rsid w:val="00467786"/>
    <w:rsid w:val="00467DC9"/>
    <w:rsid w:val="004701FA"/>
    <w:rsid w:val="0047073A"/>
    <w:rsid w:val="00470832"/>
    <w:rsid w:val="00470BE8"/>
    <w:rsid w:val="00472278"/>
    <w:rsid w:val="004728B9"/>
    <w:rsid w:val="004728D2"/>
    <w:rsid w:val="00473341"/>
    <w:rsid w:val="00473A20"/>
    <w:rsid w:val="00473E56"/>
    <w:rsid w:val="004746F6"/>
    <w:rsid w:val="0047496F"/>
    <w:rsid w:val="004753EC"/>
    <w:rsid w:val="0047545B"/>
    <w:rsid w:val="004757A6"/>
    <w:rsid w:val="00475F0B"/>
    <w:rsid w:val="00475F44"/>
    <w:rsid w:val="004763E0"/>
    <w:rsid w:val="00477021"/>
    <w:rsid w:val="004776AE"/>
    <w:rsid w:val="004778FF"/>
    <w:rsid w:val="00477D51"/>
    <w:rsid w:val="00480104"/>
    <w:rsid w:val="00480DB2"/>
    <w:rsid w:val="004814D9"/>
    <w:rsid w:val="004817A9"/>
    <w:rsid w:val="00481911"/>
    <w:rsid w:val="00481AF1"/>
    <w:rsid w:val="00481CC6"/>
    <w:rsid w:val="00481DA0"/>
    <w:rsid w:val="00481DC4"/>
    <w:rsid w:val="0048247B"/>
    <w:rsid w:val="0048255F"/>
    <w:rsid w:val="00482A4B"/>
    <w:rsid w:val="00482C76"/>
    <w:rsid w:val="004833D4"/>
    <w:rsid w:val="0048358B"/>
    <w:rsid w:val="00483924"/>
    <w:rsid w:val="00484E04"/>
    <w:rsid w:val="00484F66"/>
    <w:rsid w:val="00484FAA"/>
    <w:rsid w:val="0048513D"/>
    <w:rsid w:val="0048570B"/>
    <w:rsid w:val="00485E6A"/>
    <w:rsid w:val="00485F71"/>
    <w:rsid w:val="004861A0"/>
    <w:rsid w:val="004868EF"/>
    <w:rsid w:val="00486F72"/>
    <w:rsid w:val="004873EE"/>
    <w:rsid w:val="004874A3"/>
    <w:rsid w:val="00487BE8"/>
    <w:rsid w:val="00487C0E"/>
    <w:rsid w:val="00487E95"/>
    <w:rsid w:val="00490418"/>
    <w:rsid w:val="004904E0"/>
    <w:rsid w:val="00490612"/>
    <w:rsid w:val="00490A1A"/>
    <w:rsid w:val="00490C36"/>
    <w:rsid w:val="00491058"/>
    <w:rsid w:val="00491457"/>
    <w:rsid w:val="004919AC"/>
    <w:rsid w:val="00492E02"/>
    <w:rsid w:val="00493659"/>
    <w:rsid w:val="00493815"/>
    <w:rsid w:val="0049385A"/>
    <w:rsid w:val="00493D22"/>
    <w:rsid w:val="00493DF3"/>
    <w:rsid w:val="00493DFD"/>
    <w:rsid w:val="00494073"/>
    <w:rsid w:val="004944B4"/>
    <w:rsid w:val="004944F4"/>
    <w:rsid w:val="004946F4"/>
    <w:rsid w:val="00494A96"/>
    <w:rsid w:val="00494AA7"/>
    <w:rsid w:val="00495376"/>
    <w:rsid w:val="00495F69"/>
    <w:rsid w:val="004964BC"/>
    <w:rsid w:val="004967F6"/>
    <w:rsid w:val="00497EDF"/>
    <w:rsid w:val="004A0497"/>
    <w:rsid w:val="004A082A"/>
    <w:rsid w:val="004A0CCF"/>
    <w:rsid w:val="004A1388"/>
    <w:rsid w:val="004A17FE"/>
    <w:rsid w:val="004A1A60"/>
    <w:rsid w:val="004A1F56"/>
    <w:rsid w:val="004A330B"/>
    <w:rsid w:val="004A3747"/>
    <w:rsid w:val="004A3BAC"/>
    <w:rsid w:val="004A3F43"/>
    <w:rsid w:val="004A412C"/>
    <w:rsid w:val="004A4269"/>
    <w:rsid w:val="004A4685"/>
    <w:rsid w:val="004A49AA"/>
    <w:rsid w:val="004A4B6A"/>
    <w:rsid w:val="004A5721"/>
    <w:rsid w:val="004A5F63"/>
    <w:rsid w:val="004A60CF"/>
    <w:rsid w:val="004A6378"/>
    <w:rsid w:val="004A67C7"/>
    <w:rsid w:val="004A6BC8"/>
    <w:rsid w:val="004A6EA6"/>
    <w:rsid w:val="004A70F1"/>
    <w:rsid w:val="004A75B4"/>
    <w:rsid w:val="004A7735"/>
    <w:rsid w:val="004A7AE1"/>
    <w:rsid w:val="004A7AEF"/>
    <w:rsid w:val="004B057B"/>
    <w:rsid w:val="004B0712"/>
    <w:rsid w:val="004B083D"/>
    <w:rsid w:val="004B0D29"/>
    <w:rsid w:val="004B21B1"/>
    <w:rsid w:val="004B25AF"/>
    <w:rsid w:val="004B300A"/>
    <w:rsid w:val="004B337E"/>
    <w:rsid w:val="004B362F"/>
    <w:rsid w:val="004B4EFC"/>
    <w:rsid w:val="004B51EC"/>
    <w:rsid w:val="004B557C"/>
    <w:rsid w:val="004B5C6A"/>
    <w:rsid w:val="004B6C56"/>
    <w:rsid w:val="004B6C8F"/>
    <w:rsid w:val="004B6D51"/>
    <w:rsid w:val="004B710E"/>
    <w:rsid w:val="004B721E"/>
    <w:rsid w:val="004B7396"/>
    <w:rsid w:val="004B7528"/>
    <w:rsid w:val="004B763E"/>
    <w:rsid w:val="004B778B"/>
    <w:rsid w:val="004C02A8"/>
    <w:rsid w:val="004C061F"/>
    <w:rsid w:val="004C06B8"/>
    <w:rsid w:val="004C1CF8"/>
    <w:rsid w:val="004C2176"/>
    <w:rsid w:val="004C2318"/>
    <w:rsid w:val="004C2E93"/>
    <w:rsid w:val="004C2F77"/>
    <w:rsid w:val="004C3186"/>
    <w:rsid w:val="004C3334"/>
    <w:rsid w:val="004C33E3"/>
    <w:rsid w:val="004C3680"/>
    <w:rsid w:val="004C3CE4"/>
    <w:rsid w:val="004C4391"/>
    <w:rsid w:val="004C453C"/>
    <w:rsid w:val="004C468C"/>
    <w:rsid w:val="004C4D25"/>
    <w:rsid w:val="004C5276"/>
    <w:rsid w:val="004C590E"/>
    <w:rsid w:val="004C6484"/>
    <w:rsid w:val="004C64B4"/>
    <w:rsid w:val="004C681B"/>
    <w:rsid w:val="004C6CDF"/>
    <w:rsid w:val="004C7580"/>
    <w:rsid w:val="004C796E"/>
    <w:rsid w:val="004D0677"/>
    <w:rsid w:val="004D0746"/>
    <w:rsid w:val="004D0838"/>
    <w:rsid w:val="004D09B4"/>
    <w:rsid w:val="004D189A"/>
    <w:rsid w:val="004D1FD3"/>
    <w:rsid w:val="004D2325"/>
    <w:rsid w:val="004D2C3F"/>
    <w:rsid w:val="004D2DF6"/>
    <w:rsid w:val="004D3437"/>
    <w:rsid w:val="004D3A9A"/>
    <w:rsid w:val="004D3BAE"/>
    <w:rsid w:val="004D3ED3"/>
    <w:rsid w:val="004D4636"/>
    <w:rsid w:val="004D489C"/>
    <w:rsid w:val="004D4962"/>
    <w:rsid w:val="004D4B9C"/>
    <w:rsid w:val="004D50B9"/>
    <w:rsid w:val="004D5154"/>
    <w:rsid w:val="004D5872"/>
    <w:rsid w:val="004D5E92"/>
    <w:rsid w:val="004D6146"/>
    <w:rsid w:val="004D620E"/>
    <w:rsid w:val="004D7125"/>
    <w:rsid w:val="004E05DF"/>
    <w:rsid w:val="004E1135"/>
    <w:rsid w:val="004E11DD"/>
    <w:rsid w:val="004E1BDC"/>
    <w:rsid w:val="004E1E9A"/>
    <w:rsid w:val="004E24D1"/>
    <w:rsid w:val="004E291D"/>
    <w:rsid w:val="004E2D3F"/>
    <w:rsid w:val="004E3079"/>
    <w:rsid w:val="004E3218"/>
    <w:rsid w:val="004E358C"/>
    <w:rsid w:val="004E4080"/>
    <w:rsid w:val="004E49E2"/>
    <w:rsid w:val="004E4ACF"/>
    <w:rsid w:val="004E4FD2"/>
    <w:rsid w:val="004E5276"/>
    <w:rsid w:val="004E56D9"/>
    <w:rsid w:val="004E588A"/>
    <w:rsid w:val="004E5D79"/>
    <w:rsid w:val="004E6765"/>
    <w:rsid w:val="004E67C8"/>
    <w:rsid w:val="004E685C"/>
    <w:rsid w:val="004E6979"/>
    <w:rsid w:val="004E6ADB"/>
    <w:rsid w:val="004E7179"/>
    <w:rsid w:val="004E72EE"/>
    <w:rsid w:val="004E7414"/>
    <w:rsid w:val="004E7A85"/>
    <w:rsid w:val="004E7CB8"/>
    <w:rsid w:val="004E7E4E"/>
    <w:rsid w:val="004F0139"/>
    <w:rsid w:val="004F015C"/>
    <w:rsid w:val="004F0548"/>
    <w:rsid w:val="004F06ED"/>
    <w:rsid w:val="004F0DC2"/>
    <w:rsid w:val="004F0F4D"/>
    <w:rsid w:val="004F10F7"/>
    <w:rsid w:val="004F1137"/>
    <w:rsid w:val="004F1327"/>
    <w:rsid w:val="004F14F0"/>
    <w:rsid w:val="004F243C"/>
    <w:rsid w:val="004F2BF4"/>
    <w:rsid w:val="004F30F6"/>
    <w:rsid w:val="004F3288"/>
    <w:rsid w:val="004F3640"/>
    <w:rsid w:val="004F397A"/>
    <w:rsid w:val="004F3BE7"/>
    <w:rsid w:val="004F3C91"/>
    <w:rsid w:val="004F3DA6"/>
    <w:rsid w:val="004F4102"/>
    <w:rsid w:val="004F4113"/>
    <w:rsid w:val="004F438C"/>
    <w:rsid w:val="004F4562"/>
    <w:rsid w:val="004F45C5"/>
    <w:rsid w:val="004F4693"/>
    <w:rsid w:val="004F5BB9"/>
    <w:rsid w:val="004F62B0"/>
    <w:rsid w:val="004F6C7C"/>
    <w:rsid w:val="004F6D59"/>
    <w:rsid w:val="004F6F4F"/>
    <w:rsid w:val="004F75DE"/>
    <w:rsid w:val="004F7C67"/>
    <w:rsid w:val="00500100"/>
    <w:rsid w:val="005002C9"/>
    <w:rsid w:val="005002E2"/>
    <w:rsid w:val="005003B9"/>
    <w:rsid w:val="005004AE"/>
    <w:rsid w:val="005005E1"/>
    <w:rsid w:val="005006EA"/>
    <w:rsid w:val="00500C29"/>
    <w:rsid w:val="00500EB2"/>
    <w:rsid w:val="0050105C"/>
    <w:rsid w:val="00501CC7"/>
    <w:rsid w:val="005026AE"/>
    <w:rsid w:val="0050388C"/>
    <w:rsid w:val="005039B4"/>
    <w:rsid w:val="00503C3B"/>
    <w:rsid w:val="00503E7A"/>
    <w:rsid w:val="00504003"/>
    <w:rsid w:val="00504060"/>
    <w:rsid w:val="00504159"/>
    <w:rsid w:val="00504B26"/>
    <w:rsid w:val="00504D1C"/>
    <w:rsid w:val="00504F63"/>
    <w:rsid w:val="005050DC"/>
    <w:rsid w:val="00505783"/>
    <w:rsid w:val="005063B1"/>
    <w:rsid w:val="005065B0"/>
    <w:rsid w:val="005068FB"/>
    <w:rsid w:val="00507B8F"/>
    <w:rsid w:val="00507C6C"/>
    <w:rsid w:val="00507D81"/>
    <w:rsid w:val="00507ECD"/>
    <w:rsid w:val="005104B2"/>
    <w:rsid w:val="00510540"/>
    <w:rsid w:val="005105A3"/>
    <w:rsid w:val="005105D8"/>
    <w:rsid w:val="005107D3"/>
    <w:rsid w:val="0051269E"/>
    <w:rsid w:val="00512FC8"/>
    <w:rsid w:val="00513092"/>
    <w:rsid w:val="0051410A"/>
    <w:rsid w:val="0051458E"/>
    <w:rsid w:val="0051500B"/>
    <w:rsid w:val="00515338"/>
    <w:rsid w:val="00515383"/>
    <w:rsid w:val="0051593D"/>
    <w:rsid w:val="00515B2D"/>
    <w:rsid w:val="00516059"/>
    <w:rsid w:val="0051613C"/>
    <w:rsid w:val="00516986"/>
    <w:rsid w:val="00516B1F"/>
    <w:rsid w:val="00516E23"/>
    <w:rsid w:val="005174DD"/>
    <w:rsid w:val="005179B5"/>
    <w:rsid w:val="00517CEB"/>
    <w:rsid w:val="00517ECA"/>
    <w:rsid w:val="00520182"/>
    <w:rsid w:val="00520901"/>
    <w:rsid w:val="0052185A"/>
    <w:rsid w:val="00521D98"/>
    <w:rsid w:val="00523400"/>
    <w:rsid w:val="00523AF6"/>
    <w:rsid w:val="00523D29"/>
    <w:rsid w:val="00523E4B"/>
    <w:rsid w:val="005240D6"/>
    <w:rsid w:val="005251EA"/>
    <w:rsid w:val="00525574"/>
    <w:rsid w:val="00525932"/>
    <w:rsid w:val="00526014"/>
    <w:rsid w:val="00526557"/>
    <w:rsid w:val="0052687A"/>
    <w:rsid w:val="00526F46"/>
    <w:rsid w:val="0052702B"/>
    <w:rsid w:val="005271E5"/>
    <w:rsid w:val="005274B0"/>
    <w:rsid w:val="005277D1"/>
    <w:rsid w:val="00527A39"/>
    <w:rsid w:val="00527A7D"/>
    <w:rsid w:val="00530841"/>
    <w:rsid w:val="00530998"/>
    <w:rsid w:val="00530F54"/>
    <w:rsid w:val="00531C87"/>
    <w:rsid w:val="00532684"/>
    <w:rsid w:val="00532806"/>
    <w:rsid w:val="00532B0C"/>
    <w:rsid w:val="00532FC2"/>
    <w:rsid w:val="0053302B"/>
    <w:rsid w:val="00533149"/>
    <w:rsid w:val="00533331"/>
    <w:rsid w:val="005337D3"/>
    <w:rsid w:val="00533C24"/>
    <w:rsid w:val="00533E75"/>
    <w:rsid w:val="0053427C"/>
    <w:rsid w:val="00534391"/>
    <w:rsid w:val="0053446E"/>
    <w:rsid w:val="00534A82"/>
    <w:rsid w:val="0053566E"/>
    <w:rsid w:val="005358A3"/>
    <w:rsid w:val="00535924"/>
    <w:rsid w:val="00535E01"/>
    <w:rsid w:val="005369DA"/>
    <w:rsid w:val="005373EF"/>
    <w:rsid w:val="00537972"/>
    <w:rsid w:val="00537ADB"/>
    <w:rsid w:val="00537D98"/>
    <w:rsid w:val="005406CB"/>
    <w:rsid w:val="00540A89"/>
    <w:rsid w:val="005413F2"/>
    <w:rsid w:val="005416E2"/>
    <w:rsid w:val="005417E3"/>
    <w:rsid w:val="00541DD4"/>
    <w:rsid w:val="00541E70"/>
    <w:rsid w:val="0054202F"/>
    <w:rsid w:val="005420BB"/>
    <w:rsid w:val="005421D4"/>
    <w:rsid w:val="00542840"/>
    <w:rsid w:val="00542AD3"/>
    <w:rsid w:val="0054318C"/>
    <w:rsid w:val="00543842"/>
    <w:rsid w:val="0054470D"/>
    <w:rsid w:val="00544D7E"/>
    <w:rsid w:val="005454E8"/>
    <w:rsid w:val="00545AD9"/>
    <w:rsid w:val="00545D6A"/>
    <w:rsid w:val="00546128"/>
    <w:rsid w:val="0054619D"/>
    <w:rsid w:val="0054624F"/>
    <w:rsid w:val="005463C4"/>
    <w:rsid w:val="00546C43"/>
    <w:rsid w:val="00546D37"/>
    <w:rsid w:val="005470D3"/>
    <w:rsid w:val="005473FA"/>
    <w:rsid w:val="00547AFF"/>
    <w:rsid w:val="00547B39"/>
    <w:rsid w:val="00547D49"/>
    <w:rsid w:val="00550DAE"/>
    <w:rsid w:val="005512FD"/>
    <w:rsid w:val="005514F4"/>
    <w:rsid w:val="00551C8D"/>
    <w:rsid w:val="00551EEE"/>
    <w:rsid w:val="005520DB"/>
    <w:rsid w:val="0055232C"/>
    <w:rsid w:val="0055251C"/>
    <w:rsid w:val="0055342A"/>
    <w:rsid w:val="00554205"/>
    <w:rsid w:val="00554AE2"/>
    <w:rsid w:val="00554F79"/>
    <w:rsid w:val="005550E8"/>
    <w:rsid w:val="00555CEA"/>
    <w:rsid w:val="00556364"/>
    <w:rsid w:val="00556ECB"/>
    <w:rsid w:val="00557585"/>
    <w:rsid w:val="00557AE7"/>
    <w:rsid w:val="00557FC3"/>
    <w:rsid w:val="0056096D"/>
    <w:rsid w:val="00560A0E"/>
    <w:rsid w:val="00561462"/>
    <w:rsid w:val="00561B8B"/>
    <w:rsid w:val="00561E5F"/>
    <w:rsid w:val="00562062"/>
    <w:rsid w:val="005621A3"/>
    <w:rsid w:val="005621D8"/>
    <w:rsid w:val="0056243A"/>
    <w:rsid w:val="00562EC7"/>
    <w:rsid w:val="00563A13"/>
    <w:rsid w:val="00563DC3"/>
    <w:rsid w:val="00563EA3"/>
    <w:rsid w:val="00563F73"/>
    <w:rsid w:val="00564109"/>
    <w:rsid w:val="005652C7"/>
    <w:rsid w:val="005657AD"/>
    <w:rsid w:val="0056694C"/>
    <w:rsid w:val="00566E3A"/>
    <w:rsid w:val="00567187"/>
    <w:rsid w:val="00567976"/>
    <w:rsid w:val="00567F91"/>
    <w:rsid w:val="00570CAD"/>
    <w:rsid w:val="00571386"/>
    <w:rsid w:val="005717E5"/>
    <w:rsid w:val="00571E0E"/>
    <w:rsid w:val="0057293F"/>
    <w:rsid w:val="00572E16"/>
    <w:rsid w:val="005733F5"/>
    <w:rsid w:val="00573582"/>
    <w:rsid w:val="005737FA"/>
    <w:rsid w:val="00573BEB"/>
    <w:rsid w:val="00573D23"/>
    <w:rsid w:val="00573D62"/>
    <w:rsid w:val="00573E5B"/>
    <w:rsid w:val="0057416C"/>
    <w:rsid w:val="00574BB2"/>
    <w:rsid w:val="00574E62"/>
    <w:rsid w:val="00575856"/>
    <w:rsid w:val="005760D0"/>
    <w:rsid w:val="0057619D"/>
    <w:rsid w:val="0057626F"/>
    <w:rsid w:val="005764FE"/>
    <w:rsid w:val="00576609"/>
    <w:rsid w:val="00576D06"/>
    <w:rsid w:val="00576E5D"/>
    <w:rsid w:val="005773A5"/>
    <w:rsid w:val="005775A7"/>
    <w:rsid w:val="005809D5"/>
    <w:rsid w:val="0058117B"/>
    <w:rsid w:val="005815C7"/>
    <w:rsid w:val="0058192B"/>
    <w:rsid w:val="00581CB1"/>
    <w:rsid w:val="00581DB0"/>
    <w:rsid w:val="00581E1F"/>
    <w:rsid w:val="0058290D"/>
    <w:rsid w:val="0058292D"/>
    <w:rsid w:val="00582A05"/>
    <w:rsid w:val="005837D9"/>
    <w:rsid w:val="005837EB"/>
    <w:rsid w:val="005846AD"/>
    <w:rsid w:val="005846DB"/>
    <w:rsid w:val="005847D6"/>
    <w:rsid w:val="005851AB"/>
    <w:rsid w:val="005854F0"/>
    <w:rsid w:val="00585C05"/>
    <w:rsid w:val="00585EAC"/>
    <w:rsid w:val="005860C0"/>
    <w:rsid w:val="0058694D"/>
    <w:rsid w:val="00586C07"/>
    <w:rsid w:val="00587910"/>
    <w:rsid w:val="00590364"/>
    <w:rsid w:val="00590AD9"/>
    <w:rsid w:val="0059132A"/>
    <w:rsid w:val="00591582"/>
    <w:rsid w:val="00591640"/>
    <w:rsid w:val="005918DD"/>
    <w:rsid w:val="0059205F"/>
    <w:rsid w:val="005927DE"/>
    <w:rsid w:val="00592C0E"/>
    <w:rsid w:val="00592E56"/>
    <w:rsid w:val="00593123"/>
    <w:rsid w:val="00593510"/>
    <w:rsid w:val="00593883"/>
    <w:rsid w:val="00593B5D"/>
    <w:rsid w:val="00593C39"/>
    <w:rsid w:val="00593C94"/>
    <w:rsid w:val="00593F45"/>
    <w:rsid w:val="00594C79"/>
    <w:rsid w:val="00594E08"/>
    <w:rsid w:val="00595039"/>
    <w:rsid w:val="005956B1"/>
    <w:rsid w:val="0059699E"/>
    <w:rsid w:val="00596C41"/>
    <w:rsid w:val="00597161"/>
    <w:rsid w:val="00597385"/>
    <w:rsid w:val="00597441"/>
    <w:rsid w:val="00597443"/>
    <w:rsid w:val="00597638"/>
    <w:rsid w:val="005976AF"/>
    <w:rsid w:val="005976DC"/>
    <w:rsid w:val="00597EAD"/>
    <w:rsid w:val="00597F31"/>
    <w:rsid w:val="005A0346"/>
    <w:rsid w:val="005A0660"/>
    <w:rsid w:val="005A0735"/>
    <w:rsid w:val="005A0860"/>
    <w:rsid w:val="005A0D50"/>
    <w:rsid w:val="005A1071"/>
    <w:rsid w:val="005A158B"/>
    <w:rsid w:val="005A15AC"/>
    <w:rsid w:val="005A201C"/>
    <w:rsid w:val="005A245E"/>
    <w:rsid w:val="005A2DAD"/>
    <w:rsid w:val="005A3291"/>
    <w:rsid w:val="005A3427"/>
    <w:rsid w:val="005A39CD"/>
    <w:rsid w:val="005A3AD7"/>
    <w:rsid w:val="005A3DB8"/>
    <w:rsid w:val="005A407E"/>
    <w:rsid w:val="005A40C5"/>
    <w:rsid w:val="005A528A"/>
    <w:rsid w:val="005A5B95"/>
    <w:rsid w:val="005A605C"/>
    <w:rsid w:val="005A61D1"/>
    <w:rsid w:val="005A6408"/>
    <w:rsid w:val="005A71CC"/>
    <w:rsid w:val="005A7354"/>
    <w:rsid w:val="005A76DD"/>
    <w:rsid w:val="005A7FA3"/>
    <w:rsid w:val="005B030F"/>
    <w:rsid w:val="005B048A"/>
    <w:rsid w:val="005B0505"/>
    <w:rsid w:val="005B126E"/>
    <w:rsid w:val="005B1351"/>
    <w:rsid w:val="005B2286"/>
    <w:rsid w:val="005B2294"/>
    <w:rsid w:val="005B294C"/>
    <w:rsid w:val="005B2D51"/>
    <w:rsid w:val="005B2F83"/>
    <w:rsid w:val="005B33C8"/>
    <w:rsid w:val="005B3526"/>
    <w:rsid w:val="005B3AAE"/>
    <w:rsid w:val="005B40B9"/>
    <w:rsid w:val="005B417A"/>
    <w:rsid w:val="005B4260"/>
    <w:rsid w:val="005B4D41"/>
    <w:rsid w:val="005B4E0F"/>
    <w:rsid w:val="005B4EF5"/>
    <w:rsid w:val="005B4F25"/>
    <w:rsid w:val="005B4FB4"/>
    <w:rsid w:val="005B53FC"/>
    <w:rsid w:val="005B589E"/>
    <w:rsid w:val="005B5A7D"/>
    <w:rsid w:val="005B5C36"/>
    <w:rsid w:val="005B5D71"/>
    <w:rsid w:val="005B6DAE"/>
    <w:rsid w:val="005B7003"/>
    <w:rsid w:val="005B7354"/>
    <w:rsid w:val="005B76A0"/>
    <w:rsid w:val="005B79BC"/>
    <w:rsid w:val="005B7B5F"/>
    <w:rsid w:val="005C0B87"/>
    <w:rsid w:val="005C0D9A"/>
    <w:rsid w:val="005C164C"/>
    <w:rsid w:val="005C1A57"/>
    <w:rsid w:val="005C1E87"/>
    <w:rsid w:val="005C229F"/>
    <w:rsid w:val="005C23DA"/>
    <w:rsid w:val="005C2630"/>
    <w:rsid w:val="005C2E70"/>
    <w:rsid w:val="005C338E"/>
    <w:rsid w:val="005C39A2"/>
    <w:rsid w:val="005C42E4"/>
    <w:rsid w:val="005C4704"/>
    <w:rsid w:val="005C5BDF"/>
    <w:rsid w:val="005C62A2"/>
    <w:rsid w:val="005C646A"/>
    <w:rsid w:val="005C680D"/>
    <w:rsid w:val="005C6BA8"/>
    <w:rsid w:val="005D0164"/>
    <w:rsid w:val="005D0654"/>
    <w:rsid w:val="005D0DC9"/>
    <w:rsid w:val="005D0E0F"/>
    <w:rsid w:val="005D10D1"/>
    <w:rsid w:val="005D13CC"/>
    <w:rsid w:val="005D14E2"/>
    <w:rsid w:val="005D18D8"/>
    <w:rsid w:val="005D1911"/>
    <w:rsid w:val="005D1BEA"/>
    <w:rsid w:val="005D214C"/>
    <w:rsid w:val="005D2BBD"/>
    <w:rsid w:val="005D30E8"/>
    <w:rsid w:val="005D38F9"/>
    <w:rsid w:val="005D3936"/>
    <w:rsid w:val="005D3BA9"/>
    <w:rsid w:val="005D4C5F"/>
    <w:rsid w:val="005D4D7F"/>
    <w:rsid w:val="005D4E04"/>
    <w:rsid w:val="005D5A18"/>
    <w:rsid w:val="005D5C1A"/>
    <w:rsid w:val="005D5C37"/>
    <w:rsid w:val="005D6022"/>
    <w:rsid w:val="005D6C9D"/>
    <w:rsid w:val="005D7013"/>
    <w:rsid w:val="005D74F1"/>
    <w:rsid w:val="005D7D3E"/>
    <w:rsid w:val="005E027D"/>
    <w:rsid w:val="005E0347"/>
    <w:rsid w:val="005E0937"/>
    <w:rsid w:val="005E096C"/>
    <w:rsid w:val="005E0E9B"/>
    <w:rsid w:val="005E22AD"/>
    <w:rsid w:val="005E2485"/>
    <w:rsid w:val="005E26B3"/>
    <w:rsid w:val="005E2906"/>
    <w:rsid w:val="005E33A6"/>
    <w:rsid w:val="005E3ACA"/>
    <w:rsid w:val="005E3EC2"/>
    <w:rsid w:val="005E3F2F"/>
    <w:rsid w:val="005E44DE"/>
    <w:rsid w:val="005E4ABD"/>
    <w:rsid w:val="005E5192"/>
    <w:rsid w:val="005E535F"/>
    <w:rsid w:val="005E656F"/>
    <w:rsid w:val="005E6C13"/>
    <w:rsid w:val="005E6E56"/>
    <w:rsid w:val="005E773F"/>
    <w:rsid w:val="005E7802"/>
    <w:rsid w:val="005E7868"/>
    <w:rsid w:val="005E78BD"/>
    <w:rsid w:val="005E7CB7"/>
    <w:rsid w:val="005E7D17"/>
    <w:rsid w:val="005F00BA"/>
    <w:rsid w:val="005F01A2"/>
    <w:rsid w:val="005F055F"/>
    <w:rsid w:val="005F0958"/>
    <w:rsid w:val="005F0ADD"/>
    <w:rsid w:val="005F0AE2"/>
    <w:rsid w:val="005F0F13"/>
    <w:rsid w:val="005F13EA"/>
    <w:rsid w:val="005F17E4"/>
    <w:rsid w:val="005F1DBC"/>
    <w:rsid w:val="005F2571"/>
    <w:rsid w:val="005F25B5"/>
    <w:rsid w:val="005F2736"/>
    <w:rsid w:val="005F3A2B"/>
    <w:rsid w:val="005F3A58"/>
    <w:rsid w:val="005F3B39"/>
    <w:rsid w:val="005F4F90"/>
    <w:rsid w:val="005F5066"/>
    <w:rsid w:val="005F53B8"/>
    <w:rsid w:val="005F5B6F"/>
    <w:rsid w:val="005F5F26"/>
    <w:rsid w:val="005F6326"/>
    <w:rsid w:val="005F64E7"/>
    <w:rsid w:val="005F662C"/>
    <w:rsid w:val="005F6961"/>
    <w:rsid w:val="005F6BB6"/>
    <w:rsid w:val="005F6D45"/>
    <w:rsid w:val="005F6E7B"/>
    <w:rsid w:val="005F6F23"/>
    <w:rsid w:val="005F6FF6"/>
    <w:rsid w:val="005F7104"/>
    <w:rsid w:val="005F77A0"/>
    <w:rsid w:val="005F77B6"/>
    <w:rsid w:val="005F7832"/>
    <w:rsid w:val="005F7CAB"/>
    <w:rsid w:val="0060007E"/>
    <w:rsid w:val="006003D6"/>
    <w:rsid w:val="006010AA"/>
    <w:rsid w:val="006010C0"/>
    <w:rsid w:val="006015E9"/>
    <w:rsid w:val="00601777"/>
    <w:rsid w:val="006022F2"/>
    <w:rsid w:val="006025FD"/>
    <w:rsid w:val="00602C02"/>
    <w:rsid w:val="00602D45"/>
    <w:rsid w:val="00602FDF"/>
    <w:rsid w:val="006030D2"/>
    <w:rsid w:val="006031ED"/>
    <w:rsid w:val="00603282"/>
    <w:rsid w:val="006037D4"/>
    <w:rsid w:val="006038B3"/>
    <w:rsid w:val="00603A42"/>
    <w:rsid w:val="00604C2B"/>
    <w:rsid w:val="00604E28"/>
    <w:rsid w:val="006053F8"/>
    <w:rsid w:val="0060545F"/>
    <w:rsid w:val="00605611"/>
    <w:rsid w:val="00605831"/>
    <w:rsid w:val="006064A7"/>
    <w:rsid w:val="006064AE"/>
    <w:rsid w:val="00606A03"/>
    <w:rsid w:val="00606ACC"/>
    <w:rsid w:val="0060785A"/>
    <w:rsid w:val="00607BC6"/>
    <w:rsid w:val="00607D3A"/>
    <w:rsid w:val="00610245"/>
    <w:rsid w:val="0061035F"/>
    <w:rsid w:val="00610669"/>
    <w:rsid w:val="006106AB"/>
    <w:rsid w:val="00610A59"/>
    <w:rsid w:val="00610B02"/>
    <w:rsid w:val="00610B48"/>
    <w:rsid w:val="00610BAE"/>
    <w:rsid w:val="00610C77"/>
    <w:rsid w:val="00610EC3"/>
    <w:rsid w:val="0061101F"/>
    <w:rsid w:val="00611528"/>
    <w:rsid w:val="006117FF"/>
    <w:rsid w:val="00611A95"/>
    <w:rsid w:val="00611DF1"/>
    <w:rsid w:val="00611E3E"/>
    <w:rsid w:val="00612137"/>
    <w:rsid w:val="006123F2"/>
    <w:rsid w:val="00613271"/>
    <w:rsid w:val="00613AF1"/>
    <w:rsid w:val="006145A5"/>
    <w:rsid w:val="00614B43"/>
    <w:rsid w:val="00615139"/>
    <w:rsid w:val="00615187"/>
    <w:rsid w:val="00615A70"/>
    <w:rsid w:val="00615F75"/>
    <w:rsid w:val="00616A77"/>
    <w:rsid w:val="0061733E"/>
    <w:rsid w:val="0061737C"/>
    <w:rsid w:val="006173C9"/>
    <w:rsid w:val="0061789A"/>
    <w:rsid w:val="00617DF8"/>
    <w:rsid w:val="00617FB3"/>
    <w:rsid w:val="0062041C"/>
    <w:rsid w:val="00620D7D"/>
    <w:rsid w:val="0062127F"/>
    <w:rsid w:val="0062238B"/>
    <w:rsid w:val="00622B2C"/>
    <w:rsid w:val="00622D5A"/>
    <w:rsid w:val="00623538"/>
    <w:rsid w:val="006236DF"/>
    <w:rsid w:val="00623B0E"/>
    <w:rsid w:val="00623EF5"/>
    <w:rsid w:val="006242CD"/>
    <w:rsid w:val="0062453F"/>
    <w:rsid w:val="006247F6"/>
    <w:rsid w:val="006249A1"/>
    <w:rsid w:val="00624BEF"/>
    <w:rsid w:val="006254A7"/>
    <w:rsid w:val="00625BA8"/>
    <w:rsid w:val="00625D94"/>
    <w:rsid w:val="006260A4"/>
    <w:rsid w:val="006260FC"/>
    <w:rsid w:val="006263CA"/>
    <w:rsid w:val="00626507"/>
    <w:rsid w:val="00626F52"/>
    <w:rsid w:val="006272DD"/>
    <w:rsid w:val="006278F9"/>
    <w:rsid w:val="00627D15"/>
    <w:rsid w:val="00627DED"/>
    <w:rsid w:val="00630221"/>
    <w:rsid w:val="0063091D"/>
    <w:rsid w:val="00630EA9"/>
    <w:rsid w:val="00631891"/>
    <w:rsid w:val="00631C5B"/>
    <w:rsid w:val="00631FBB"/>
    <w:rsid w:val="006326FB"/>
    <w:rsid w:val="00632842"/>
    <w:rsid w:val="006335D1"/>
    <w:rsid w:val="00633BCE"/>
    <w:rsid w:val="00633C02"/>
    <w:rsid w:val="006342C0"/>
    <w:rsid w:val="00634386"/>
    <w:rsid w:val="0063456D"/>
    <w:rsid w:val="006349B5"/>
    <w:rsid w:val="00634D9F"/>
    <w:rsid w:val="00635491"/>
    <w:rsid w:val="00635EC5"/>
    <w:rsid w:val="00636180"/>
    <w:rsid w:val="006365A4"/>
    <w:rsid w:val="0063671F"/>
    <w:rsid w:val="0063674A"/>
    <w:rsid w:val="0063686A"/>
    <w:rsid w:val="00636D73"/>
    <w:rsid w:val="00636D7E"/>
    <w:rsid w:val="00637402"/>
    <w:rsid w:val="00637691"/>
    <w:rsid w:val="00637BEF"/>
    <w:rsid w:val="00641083"/>
    <w:rsid w:val="00642D1A"/>
    <w:rsid w:val="00642E4F"/>
    <w:rsid w:val="006432F1"/>
    <w:rsid w:val="0064380C"/>
    <w:rsid w:val="00643954"/>
    <w:rsid w:val="00643EE7"/>
    <w:rsid w:val="00644885"/>
    <w:rsid w:val="00645F69"/>
    <w:rsid w:val="00646B12"/>
    <w:rsid w:val="00647814"/>
    <w:rsid w:val="00650015"/>
    <w:rsid w:val="00650AE7"/>
    <w:rsid w:val="00650B0C"/>
    <w:rsid w:val="00650BF7"/>
    <w:rsid w:val="006510E8"/>
    <w:rsid w:val="00651454"/>
    <w:rsid w:val="0065155D"/>
    <w:rsid w:val="00651FFE"/>
    <w:rsid w:val="006529EF"/>
    <w:rsid w:val="00652A80"/>
    <w:rsid w:val="00652E80"/>
    <w:rsid w:val="00653707"/>
    <w:rsid w:val="00653995"/>
    <w:rsid w:val="006546AB"/>
    <w:rsid w:val="00654A88"/>
    <w:rsid w:val="0065542D"/>
    <w:rsid w:val="0065608E"/>
    <w:rsid w:val="006565F9"/>
    <w:rsid w:val="00656A17"/>
    <w:rsid w:val="00656DC3"/>
    <w:rsid w:val="00656E28"/>
    <w:rsid w:val="006570B4"/>
    <w:rsid w:val="006573DE"/>
    <w:rsid w:val="00657C93"/>
    <w:rsid w:val="006603B6"/>
    <w:rsid w:val="00661CB8"/>
    <w:rsid w:val="00661DEF"/>
    <w:rsid w:val="00662223"/>
    <w:rsid w:val="00662394"/>
    <w:rsid w:val="00662865"/>
    <w:rsid w:val="00662B34"/>
    <w:rsid w:val="00663588"/>
    <w:rsid w:val="006638E5"/>
    <w:rsid w:val="00663970"/>
    <w:rsid w:val="00663DC7"/>
    <w:rsid w:val="00664162"/>
    <w:rsid w:val="006641F7"/>
    <w:rsid w:val="00664885"/>
    <w:rsid w:val="0066534B"/>
    <w:rsid w:val="00665523"/>
    <w:rsid w:val="00665581"/>
    <w:rsid w:val="00665DF9"/>
    <w:rsid w:val="00666087"/>
    <w:rsid w:val="00666226"/>
    <w:rsid w:val="00666F07"/>
    <w:rsid w:val="006676B4"/>
    <w:rsid w:val="00667D10"/>
    <w:rsid w:val="00667DAD"/>
    <w:rsid w:val="00670241"/>
    <w:rsid w:val="006703F0"/>
    <w:rsid w:val="0067054C"/>
    <w:rsid w:val="00670A98"/>
    <w:rsid w:val="0067159E"/>
    <w:rsid w:val="00671AB3"/>
    <w:rsid w:val="006724FE"/>
    <w:rsid w:val="00672C47"/>
    <w:rsid w:val="00672DD0"/>
    <w:rsid w:val="006730AD"/>
    <w:rsid w:val="006730E0"/>
    <w:rsid w:val="00673113"/>
    <w:rsid w:val="00673D5F"/>
    <w:rsid w:val="00673FAD"/>
    <w:rsid w:val="0067421E"/>
    <w:rsid w:val="00674580"/>
    <w:rsid w:val="0067481A"/>
    <w:rsid w:val="00674952"/>
    <w:rsid w:val="006755AD"/>
    <w:rsid w:val="00675621"/>
    <w:rsid w:val="006759F2"/>
    <w:rsid w:val="00675BCA"/>
    <w:rsid w:val="00675F1A"/>
    <w:rsid w:val="0067604B"/>
    <w:rsid w:val="0067685F"/>
    <w:rsid w:val="00676DFC"/>
    <w:rsid w:val="00677155"/>
    <w:rsid w:val="006778F9"/>
    <w:rsid w:val="006800D3"/>
    <w:rsid w:val="00680408"/>
    <w:rsid w:val="0068050C"/>
    <w:rsid w:val="006809BC"/>
    <w:rsid w:val="00680B45"/>
    <w:rsid w:val="00680CB8"/>
    <w:rsid w:val="00680D72"/>
    <w:rsid w:val="00680DE1"/>
    <w:rsid w:val="00680E7E"/>
    <w:rsid w:val="00681128"/>
    <w:rsid w:val="00681494"/>
    <w:rsid w:val="00681D79"/>
    <w:rsid w:val="00682110"/>
    <w:rsid w:val="00682474"/>
    <w:rsid w:val="006826EB"/>
    <w:rsid w:val="006829EC"/>
    <w:rsid w:val="00682D8D"/>
    <w:rsid w:val="006830DC"/>
    <w:rsid w:val="0068329D"/>
    <w:rsid w:val="00683B6E"/>
    <w:rsid w:val="006841C9"/>
    <w:rsid w:val="006843B5"/>
    <w:rsid w:val="00684BB3"/>
    <w:rsid w:val="00684E90"/>
    <w:rsid w:val="00685263"/>
    <w:rsid w:val="00685E54"/>
    <w:rsid w:val="006875FA"/>
    <w:rsid w:val="00687F63"/>
    <w:rsid w:val="00690469"/>
    <w:rsid w:val="006906B4"/>
    <w:rsid w:val="006908E9"/>
    <w:rsid w:val="00691358"/>
    <w:rsid w:val="006920C5"/>
    <w:rsid w:val="0069212E"/>
    <w:rsid w:val="006928AF"/>
    <w:rsid w:val="006928B4"/>
    <w:rsid w:val="006934AF"/>
    <w:rsid w:val="00693C08"/>
    <w:rsid w:val="00693CF2"/>
    <w:rsid w:val="00693D28"/>
    <w:rsid w:val="006941A3"/>
    <w:rsid w:val="0069468D"/>
    <w:rsid w:val="00694702"/>
    <w:rsid w:val="0069493C"/>
    <w:rsid w:val="0069597E"/>
    <w:rsid w:val="00695E44"/>
    <w:rsid w:val="00695F47"/>
    <w:rsid w:val="006966C0"/>
    <w:rsid w:val="00696A14"/>
    <w:rsid w:val="00696A21"/>
    <w:rsid w:val="00696AA0"/>
    <w:rsid w:val="00696D69"/>
    <w:rsid w:val="006978EA"/>
    <w:rsid w:val="00697FDE"/>
    <w:rsid w:val="006A001F"/>
    <w:rsid w:val="006A011B"/>
    <w:rsid w:val="006A1301"/>
    <w:rsid w:val="006A1920"/>
    <w:rsid w:val="006A1C81"/>
    <w:rsid w:val="006A1DD8"/>
    <w:rsid w:val="006A343F"/>
    <w:rsid w:val="006A38ED"/>
    <w:rsid w:val="006A39B8"/>
    <w:rsid w:val="006A3E24"/>
    <w:rsid w:val="006A42EB"/>
    <w:rsid w:val="006A4376"/>
    <w:rsid w:val="006A4895"/>
    <w:rsid w:val="006A48B0"/>
    <w:rsid w:val="006A5501"/>
    <w:rsid w:val="006A57AF"/>
    <w:rsid w:val="006A61D8"/>
    <w:rsid w:val="006A66DA"/>
    <w:rsid w:val="006A6D1E"/>
    <w:rsid w:val="006A702C"/>
    <w:rsid w:val="006A71B5"/>
    <w:rsid w:val="006A78C3"/>
    <w:rsid w:val="006A791F"/>
    <w:rsid w:val="006B0079"/>
    <w:rsid w:val="006B0193"/>
    <w:rsid w:val="006B01F4"/>
    <w:rsid w:val="006B0248"/>
    <w:rsid w:val="006B0447"/>
    <w:rsid w:val="006B0543"/>
    <w:rsid w:val="006B0717"/>
    <w:rsid w:val="006B1014"/>
    <w:rsid w:val="006B168B"/>
    <w:rsid w:val="006B215B"/>
    <w:rsid w:val="006B276A"/>
    <w:rsid w:val="006B2A09"/>
    <w:rsid w:val="006B2BAF"/>
    <w:rsid w:val="006B2BFC"/>
    <w:rsid w:val="006B34C1"/>
    <w:rsid w:val="006B3D33"/>
    <w:rsid w:val="006B3FBE"/>
    <w:rsid w:val="006B41B1"/>
    <w:rsid w:val="006B46DE"/>
    <w:rsid w:val="006B4A31"/>
    <w:rsid w:val="006B4F37"/>
    <w:rsid w:val="006B6580"/>
    <w:rsid w:val="006B6B27"/>
    <w:rsid w:val="006B6DD2"/>
    <w:rsid w:val="006B74AD"/>
    <w:rsid w:val="006C00B3"/>
    <w:rsid w:val="006C05C6"/>
    <w:rsid w:val="006C0A61"/>
    <w:rsid w:val="006C128A"/>
    <w:rsid w:val="006C139E"/>
    <w:rsid w:val="006C1964"/>
    <w:rsid w:val="006C2041"/>
    <w:rsid w:val="006C2A4F"/>
    <w:rsid w:val="006C31AF"/>
    <w:rsid w:val="006C3721"/>
    <w:rsid w:val="006C4024"/>
    <w:rsid w:val="006C4E38"/>
    <w:rsid w:val="006C4F56"/>
    <w:rsid w:val="006C5275"/>
    <w:rsid w:val="006C55BA"/>
    <w:rsid w:val="006C79B2"/>
    <w:rsid w:val="006C7BDC"/>
    <w:rsid w:val="006D0C7A"/>
    <w:rsid w:val="006D0F49"/>
    <w:rsid w:val="006D0F50"/>
    <w:rsid w:val="006D12D3"/>
    <w:rsid w:val="006D1622"/>
    <w:rsid w:val="006D1790"/>
    <w:rsid w:val="006D199D"/>
    <w:rsid w:val="006D2952"/>
    <w:rsid w:val="006D3777"/>
    <w:rsid w:val="006D3E58"/>
    <w:rsid w:val="006D4551"/>
    <w:rsid w:val="006D47E4"/>
    <w:rsid w:val="006D496C"/>
    <w:rsid w:val="006D4C98"/>
    <w:rsid w:val="006D4E06"/>
    <w:rsid w:val="006D51B1"/>
    <w:rsid w:val="006D5C7D"/>
    <w:rsid w:val="006D67EC"/>
    <w:rsid w:val="006D7227"/>
    <w:rsid w:val="006D7233"/>
    <w:rsid w:val="006D749F"/>
    <w:rsid w:val="006D774E"/>
    <w:rsid w:val="006D7786"/>
    <w:rsid w:val="006D784A"/>
    <w:rsid w:val="006D7F85"/>
    <w:rsid w:val="006E065E"/>
    <w:rsid w:val="006E06EB"/>
    <w:rsid w:val="006E15A2"/>
    <w:rsid w:val="006E19C8"/>
    <w:rsid w:val="006E19CB"/>
    <w:rsid w:val="006E2040"/>
    <w:rsid w:val="006E2FC8"/>
    <w:rsid w:val="006E3078"/>
    <w:rsid w:val="006E3313"/>
    <w:rsid w:val="006E3505"/>
    <w:rsid w:val="006E370C"/>
    <w:rsid w:val="006E389E"/>
    <w:rsid w:val="006E3D56"/>
    <w:rsid w:val="006E4149"/>
    <w:rsid w:val="006E41E9"/>
    <w:rsid w:val="006E4701"/>
    <w:rsid w:val="006E4846"/>
    <w:rsid w:val="006E49A0"/>
    <w:rsid w:val="006E49A5"/>
    <w:rsid w:val="006E50F1"/>
    <w:rsid w:val="006E5298"/>
    <w:rsid w:val="006E5A74"/>
    <w:rsid w:val="006E5DC1"/>
    <w:rsid w:val="006E63C4"/>
    <w:rsid w:val="006E6F36"/>
    <w:rsid w:val="006E7208"/>
    <w:rsid w:val="006E765C"/>
    <w:rsid w:val="006F0F4C"/>
    <w:rsid w:val="006F14FD"/>
    <w:rsid w:val="006F14FF"/>
    <w:rsid w:val="006F1D58"/>
    <w:rsid w:val="006F259B"/>
    <w:rsid w:val="006F277C"/>
    <w:rsid w:val="006F3981"/>
    <w:rsid w:val="006F4109"/>
    <w:rsid w:val="006F4258"/>
    <w:rsid w:val="006F4C97"/>
    <w:rsid w:val="006F4DD1"/>
    <w:rsid w:val="006F55AD"/>
    <w:rsid w:val="006F5BB1"/>
    <w:rsid w:val="006F63D3"/>
    <w:rsid w:val="006F65BE"/>
    <w:rsid w:val="006F65DD"/>
    <w:rsid w:val="006F661F"/>
    <w:rsid w:val="006F6800"/>
    <w:rsid w:val="006F6969"/>
    <w:rsid w:val="006F740D"/>
    <w:rsid w:val="006F765F"/>
    <w:rsid w:val="006F7EA6"/>
    <w:rsid w:val="006F7EBA"/>
    <w:rsid w:val="00701902"/>
    <w:rsid w:val="00701F0F"/>
    <w:rsid w:val="00702156"/>
    <w:rsid w:val="00702470"/>
    <w:rsid w:val="007027A6"/>
    <w:rsid w:val="00702A7E"/>
    <w:rsid w:val="00702B54"/>
    <w:rsid w:val="00702C40"/>
    <w:rsid w:val="00702D20"/>
    <w:rsid w:val="00703162"/>
    <w:rsid w:val="00703BAD"/>
    <w:rsid w:val="0070407D"/>
    <w:rsid w:val="00704636"/>
    <w:rsid w:val="00704D79"/>
    <w:rsid w:val="0070531A"/>
    <w:rsid w:val="00705C4F"/>
    <w:rsid w:val="00705F9C"/>
    <w:rsid w:val="00706388"/>
    <w:rsid w:val="00706414"/>
    <w:rsid w:val="00706566"/>
    <w:rsid w:val="00706C01"/>
    <w:rsid w:val="00707247"/>
    <w:rsid w:val="007074FB"/>
    <w:rsid w:val="00707FAC"/>
    <w:rsid w:val="007100AB"/>
    <w:rsid w:val="00710DB7"/>
    <w:rsid w:val="00710E62"/>
    <w:rsid w:val="00711570"/>
    <w:rsid w:val="0071184D"/>
    <w:rsid w:val="007120BB"/>
    <w:rsid w:val="007124D5"/>
    <w:rsid w:val="007128D7"/>
    <w:rsid w:val="0071300D"/>
    <w:rsid w:val="00713081"/>
    <w:rsid w:val="0071367A"/>
    <w:rsid w:val="00713C4E"/>
    <w:rsid w:val="00713C86"/>
    <w:rsid w:val="00713D51"/>
    <w:rsid w:val="00713DE1"/>
    <w:rsid w:val="0071461D"/>
    <w:rsid w:val="00714B64"/>
    <w:rsid w:val="00716488"/>
    <w:rsid w:val="00716787"/>
    <w:rsid w:val="00716BF2"/>
    <w:rsid w:val="00717A34"/>
    <w:rsid w:val="00720725"/>
    <w:rsid w:val="007207D9"/>
    <w:rsid w:val="007210A7"/>
    <w:rsid w:val="00721134"/>
    <w:rsid w:val="0072142D"/>
    <w:rsid w:val="00721FC8"/>
    <w:rsid w:val="007222BB"/>
    <w:rsid w:val="007225BA"/>
    <w:rsid w:val="007226B0"/>
    <w:rsid w:val="0072294E"/>
    <w:rsid w:val="00723171"/>
    <w:rsid w:val="007237BA"/>
    <w:rsid w:val="00723D35"/>
    <w:rsid w:val="007245C8"/>
    <w:rsid w:val="00724721"/>
    <w:rsid w:val="007248C1"/>
    <w:rsid w:val="007251D4"/>
    <w:rsid w:val="007257CC"/>
    <w:rsid w:val="00725992"/>
    <w:rsid w:val="00725BF8"/>
    <w:rsid w:val="00726B9A"/>
    <w:rsid w:val="00726DA0"/>
    <w:rsid w:val="0072708F"/>
    <w:rsid w:val="00727E65"/>
    <w:rsid w:val="00727FBE"/>
    <w:rsid w:val="00730136"/>
    <w:rsid w:val="007307BD"/>
    <w:rsid w:val="00730D28"/>
    <w:rsid w:val="00730EA0"/>
    <w:rsid w:val="00731367"/>
    <w:rsid w:val="00732804"/>
    <w:rsid w:val="007329C6"/>
    <w:rsid w:val="00733E35"/>
    <w:rsid w:val="00734319"/>
    <w:rsid w:val="007353B7"/>
    <w:rsid w:val="00735677"/>
    <w:rsid w:val="00735A87"/>
    <w:rsid w:val="00735CAC"/>
    <w:rsid w:val="00735CE2"/>
    <w:rsid w:val="00735FFA"/>
    <w:rsid w:val="00736279"/>
    <w:rsid w:val="00736394"/>
    <w:rsid w:val="00736941"/>
    <w:rsid w:val="007370D6"/>
    <w:rsid w:val="00737250"/>
    <w:rsid w:val="007373C5"/>
    <w:rsid w:val="00737B80"/>
    <w:rsid w:val="0074055B"/>
    <w:rsid w:val="00740A0C"/>
    <w:rsid w:val="00740C9F"/>
    <w:rsid w:val="00740CFB"/>
    <w:rsid w:val="00740F18"/>
    <w:rsid w:val="00741149"/>
    <w:rsid w:val="007416EA"/>
    <w:rsid w:val="0074170F"/>
    <w:rsid w:val="00741988"/>
    <w:rsid w:val="00741E65"/>
    <w:rsid w:val="00741ED8"/>
    <w:rsid w:val="00742B01"/>
    <w:rsid w:val="00742CBB"/>
    <w:rsid w:val="00742E6D"/>
    <w:rsid w:val="0074301A"/>
    <w:rsid w:val="00744A63"/>
    <w:rsid w:val="00744EDF"/>
    <w:rsid w:val="007452FD"/>
    <w:rsid w:val="00745363"/>
    <w:rsid w:val="00745A1E"/>
    <w:rsid w:val="00745B11"/>
    <w:rsid w:val="00745ED9"/>
    <w:rsid w:val="007465C8"/>
    <w:rsid w:val="00747731"/>
    <w:rsid w:val="00750594"/>
    <w:rsid w:val="0075060C"/>
    <w:rsid w:val="0075073C"/>
    <w:rsid w:val="00750971"/>
    <w:rsid w:val="00750B5A"/>
    <w:rsid w:val="00750BD1"/>
    <w:rsid w:val="00751033"/>
    <w:rsid w:val="00751305"/>
    <w:rsid w:val="0075140B"/>
    <w:rsid w:val="00751CFB"/>
    <w:rsid w:val="0075241C"/>
    <w:rsid w:val="00752602"/>
    <w:rsid w:val="0075344A"/>
    <w:rsid w:val="007538CF"/>
    <w:rsid w:val="00753A52"/>
    <w:rsid w:val="00753D2A"/>
    <w:rsid w:val="00753F18"/>
    <w:rsid w:val="00753F47"/>
    <w:rsid w:val="0075467B"/>
    <w:rsid w:val="00754A2A"/>
    <w:rsid w:val="00754D45"/>
    <w:rsid w:val="007553D1"/>
    <w:rsid w:val="007554AF"/>
    <w:rsid w:val="00755563"/>
    <w:rsid w:val="007559F9"/>
    <w:rsid w:val="00755D77"/>
    <w:rsid w:val="007561B5"/>
    <w:rsid w:val="0075623F"/>
    <w:rsid w:val="00756E0E"/>
    <w:rsid w:val="00756FC4"/>
    <w:rsid w:val="0075737B"/>
    <w:rsid w:val="00757634"/>
    <w:rsid w:val="00757A32"/>
    <w:rsid w:val="00757EF7"/>
    <w:rsid w:val="00760A8A"/>
    <w:rsid w:val="00760A93"/>
    <w:rsid w:val="00760CD3"/>
    <w:rsid w:val="00761086"/>
    <w:rsid w:val="00761317"/>
    <w:rsid w:val="00761C3C"/>
    <w:rsid w:val="00761CE0"/>
    <w:rsid w:val="00762E00"/>
    <w:rsid w:val="0076304D"/>
    <w:rsid w:val="007632C3"/>
    <w:rsid w:val="00763590"/>
    <w:rsid w:val="00763885"/>
    <w:rsid w:val="00763E91"/>
    <w:rsid w:val="00764128"/>
    <w:rsid w:val="0076414C"/>
    <w:rsid w:val="0076437B"/>
    <w:rsid w:val="0076438B"/>
    <w:rsid w:val="00764661"/>
    <w:rsid w:val="00764780"/>
    <w:rsid w:val="00765318"/>
    <w:rsid w:val="007657D4"/>
    <w:rsid w:val="00765B26"/>
    <w:rsid w:val="00765CC8"/>
    <w:rsid w:val="0076645E"/>
    <w:rsid w:val="00766509"/>
    <w:rsid w:val="007670BF"/>
    <w:rsid w:val="00767271"/>
    <w:rsid w:val="0076795D"/>
    <w:rsid w:val="00767EED"/>
    <w:rsid w:val="00767F4F"/>
    <w:rsid w:val="007702B2"/>
    <w:rsid w:val="007707A7"/>
    <w:rsid w:val="00770B45"/>
    <w:rsid w:val="00770B8E"/>
    <w:rsid w:val="00771036"/>
    <w:rsid w:val="007716F7"/>
    <w:rsid w:val="00771F63"/>
    <w:rsid w:val="00772429"/>
    <w:rsid w:val="0077255D"/>
    <w:rsid w:val="007727B6"/>
    <w:rsid w:val="007728F4"/>
    <w:rsid w:val="00772C1C"/>
    <w:rsid w:val="0077353F"/>
    <w:rsid w:val="00773C10"/>
    <w:rsid w:val="00773D19"/>
    <w:rsid w:val="00773E11"/>
    <w:rsid w:val="007740C0"/>
    <w:rsid w:val="00774535"/>
    <w:rsid w:val="00774600"/>
    <w:rsid w:val="0077469A"/>
    <w:rsid w:val="00774757"/>
    <w:rsid w:val="00774E43"/>
    <w:rsid w:val="00775072"/>
    <w:rsid w:val="007751B2"/>
    <w:rsid w:val="00775274"/>
    <w:rsid w:val="00775369"/>
    <w:rsid w:val="007758F2"/>
    <w:rsid w:val="00775C6B"/>
    <w:rsid w:val="00775F2E"/>
    <w:rsid w:val="0077606C"/>
    <w:rsid w:val="0077668D"/>
    <w:rsid w:val="0077707F"/>
    <w:rsid w:val="007776FE"/>
    <w:rsid w:val="0077774A"/>
    <w:rsid w:val="007779F2"/>
    <w:rsid w:val="00780070"/>
    <w:rsid w:val="00780175"/>
    <w:rsid w:val="007807E0"/>
    <w:rsid w:val="00780D30"/>
    <w:rsid w:val="00781285"/>
    <w:rsid w:val="00781740"/>
    <w:rsid w:val="007817BB"/>
    <w:rsid w:val="00781B82"/>
    <w:rsid w:val="0078245F"/>
    <w:rsid w:val="007827D4"/>
    <w:rsid w:val="00782884"/>
    <w:rsid w:val="00782890"/>
    <w:rsid w:val="00782B08"/>
    <w:rsid w:val="00782B3C"/>
    <w:rsid w:val="00783125"/>
    <w:rsid w:val="00783749"/>
    <w:rsid w:val="00784752"/>
    <w:rsid w:val="00785006"/>
    <w:rsid w:val="0078580D"/>
    <w:rsid w:val="0078617F"/>
    <w:rsid w:val="0078676F"/>
    <w:rsid w:val="00786B5D"/>
    <w:rsid w:val="00786B84"/>
    <w:rsid w:val="00786F78"/>
    <w:rsid w:val="007875C5"/>
    <w:rsid w:val="00787A09"/>
    <w:rsid w:val="00787BDB"/>
    <w:rsid w:val="00787FF2"/>
    <w:rsid w:val="007906C9"/>
    <w:rsid w:val="00790A4E"/>
    <w:rsid w:val="00791060"/>
    <w:rsid w:val="007912F1"/>
    <w:rsid w:val="00791349"/>
    <w:rsid w:val="00791371"/>
    <w:rsid w:val="00791565"/>
    <w:rsid w:val="00791B26"/>
    <w:rsid w:val="00791CA1"/>
    <w:rsid w:val="0079226E"/>
    <w:rsid w:val="00792898"/>
    <w:rsid w:val="00792F0E"/>
    <w:rsid w:val="00793BDA"/>
    <w:rsid w:val="00793F22"/>
    <w:rsid w:val="007944E1"/>
    <w:rsid w:val="007944F0"/>
    <w:rsid w:val="007944FB"/>
    <w:rsid w:val="00794677"/>
    <w:rsid w:val="00794E28"/>
    <w:rsid w:val="007955DB"/>
    <w:rsid w:val="00795870"/>
    <w:rsid w:val="00795997"/>
    <w:rsid w:val="00795CD3"/>
    <w:rsid w:val="00795EBB"/>
    <w:rsid w:val="00795EF4"/>
    <w:rsid w:val="00796003"/>
    <w:rsid w:val="0079611A"/>
    <w:rsid w:val="0079640A"/>
    <w:rsid w:val="007966F9"/>
    <w:rsid w:val="00796F20"/>
    <w:rsid w:val="00797531"/>
    <w:rsid w:val="007976C9"/>
    <w:rsid w:val="0079771D"/>
    <w:rsid w:val="00797830"/>
    <w:rsid w:val="0079798A"/>
    <w:rsid w:val="007979E6"/>
    <w:rsid w:val="00797AE3"/>
    <w:rsid w:val="00797F10"/>
    <w:rsid w:val="007A01B3"/>
    <w:rsid w:val="007A0A4D"/>
    <w:rsid w:val="007A1160"/>
    <w:rsid w:val="007A121D"/>
    <w:rsid w:val="007A155D"/>
    <w:rsid w:val="007A15C5"/>
    <w:rsid w:val="007A2349"/>
    <w:rsid w:val="007A23C6"/>
    <w:rsid w:val="007A2B61"/>
    <w:rsid w:val="007A2B67"/>
    <w:rsid w:val="007A2C54"/>
    <w:rsid w:val="007A2D94"/>
    <w:rsid w:val="007A3216"/>
    <w:rsid w:val="007A3396"/>
    <w:rsid w:val="007A3AFA"/>
    <w:rsid w:val="007A546A"/>
    <w:rsid w:val="007A5EB3"/>
    <w:rsid w:val="007A6793"/>
    <w:rsid w:val="007A7108"/>
    <w:rsid w:val="007A7846"/>
    <w:rsid w:val="007A7C4A"/>
    <w:rsid w:val="007A7C76"/>
    <w:rsid w:val="007B02F6"/>
    <w:rsid w:val="007B04B6"/>
    <w:rsid w:val="007B11BD"/>
    <w:rsid w:val="007B18E7"/>
    <w:rsid w:val="007B1A9C"/>
    <w:rsid w:val="007B260A"/>
    <w:rsid w:val="007B2614"/>
    <w:rsid w:val="007B2A1E"/>
    <w:rsid w:val="007B2A41"/>
    <w:rsid w:val="007B3340"/>
    <w:rsid w:val="007B3A80"/>
    <w:rsid w:val="007B3EC2"/>
    <w:rsid w:val="007B42A2"/>
    <w:rsid w:val="007B4438"/>
    <w:rsid w:val="007B4785"/>
    <w:rsid w:val="007B4D53"/>
    <w:rsid w:val="007B530C"/>
    <w:rsid w:val="007B53A1"/>
    <w:rsid w:val="007B5C5A"/>
    <w:rsid w:val="007B5EB8"/>
    <w:rsid w:val="007B612E"/>
    <w:rsid w:val="007B64AB"/>
    <w:rsid w:val="007B67C5"/>
    <w:rsid w:val="007B6810"/>
    <w:rsid w:val="007B6896"/>
    <w:rsid w:val="007B6A3B"/>
    <w:rsid w:val="007B6A7C"/>
    <w:rsid w:val="007B7181"/>
    <w:rsid w:val="007C00C4"/>
    <w:rsid w:val="007C0880"/>
    <w:rsid w:val="007C0B36"/>
    <w:rsid w:val="007C0C1B"/>
    <w:rsid w:val="007C0C2F"/>
    <w:rsid w:val="007C10CD"/>
    <w:rsid w:val="007C1178"/>
    <w:rsid w:val="007C1C1B"/>
    <w:rsid w:val="007C21C7"/>
    <w:rsid w:val="007C2776"/>
    <w:rsid w:val="007C28BC"/>
    <w:rsid w:val="007C2AB3"/>
    <w:rsid w:val="007C2D9A"/>
    <w:rsid w:val="007C3325"/>
    <w:rsid w:val="007C3836"/>
    <w:rsid w:val="007C3F01"/>
    <w:rsid w:val="007C4148"/>
    <w:rsid w:val="007C4C29"/>
    <w:rsid w:val="007C53D6"/>
    <w:rsid w:val="007C5907"/>
    <w:rsid w:val="007C5994"/>
    <w:rsid w:val="007C6242"/>
    <w:rsid w:val="007C62D9"/>
    <w:rsid w:val="007C6466"/>
    <w:rsid w:val="007C6D7D"/>
    <w:rsid w:val="007C7035"/>
    <w:rsid w:val="007D0879"/>
    <w:rsid w:val="007D0928"/>
    <w:rsid w:val="007D1026"/>
    <w:rsid w:val="007D10AD"/>
    <w:rsid w:val="007D2358"/>
    <w:rsid w:val="007D2630"/>
    <w:rsid w:val="007D30D1"/>
    <w:rsid w:val="007D32FD"/>
    <w:rsid w:val="007D366D"/>
    <w:rsid w:val="007D371B"/>
    <w:rsid w:val="007D3939"/>
    <w:rsid w:val="007D3DF8"/>
    <w:rsid w:val="007D41DE"/>
    <w:rsid w:val="007D41FB"/>
    <w:rsid w:val="007D4979"/>
    <w:rsid w:val="007D4A04"/>
    <w:rsid w:val="007D4CF9"/>
    <w:rsid w:val="007D5585"/>
    <w:rsid w:val="007D57C1"/>
    <w:rsid w:val="007D58AB"/>
    <w:rsid w:val="007D5D48"/>
    <w:rsid w:val="007D5DD0"/>
    <w:rsid w:val="007D5E44"/>
    <w:rsid w:val="007D6DCE"/>
    <w:rsid w:val="007D6E52"/>
    <w:rsid w:val="007D6F68"/>
    <w:rsid w:val="007D7105"/>
    <w:rsid w:val="007D73B6"/>
    <w:rsid w:val="007D73DB"/>
    <w:rsid w:val="007D786B"/>
    <w:rsid w:val="007E0012"/>
    <w:rsid w:val="007E0047"/>
    <w:rsid w:val="007E029E"/>
    <w:rsid w:val="007E03D1"/>
    <w:rsid w:val="007E077B"/>
    <w:rsid w:val="007E0797"/>
    <w:rsid w:val="007E1068"/>
    <w:rsid w:val="007E124B"/>
    <w:rsid w:val="007E127B"/>
    <w:rsid w:val="007E13ED"/>
    <w:rsid w:val="007E15ED"/>
    <w:rsid w:val="007E1FA7"/>
    <w:rsid w:val="007E2C7E"/>
    <w:rsid w:val="007E2DCD"/>
    <w:rsid w:val="007E2EFB"/>
    <w:rsid w:val="007E355D"/>
    <w:rsid w:val="007E3748"/>
    <w:rsid w:val="007E37BC"/>
    <w:rsid w:val="007E393D"/>
    <w:rsid w:val="007E401B"/>
    <w:rsid w:val="007E4456"/>
    <w:rsid w:val="007E44EC"/>
    <w:rsid w:val="007E570A"/>
    <w:rsid w:val="007E574C"/>
    <w:rsid w:val="007E5F32"/>
    <w:rsid w:val="007E62AF"/>
    <w:rsid w:val="007E6991"/>
    <w:rsid w:val="007E6A87"/>
    <w:rsid w:val="007E6AB0"/>
    <w:rsid w:val="007E732E"/>
    <w:rsid w:val="007F0063"/>
    <w:rsid w:val="007F0A69"/>
    <w:rsid w:val="007F1C18"/>
    <w:rsid w:val="007F2149"/>
    <w:rsid w:val="007F2789"/>
    <w:rsid w:val="007F3508"/>
    <w:rsid w:val="007F3F9A"/>
    <w:rsid w:val="007F41BA"/>
    <w:rsid w:val="007F41F9"/>
    <w:rsid w:val="007F4692"/>
    <w:rsid w:val="007F4797"/>
    <w:rsid w:val="007F4E58"/>
    <w:rsid w:val="007F4F90"/>
    <w:rsid w:val="007F52C1"/>
    <w:rsid w:val="007F532F"/>
    <w:rsid w:val="007F58CC"/>
    <w:rsid w:val="007F5B15"/>
    <w:rsid w:val="007F5B17"/>
    <w:rsid w:val="007F5CAC"/>
    <w:rsid w:val="007F64A0"/>
    <w:rsid w:val="007F66A2"/>
    <w:rsid w:val="007F6B13"/>
    <w:rsid w:val="007F766D"/>
    <w:rsid w:val="00800268"/>
    <w:rsid w:val="00800367"/>
    <w:rsid w:val="008003E8"/>
    <w:rsid w:val="00800FD3"/>
    <w:rsid w:val="008010FF"/>
    <w:rsid w:val="008026D4"/>
    <w:rsid w:val="00803E13"/>
    <w:rsid w:val="00804198"/>
    <w:rsid w:val="00804778"/>
    <w:rsid w:val="00804AC7"/>
    <w:rsid w:val="00804C63"/>
    <w:rsid w:val="00805141"/>
    <w:rsid w:val="00807256"/>
    <w:rsid w:val="00807793"/>
    <w:rsid w:val="008078BE"/>
    <w:rsid w:val="00807DE5"/>
    <w:rsid w:val="00807F3D"/>
    <w:rsid w:val="00807F5E"/>
    <w:rsid w:val="008107D9"/>
    <w:rsid w:val="00810AF6"/>
    <w:rsid w:val="0081137A"/>
    <w:rsid w:val="00811768"/>
    <w:rsid w:val="00812126"/>
    <w:rsid w:val="008124CE"/>
    <w:rsid w:val="00812DFC"/>
    <w:rsid w:val="00813023"/>
    <w:rsid w:val="0081351B"/>
    <w:rsid w:val="00813CC6"/>
    <w:rsid w:val="00814950"/>
    <w:rsid w:val="00814E81"/>
    <w:rsid w:val="008150B8"/>
    <w:rsid w:val="00815136"/>
    <w:rsid w:val="00815244"/>
    <w:rsid w:val="008153A3"/>
    <w:rsid w:val="0081567B"/>
    <w:rsid w:val="00815804"/>
    <w:rsid w:val="008158CD"/>
    <w:rsid w:val="00815CCD"/>
    <w:rsid w:val="0081669F"/>
    <w:rsid w:val="008169E7"/>
    <w:rsid w:val="00816A01"/>
    <w:rsid w:val="00816AF2"/>
    <w:rsid w:val="00816F40"/>
    <w:rsid w:val="008170A7"/>
    <w:rsid w:val="00817306"/>
    <w:rsid w:val="008174AC"/>
    <w:rsid w:val="008176D0"/>
    <w:rsid w:val="00817C8F"/>
    <w:rsid w:val="00817EC5"/>
    <w:rsid w:val="0082046C"/>
    <w:rsid w:val="00820B8B"/>
    <w:rsid w:val="00821B37"/>
    <w:rsid w:val="00821E58"/>
    <w:rsid w:val="00822484"/>
    <w:rsid w:val="008228D0"/>
    <w:rsid w:val="00822B64"/>
    <w:rsid w:val="00822DB4"/>
    <w:rsid w:val="008231C8"/>
    <w:rsid w:val="0082340A"/>
    <w:rsid w:val="008235DF"/>
    <w:rsid w:val="008237B7"/>
    <w:rsid w:val="0082386F"/>
    <w:rsid w:val="0082468D"/>
    <w:rsid w:val="0082490E"/>
    <w:rsid w:val="00824E78"/>
    <w:rsid w:val="00824FEB"/>
    <w:rsid w:val="0082515A"/>
    <w:rsid w:val="00825BFB"/>
    <w:rsid w:val="0082618B"/>
    <w:rsid w:val="008262CB"/>
    <w:rsid w:val="00826B30"/>
    <w:rsid w:val="008279B6"/>
    <w:rsid w:val="00827DC8"/>
    <w:rsid w:val="00827F0B"/>
    <w:rsid w:val="00830BA3"/>
    <w:rsid w:val="00830E03"/>
    <w:rsid w:val="0083124B"/>
    <w:rsid w:val="00831442"/>
    <w:rsid w:val="00831CAE"/>
    <w:rsid w:val="00832411"/>
    <w:rsid w:val="00832B58"/>
    <w:rsid w:val="00833088"/>
    <w:rsid w:val="008333B6"/>
    <w:rsid w:val="00833497"/>
    <w:rsid w:val="00833589"/>
    <w:rsid w:val="00833BB0"/>
    <w:rsid w:val="00834A07"/>
    <w:rsid w:val="00834AF1"/>
    <w:rsid w:val="00834F7D"/>
    <w:rsid w:val="00834F89"/>
    <w:rsid w:val="008353C1"/>
    <w:rsid w:val="008356D6"/>
    <w:rsid w:val="00835902"/>
    <w:rsid w:val="00835BFF"/>
    <w:rsid w:val="00836F5B"/>
    <w:rsid w:val="008373DA"/>
    <w:rsid w:val="008376F1"/>
    <w:rsid w:val="008378F4"/>
    <w:rsid w:val="0084082B"/>
    <w:rsid w:val="00840AFE"/>
    <w:rsid w:val="00840BE9"/>
    <w:rsid w:val="008418A3"/>
    <w:rsid w:val="008434B0"/>
    <w:rsid w:val="008435B8"/>
    <w:rsid w:val="0084367E"/>
    <w:rsid w:val="00843C3E"/>
    <w:rsid w:val="00844619"/>
    <w:rsid w:val="00844CC5"/>
    <w:rsid w:val="00844DA5"/>
    <w:rsid w:val="00844FF6"/>
    <w:rsid w:val="008457A3"/>
    <w:rsid w:val="00845F39"/>
    <w:rsid w:val="00846722"/>
    <w:rsid w:val="00846AFA"/>
    <w:rsid w:val="00846BC2"/>
    <w:rsid w:val="00847289"/>
    <w:rsid w:val="00847435"/>
    <w:rsid w:val="0084754F"/>
    <w:rsid w:val="00847701"/>
    <w:rsid w:val="0084794C"/>
    <w:rsid w:val="008479AB"/>
    <w:rsid w:val="00847A23"/>
    <w:rsid w:val="00847B18"/>
    <w:rsid w:val="00847B56"/>
    <w:rsid w:val="00847D72"/>
    <w:rsid w:val="008502AF"/>
    <w:rsid w:val="008502D7"/>
    <w:rsid w:val="008503FB"/>
    <w:rsid w:val="00850527"/>
    <w:rsid w:val="00851048"/>
    <w:rsid w:val="008512C7"/>
    <w:rsid w:val="00851894"/>
    <w:rsid w:val="00851FF8"/>
    <w:rsid w:val="00852200"/>
    <w:rsid w:val="008522DF"/>
    <w:rsid w:val="008529E8"/>
    <w:rsid w:val="00854A54"/>
    <w:rsid w:val="008550B8"/>
    <w:rsid w:val="00855528"/>
    <w:rsid w:val="0085572A"/>
    <w:rsid w:val="00855DA7"/>
    <w:rsid w:val="00855E21"/>
    <w:rsid w:val="008562C7"/>
    <w:rsid w:val="00856861"/>
    <w:rsid w:val="00856BCD"/>
    <w:rsid w:val="00856C1A"/>
    <w:rsid w:val="00856D18"/>
    <w:rsid w:val="00856FEE"/>
    <w:rsid w:val="00857122"/>
    <w:rsid w:val="008576D1"/>
    <w:rsid w:val="00857786"/>
    <w:rsid w:val="008579F7"/>
    <w:rsid w:val="00857E7F"/>
    <w:rsid w:val="00857F59"/>
    <w:rsid w:val="0086015E"/>
    <w:rsid w:val="00860774"/>
    <w:rsid w:val="00860C6F"/>
    <w:rsid w:val="00860E62"/>
    <w:rsid w:val="00860FE1"/>
    <w:rsid w:val="008611EA"/>
    <w:rsid w:val="008612B2"/>
    <w:rsid w:val="0086150D"/>
    <w:rsid w:val="00861591"/>
    <w:rsid w:val="00861CF2"/>
    <w:rsid w:val="00861E8C"/>
    <w:rsid w:val="00862426"/>
    <w:rsid w:val="008624A7"/>
    <w:rsid w:val="0086293E"/>
    <w:rsid w:val="00862B0F"/>
    <w:rsid w:val="00862C55"/>
    <w:rsid w:val="00862E06"/>
    <w:rsid w:val="008636CC"/>
    <w:rsid w:val="00863AB2"/>
    <w:rsid w:val="00863C49"/>
    <w:rsid w:val="0086466B"/>
    <w:rsid w:val="008646D1"/>
    <w:rsid w:val="00864867"/>
    <w:rsid w:val="0086495C"/>
    <w:rsid w:val="008649C4"/>
    <w:rsid w:val="00865032"/>
    <w:rsid w:val="0086506F"/>
    <w:rsid w:val="008654F9"/>
    <w:rsid w:val="00865C2F"/>
    <w:rsid w:val="00866081"/>
    <w:rsid w:val="008667E4"/>
    <w:rsid w:val="0086732D"/>
    <w:rsid w:val="00867B7C"/>
    <w:rsid w:val="00867C8A"/>
    <w:rsid w:val="0087018B"/>
    <w:rsid w:val="00870325"/>
    <w:rsid w:val="00870600"/>
    <w:rsid w:val="00870639"/>
    <w:rsid w:val="00870730"/>
    <w:rsid w:val="008707FD"/>
    <w:rsid w:val="00870BBF"/>
    <w:rsid w:val="00870BE9"/>
    <w:rsid w:val="00870DE4"/>
    <w:rsid w:val="00872517"/>
    <w:rsid w:val="00872AAA"/>
    <w:rsid w:val="00872E44"/>
    <w:rsid w:val="008732BB"/>
    <w:rsid w:val="008736C9"/>
    <w:rsid w:val="008737C4"/>
    <w:rsid w:val="00873D26"/>
    <w:rsid w:val="00873E8A"/>
    <w:rsid w:val="0087449F"/>
    <w:rsid w:val="0087472F"/>
    <w:rsid w:val="00874C32"/>
    <w:rsid w:val="00875662"/>
    <w:rsid w:val="008764E5"/>
    <w:rsid w:val="0087676F"/>
    <w:rsid w:val="00876C0B"/>
    <w:rsid w:val="00877161"/>
    <w:rsid w:val="008777F4"/>
    <w:rsid w:val="00877AA0"/>
    <w:rsid w:val="00880398"/>
    <w:rsid w:val="00880D34"/>
    <w:rsid w:val="0088118C"/>
    <w:rsid w:val="00881618"/>
    <w:rsid w:val="008819B9"/>
    <w:rsid w:val="00881CAB"/>
    <w:rsid w:val="008820A1"/>
    <w:rsid w:val="008821C2"/>
    <w:rsid w:val="00882328"/>
    <w:rsid w:val="00882624"/>
    <w:rsid w:val="00882BB0"/>
    <w:rsid w:val="00882CAE"/>
    <w:rsid w:val="00882CF8"/>
    <w:rsid w:val="00882F16"/>
    <w:rsid w:val="00883CBF"/>
    <w:rsid w:val="0088430B"/>
    <w:rsid w:val="0088443A"/>
    <w:rsid w:val="008853A0"/>
    <w:rsid w:val="00885AAB"/>
    <w:rsid w:val="00885B72"/>
    <w:rsid w:val="00885C20"/>
    <w:rsid w:val="00885E8B"/>
    <w:rsid w:val="00885F0F"/>
    <w:rsid w:val="00886221"/>
    <w:rsid w:val="00887128"/>
    <w:rsid w:val="008875C2"/>
    <w:rsid w:val="0088779D"/>
    <w:rsid w:val="00887E36"/>
    <w:rsid w:val="008903B1"/>
    <w:rsid w:val="008903DC"/>
    <w:rsid w:val="0089062F"/>
    <w:rsid w:val="0089125F"/>
    <w:rsid w:val="0089190A"/>
    <w:rsid w:val="0089201E"/>
    <w:rsid w:val="0089236D"/>
    <w:rsid w:val="008923C3"/>
    <w:rsid w:val="008924E7"/>
    <w:rsid w:val="00892B71"/>
    <w:rsid w:val="00892F36"/>
    <w:rsid w:val="0089370B"/>
    <w:rsid w:val="00893E01"/>
    <w:rsid w:val="00893F06"/>
    <w:rsid w:val="008943BA"/>
    <w:rsid w:val="008943C7"/>
    <w:rsid w:val="00894970"/>
    <w:rsid w:val="00894EC1"/>
    <w:rsid w:val="00895571"/>
    <w:rsid w:val="00895795"/>
    <w:rsid w:val="00896B84"/>
    <w:rsid w:val="00896FC7"/>
    <w:rsid w:val="00897266"/>
    <w:rsid w:val="0089736A"/>
    <w:rsid w:val="008A07E2"/>
    <w:rsid w:val="008A246B"/>
    <w:rsid w:val="008A2E91"/>
    <w:rsid w:val="008A2FBD"/>
    <w:rsid w:val="008A4232"/>
    <w:rsid w:val="008A4366"/>
    <w:rsid w:val="008A4690"/>
    <w:rsid w:val="008A4D78"/>
    <w:rsid w:val="008A4F65"/>
    <w:rsid w:val="008A50DD"/>
    <w:rsid w:val="008A555E"/>
    <w:rsid w:val="008A570A"/>
    <w:rsid w:val="008A578C"/>
    <w:rsid w:val="008A5CE0"/>
    <w:rsid w:val="008A629E"/>
    <w:rsid w:val="008A74C4"/>
    <w:rsid w:val="008A7B04"/>
    <w:rsid w:val="008A7CA4"/>
    <w:rsid w:val="008A7D05"/>
    <w:rsid w:val="008B00E7"/>
    <w:rsid w:val="008B1364"/>
    <w:rsid w:val="008B29A3"/>
    <w:rsid w:val="008B2B3E"/>
    <w:rsid w:val="008B31D1"/>
    <w:rsid w:val="008B325E"/>
    <w:rsid w:val="008B3834"/>
    <w:rsid w:val="008B3835"/>
    <w:rsid w:val="008B45BE"/>
    <w:rsid w:val="008B45F1"/>
    <w:rsid w:val="008B485F"/>
    <w:rsid w:val="008B4B9A"/>
    <w:rsid w:val="008B5169"/>
    <w:rsid w:val="008B534A"/>
    <w:rsid w:val="008B56F0"/>
    <w:rsid w:val="008B5803"/>
    <w:rsid w:val="008B5F7E"/>
    <w:rsid w:val="008B6286"/>
    <w:rsid w:val="008B6815"/>
    <w:rsid w:val="008B694C"/>
    <w:rsid w:val="008B7022"/>
    <w:rsid w:val="008B7544"/>
    <w:rsid w:val="008B790C"/>
    <w:rsid w:val="008C00E8"/>
    <w:rsid w:val="008C03C5"/>
    <w:rsid w:val="008C0B31"/>
    <w:rsid w:val="008C10D2"/>
    <w:rsid w:val="008C15BE"/>
    <w:rsid w:val="008C19BC"/>
    <w:rsid w:val="008C1D7D"/>
    <w:rsid w:val="008C1F30"/>
    <w:rsid w:val="008C31BE"/>
    <w:rsid w:val="008C3631"/>
    <w:rsid w:val="008C3827"/>
    <w:rsid w:val="008C39BF"/>
    <w:rsid w:val="008C3D27"/>
    <w:rsid w:val="008C4036"/>
    <w:rsid w:val="008C4100"/>
    <w:rsid w:val="008C458A"/>
    <w:rsid w:val="008C4956"/>
    <w:rsid w:val="008C5109"/>
    <w:rsid w:val="008C6068"/>
    <w:rsid w:val="008C6AB1"/>
    <w:rsid w:val="008C6C02"/>
    <w:rsid w:val="008C781C"/>
    <w:rsid w:val="008D0914"/>
    <w:rsid w:val="008D0AC9"/>
    <w:rsid w:val="008D0C7B"/>
    <w:rsid w:val="008D1761"/>
    <w:rsid w:val="008D1A8A"/>
    <w:rsid w:val="008D25E4"/>
    <w:rsid w:val="008D2C20"/>
    <w:rsid w:val="008D31A1"/>
    <w:rsid w:val="008D35BB"/>
    <w:rsid w:val="008D36C5"/>
    <w:rsid w:val="008D3AD4"/>
    <w:rsid w:val="008D3DA2"/>
    <w:rsid w:val="008D4438"/>
    <w:rsid w:val="008D4C59"/>
    <w:rsid w:val="008D4E15"/>
    <w:rsid w:val="008D53BC"/>
    <w:rsid w:val="008D5770"/>
    <w:rsid w:val="008D5CC6"/>
    <w:rsid w:val="008D5E2E"/>
    <w:rsid w:val="008D5EB6"/>
    <w:rsid w:val="008D608A"/>
    <w:rsid w:val="008D6793"/>
    <w:rsid w:val="008D72DD"/>
    <w:rsid w:val="008D7378"/>
    <w:rsid w:val="008D771D"/>
    <w:rsid w:val="008D7AEC"/>
    <w:rsid w:val="008E04CE"/>
    <w:rsid w:val="008E07F4"/>
    <w:rsid w:val="008E101F"/>
    <w:rsid w:val="008E11CB"/>
    <w:rsid w:val="008E13A3"/>
    <w:rsid w:val="008E153D"/>
    <w:rsid w:val="008E16D6"/>
    <w:rsid w:val="008E1721"/>
    <w:rsid w:val="008E287D"/>
    <w:rsid w:val="008E2C7E"/>
    <w:rsid w:val="008E346A"/>
    <w:rsid w:val="008E35B4"/>
    <w:rsid w:val="008E4311"/>
    <w:rsid w:val="008E4880"/>
    <w:rsid w:val="008E4A31"/>
    <w:rsid w:val="008E57A7"/>
    <w:rsid w:val="008E6521"/>
    <w:rsid w:val="008E6846"/>
    <w:rsid w:val="008E6856"/>
    <w:rsid w:val="008E719E"/>
    <w:rsid w:val="008E7A18"/>
    <w:rsid w:val="008E7E61"/>
    <w:rsid w:val="008E7F71"/>
    <w:rsid w:val="008F01D4"/>
    <w:rsid w:val="008F0758"/>
    <w:rsid w:val="008F0A19"/>
    <w:rsid w:val="008F0CC6"/>
    <w:rsid w:val="008F1C7D"/>
    <w:rsid w:val="008F2A99"/>
    <w:rsid w:val="008F3464"/>
    <w:rsid w:val="008F3C2E"/>
    <w:rsid w:val="008F3F06"/>
    <w:rsid w:val="008F439D"/>
    <w:rsid w:val="008F49D6"/>
    <w:rsid w:val="008F4DDE"/>
    <w:rsid w:val="008F5358"/>
    <w:rsid w:val="008F587B"/>
    <w:rsid w:val="008F5E89"/>
    <w:rsid w:val="008F63F4"/>
    <w:rsid w:val="008F6446"/>
    <w:rsid w:val="008F6705"/>
    <w:rsid w:val="008F674A"/>
    <w:rsid w:val="008F6C5B"/>
    <w:rsid w:val="008F6E36"/>
    <w:rsid w:val="008F739C"/>
    <w:rsid w:val="008F73C7"/>
    <w:rsid w:val="008F740A"/>
    <w:rsid w:val="008F79C1"/>
    <w:rsid w:val="00900168"/>
    <w:rsid w:val="009003EE"/>
    <w:rsid w:val="00900C99"/>
    <w:rsid w:val="00900F3F"/>
    <w:rsid w:val="00900FB0"/>
    <w:rsid w:val="009014D8"/>
    <w:rsid w:val="0090150D"/>
    <w:rsid w:val="009015A4"/>
    <w:rsid w:val="00901C3C"/>
    <w:rsid w:val="00901D5C"/>
    <w:rsid w:val="0090278B"/>
    <w:rsid w:val="00902C99"/>
    <w:rsid w:val="009035B0"/>
    <w:rsid w:val="0090389F"/>
    <w:rsid w:val="0090438F"/>
    <w:rsid w:val="00904755"/>
    <w:rsid w:val="009049DC"/>
    <w:rsid w:val="00904AB3"/>
    <w:rsid w:val="00905564"/>
    <w:rsid w:val="00905694"/>
    <w:rsid w:val="00905908"/>
    <w:rsid w:val="00905977"/>
    <w:rsid w:val="00906E91"/>
    <w:rsid w:val="00907054"/>
    <w:rsid w:val="0090747E"/>
    <w:rsid w:val="0090754E"/>
    <w:rsid w:val="00907782"/>
    <w:rsid w:val="009078D5"/>
    <w:rsid w:val="00907D7C"/>
    <w:rsid w:val="00907FF4"/>
    <w:rsid w:val="00910452"/>
    <w:rsid w:val="0091053E"/>
    <w:rsid w:val="009106B5"/>
    <w:rsid w:val="00910C20"/>
    <w:rsid w:val="0091172F"/>
    <w:rsid w:val="009119E6"/>
    <w:rsid w:val="009121C2"/>
    <w:rsid w:val="00912356"/>
    <w:rsid w:val="009123F9"/>
    <w:rsid w:val="00912C1C"/>
    <w:rsid w:val="009139BF"/>
    <w:rsid w:val="00913EC0"/>
    <w:rsid w:val="009140B1"/>
    <w:rsid w:val="009141C3"/>
    <w:rsid w:val="009142B9"/>
    <w:rsid w:val="00914866"/>
    <w:rsid w:val="0091499A"/>
    <w:rsid w:val="009153CA"/>
    <w:rsid w:val="009157CA"/>
    <w:rsid w:val="00915E8D"/>
    <w:rsid w:val="00915EE6"/>
    <w:rsid w:val="00916431"/>
    <w:rsid w:val="009167A2"/>
    <w:rsid w:val="00916863"/>
    <w:rsid w:val="00916953"/>
    <w:rsid w:val="00916BF1"/>
    <w:rsid w:val="009170A3"/>
    <w:rsid w:val="0091714F"/>
    <w:rsid w:val="0091727C"/>
    <w:rsid w:val="00917AAA"/>
    <w:rsid w:val="00917FC2"/>
    <w:rsid w:val="009201BA"/>
    <w:rsid w:val="00920901"/>
    <w:rsid w:val="00920CE9"/>
    <w:rsid w:val="00920E2A"/>
    <w:rsid w:val="00921056"/>
    <w:rsid w:val="00921579"/>
    <w:rsid w:val="00921CDD"/>
    <w:rsid w:val="00921DD2"/>
    <w:rsid w:val="00921DFE"/>
    <w:rsid w:val="00922607"/>
    <w:rsid w:val="009228F4"/>
    <w:rsid w:val="00922AC3"/>
    <w:rsid w:val="009231D2"/>
    <w:rsid w:val="00923ACF"/>
    <w:rsid w:val="0092527D"/>
    <w:rsid w:val="009252EA"/>
    <w:rsid w:val="00925815"/>
    <w:rsid w:val="00925FD2"/>
    <w:rsid w:val="0092608E"/>
    <w:rsid w:val="009266F2"/>
    <w:rsid w:val="00926C8C"/>
    <w:rsid w:val="0092756F"/>
    <w:rsid w:val="00927649"/>
    <w:rsid w:val="00927BE3"/>
    <w:rsid w:val="00927E15"/>
    <w:rsid w:val="00927E2D"/>
    <w:rsid w:val="0093001E"/>
    <w:rsid w:val="0093018B"/>
    <w:rsid w:val="00930541"/>
    <w:rsid w:val="00930E38"/>
    <w:rsid w:val="009310A7"/>
    <w:rsid w:val="009315A5"/>
    <w:rsid w:val="0093189A"/>
    <w:rsid w:val="00931927"/>
    <w:rsid w:val="00932424"/>
    <w:rsid w:val="0093283E"/>
    <w:rsid w:val="00932A4F"/>
    <w:rsid w:val="00932C0E"/>
    <w:rsid w:val="00932CCD"/>
    <w:rsid w:val="00932EDF"/>
    <w:rsid w:val="009331BE"/>
    <w:rsid w:val="00933237"/>
    <w:rsid w:val="009336C5"/>
    <w:rsid w:val="00933930"/>
    <w:rsid w:val="009347C3"/>
    <w:rsid w:val="009347EC"/>
    <w:rsid w:val="00935409"/>
    <w:rsid w:val="00936309"/>
    <w:rsid w:val="009365D6"/>
    <w:rsid w:val="009366EC"/>
    <w:rsid w:val="009370BF"/>
    <w:rsid w:val="009370E0"/>
    <w:rsid w:val="0093716E"/>
    <w:rsid w:val="00937193"/>
    <w:rsid w:val="009372DE"/>
    <w:rsid w:val="00937614"/>
    <w:rsid w:val="00940F3C"/>
    <w:rsid w:val="0094162D"/>
    <w:rsid w:val="0094182A"/>
    <w:rsid w:val="00941BF8"/>
    <w:rsid w:val="00942795"/>
    <w:rsid w:val="0094280D"/>
    <w:rsid w:val="00942BC8"/>
    <w:rsid w:val="00942E6C"/>
    <w:rsid w:val="00943223"/>
    <w:rsid w:val="0094329F"/>
    <w:rsid w:val="009433F5"/>
    <w:rsid w:val="009436AB"/>
    <w:rsid w:val="00943842"/>
    <w:rsid w:val="009439A7"/>
    <w:rsid w:val="00944042"/>
    <w:rsid w:val="0094433A"/>
    <w:rsid w:val="00944C3B"/>
    <w:rsid w:val="009457D0"/>
    <w:rsid w:val="009457FF"/>
    <w:rsid w:val="00945C15"/>
    <w:rsid w:val="00945C95"/>
    <w:rsid w:val="00945DE5"/>
    <w:rsid w:val="00946523"/>
    <w:rsid w:val="009466BC"/>
    <w:rsid w:val="009468CE"/>
    <w:rsid w:val="00946AC5"/>
    <w:rsid w:val="00946F12"/>
    <w:rsid w:val="009474FD"/>
    <w:rsid w:val="00947A56"/>
    <w:rsid w:val="0095031A"/>
    <w:rsid w:val="00950BFE"/>
    <w:rsid w:val="0095139F"/>
    <w:rsid w:val="009513DC"/>
    <w:rsid w:val="00951BB3"/>
    <w:rsid w:val="00951EDD"/>
    <w:rsid w:val="009520CD"/>
    <w:rsid w:val="009520E8"/>
    <w:rsid w:val="00952209"/>
    <w:rsid w:val="00952470"/>
    <w:rsid w:val="0095253B"/>
    <w:rsid w:val="00953288"/>
    <w:rsid w:val="00953296"/>
    <w:rsid w:val="00955B37"/>
    <w:rsid w:val="00955E0A"/>
    <w:rsid w:val="009561A6"/>
    <w:rsid w:val="00956C56"/>
    <w:rsid w:val="00956EDC"/>
    <w:rsid w:val="00957B12"/>
    <w:rsid w:val="00957BDA"/>
    <w:rsid w:val="00957CA6"/>
    <w:rsid w:val="00960DBA"/>
    <w:rsid w:val="0096125A"/>
    <w:rsid w:val="00961E6B"/>
    <w:rsid w:val="0096226B"/>
    <w:rsid w:val="00962281"/>
    <w:rsid w:val="009626DE"/>
    <w:rsid w:val="00962E42"/>
    <w:rsid w:val="00962E83"/>
    <w:rsid w:val="00963442"/>
    <w:rsid w:val="009634AB"/>
    <w:rsid w:val="009635EC"/>
    <w:rsid w:val="009637C9"/>
    <w:rsid w:val="00964224"/>
    <w:rsid w:val="0096462D"/>
    <w:rsid w:val="00964CC5"/>
    <w:rsid w:val="00965597"/>
    <w:rsid w:val="00965F96"/>
    <w:rsid w:val="00966014"/>
    <w:rsid w:val="0096602C"/>
    <w:rsid w:val="0096666A"/>
    <w:rsid w:val="009669DF"/>
    <w:rsid w:val="00967423"/>
    <w:rsid w:val="00967600"/>
    <w:rsid w:val="0096798F"/>
    <w:rsid w:val="00967D83"/>
    <w:rsid w:val="00967E2F"/>
    <w:rsid w:val="00967FAE"/>
    <w:rsid w:val="00967FBA"/>
    <w:rsid w:val="00970143"/>
    <w:rsid w:val="00970248"/>
    <w:rsid w:val="00970336"/>
    <w:rsid w:val="00970654"/>
    <w:rsid w:val="009707B3"/>
    <w:rsid w:val="009709C4"/>
    <w:rsid w:val="00970AA4"/>
    <w:rsid w:val="00970B4C"/>
    <w:rsid w:val="00971220"/>
    <w:rsid w:val="00971812"/>
    <w:rsid w:val="00971CA1"/>
    <w:rsid w:val="00972D98"/>
    <w:rsid w:val="00973168"/>
    <w:rsid w:val="0097331A"/>
    <w:rsid w:val="009738A6"/>
    <w:rsid w:val="009738BC"/>
    <w:rsid w:val="00973CD7"/>
    <w:rsid w:val="00973E29"/>
    <w:rsid w:val="00974030"/>
    <w:rsid w:val="00974889"/>
    <w:rsid w:val="009748EC"/>
    <w:rsid w:val="0097507A"/>
    <w:rsid w:val="009750D2"/>
    <w:rsid w:val="009751B3"/>
    <w:rsid w:val="00975626"/>
    <w:rsid w:val="00975857"/>
    <w:rsid w:val="00975A04"/>
    <w:rsid w:val="00975C8D"/>
    <w:rsid w:val="00976C60"/>
    <w:rsid w:val="00976D75"/>
    <w:rsid w:val="00976DE4"/>
    <w:rsid w:val="0097701C"/>
    <w:rsid w:val="0097709B"/>
    <w:rsid w:val="00977179"/>
    <w:rsid w:val="009778BB"/>
    <w:rsid w:val="00977ADD"/>
    <w:rsid w:val="00977AE2"/>
    <w:rsid w:val="00977B20"/>
    <w:rsid w:val="0098088A"/>
    <w:rsid w:val="00980C7C"/>
    <w:rsid w:val="00980F83"/>
    <w:rsid w:val="00981109"/>
    <w:rsid w:val="00981167"/>
    <w:rsid w:val="0098127C"/>
    <w:rsid w:val="00981848"/>
    <w:rsid w:val="00982D34"/>
    <w:rsid w:val="00982F93"/>
    <w:rsid w:val="00983231"/>
    <w:rsid w:val="009835DF"/>
    <w:rsid w:val="009837F3"/>
    <w:rsid w:val="009838A7"/>
    <w:rsid w:val="00984AA5"/>
    <w:rsid w:val="00984AD2"/>
    <w:rsid w:val="009852EF"/>
    <w:rsid w:val="00985F39"/>
    <w:rsid w:val="009862C2"/>
    <w:rsid w:val="0098719D"/>
    <w:rsid w:val="0098782C"/>
    <w:rsid w:val="009900F2"/>
    <w:rsid w:val="00990388"/>
    <w:rsid w:val="009906CF"/>
    <w:rsid w:val="00990BD2"/>
    <w:rsid w:val="00990CDC"/>
    <w:rsid w:val="0099139E"/>
    <w:rsid w:val="00992280"/>
    <w:rsid w:val="009924A6"/>
    <w:rsid w:val="00992550"/>
    <w:rsid w:val="009925B8"/>
    <w:rsid w:val="009928E6"/>
    <w:rsid w:val="00992C84"/>
    <w:rsid w:val="00992E3A"/>
    <w:rsid w:val="009931E0"/>
    <w:rsid w:val="0099343D"/>
    <w:rsid w:val="00993588"/>
    <w:rsid w:val="00993B74"/>
    <w:rsid w:val="00993C9A"/>
    <w:rsid w:val="009942F9"/>
    <w:rsid w:val="009953B0"/>
    <w:rsid w:val="00995477"/>
    <w:rsid w:val="00995846"/>
    <w:rsid w:val="0099627F"/>
    <w:rsid w:val="00996478"/>
    <w:rsid w:val="00996A1A"/>
    <w:rsid w:val="00996B91"/>
    <w:rsid w:val="00996FC3"/>
    <w:rsid w:val="009A023D"/>
    <w:rsid w:val="009A04C0"/>
    <w:rsid w:val="009A09CD"/>
    <w:rsid w:val="009A0F99"/>
    <w:rsid w:val="009A11E0"/>
    <w:rsid w:val="009A14FF"/>
    <w:rsid w:val="009A189B"/>
    <w:rsid w:val="009A1A47"/>
    <w:rsid w:val="009A39D5"/>
    <w:rsid w:val="009A4563"/>
    <w:rsid w:val="009A499F"/>
    <w:rsid w:val="009A55B8"/>
    <w:rsid w:val="009A59CE"/>
    <w:rsid w:val="009A5E35"/>
    <w:rsid w:val="009A5F34"/>
    <w:rsid w:val="009A70DE"/>
    <w:rsid w:val="009B0467"/>
    <w:rsid w:val="009B06F1"/>
    <w:rsid w:val="009B0CF9"/>
    <w:rsid w:val="009B0E62"/>
    <w:rsid w:val="009B150A"/>
    <w:rsid w:val="009B1805"/>
    <w:rsid w:val="009B202C"/>
    <w:rsid w:val="009B28C7"/>
    <w:rsid w:val="009B2CA9"/>
    <w:rsid w:val="009B3BA6"/>
    <w:rsid w:val="009B3F24"/>
    <w:rsid w:val="009B3F9A"/>
    <w:rsid w:val="009B412E"/>
    <w:rsid w:val="009B4197"/>
    <w:rsid w:val="009B43F2"/>
    <w:rsid w:val="009B4A1D"/>
    <w:rsid w:val="009B4BFD"/>
    <w:rsid w:val="009B5202"/>
    <w:rsid w:val="009B53F0"/>
    <w:rsid w:val="009B5496"/>
    <w:rsid w:val="009B55BD"/>
    <w:rsid w:val="009B5839"/>
    <w:rsid w:val="009B5A65"/>
    <w:rsid w:val="009B5A9C"/>
    <w:rsid w:val="009B60F2"/>
    <w:rsid w:val="009B669D"/>
    <w:rsid w:val="009B729F"/>
    <w:rsid w:val="009B7390"/>
    <w:rsid w:val="009B75D7"/>
    <w:rsid w:val="009B7C94"/>
    <w:rsid w:val="009B7CBC"/>
    <w:rsid w:val="009B7D6A"/>
    <w:rsid w:val="009C029C"/>
    <w:rsid w:val="009C0333"/>
    <w:rsid w:val="009C0D34"/>
    <w:rsid w:val="009C0F7A"/>
    <w:rsid w:val="009C10D1"/>
    <w:rsid w:val="009C13C7"/>
    <w:rsid w:val="009C18E2"/>
    <w:rsid w:val="009C194F"/>
    <w:rsid w:val="009C1F6B"/>
    <w:rsid w:val="009C225D"/>
    <w:rsid w:val="009C27B7"/>
    <w:rsid w:val="009C3502"/>
    <w:rsid w:val="009C3E12"/>
    <w:rsid w:val="009C4566"/>
    <w:rsid w:val="009C4720"/>
    <w:rsid w:val="009C478B"/>
    <w:rsid w:val="009C4957"/>
    <w:rsid w:val="009C4C0A"/>
    <w:rsid w:val="009C4E18"/>
    <w:rsid w:val="009C5F2E"/>
    <w:rsid w:val="009C63C5"/>
    <w:rsid w:val="009C6467"/>
    <w:rsid w:val="009C6B88"/>
    <w:rsid w:val="009C7496"/>
    <w:rsid w:val="009C7C4B"/>
    <w:rsid w:val="009C7E23"/>
    <w:rsid w:val="009D039A"/>
    <w:rsid w:val="009D05DB"/>
    <w:rsid w:val="009D074A"/>
    <w:rsid w:val="009D0851"/>
    <w:rsid w:val="009D09AF"/>
    <w:rsid w:val="009D0C9E"/>
    <w:rsid w:val="009D0EBF"/>
    <w:rsid w:val="009D19B3"/>
    <w:rsid w:val="009D2797"/>
    <w:rsid w:val="009D2F4B"/>
    <w:rsid w:val="009D3BD6"/>
    <w:rsid w:val="009D464E"/>
    <w:rsid w:val="009D4898"/>
    <w:rsid w:val="009D491F"/>
    <w:rsid w:val="009D4ABE"/>
    <w:rsid w:val="009D4DAA"/>
    <w:rsid w:val="009D5C1E"/>
    <w:rsid w:val="009D60CF"/>
    <w:rsid w:val="009D61E1"/>
    <w:rsid w:val="009D623F"/>
    <w:rsid w:val="009D63B1"/>
    <w:rsid w:val="009D675C"/>
    <w:rsid w:val="009D68FB"/>
    <w:rsid w:val="009D6D49"/>
    <w:rsid w:val="009D6ECA"/>
    <w:rsid w:val="009D6F29"/>
    <w:rsid w:val="009D7052"/>
    <w:rsid w:val="009D708D"/>
    <w:rsid w:val="009E0013"/>
    <w:rsid w:val="009E057B"/>
    <w:rsid w:val="009E05A2"/>
    <w:rsid w:val="009E068F"/>
    <w:rsid w:val="009E0692"/>
    <w:rsid w:val="009E0B9C"/>
    <w:rsid w:val="009E176F"/>
    <w:rsid w:val="009E17B9"/>
    <w:rsid w:val="009E17D1"/>
    <w:rsid w:val="009E1D03"/>
    <w:rsid w:val="009E2086"/>
    <w:rsid w:val="009E23B8"/>
    <w:rsid w:val="009E26F7"/>
    <w:rsid w:val="009E2EF5"/>
    <w:rsid w:val="009E3529"/>
    <w:rsid w:val="009E3C50"/>
    <w:rsid w:val="009E3D72"/>
    <w:rsid w:val="009E3D98"/>
    <w:rsid w:val="009E3DF2"/>
    <w:rsid w:val="009E42F8"/>
    <w:rsid w:val="009E47BB"/>
    <w:rsid w:val="009E4F3E"/>
    <w:rsid w:val="009E523C"/>
    <w:rsid w:val="009E531E"/>
    <w:rsid w:val="009E5D72"/>
    <w:rsid w:val="009E676F"/>
    <w:rsid w:val="009E6F70"/>
    <w:rsid w:val="009E7077"/>
    <w:rsid w:val="009E707F"/>
    <w:rsid w:val="009E725E"/>
    <w:rsid w:val="009E7A80"/>
    <w:rsid w:val="009F067D"/>
    <w:rsid w:val="009F1082"/>
    <w:rsid w:val="009F13E8"/>
    <w:rsid w:val="009F1482"/>
    <w:rsid w:val="009F15C8"/>
    <w:rsid w:val="009F172C"/>
    <w:rsid w:val="009F18C1"/>
    <w:rsid w:val="009F211A"/>
    <w:rsid w:val="009F2368"/>
    <w:rsid w:val="009F2870"/>
    <w:rsid w:val="009F2EB7"/>
    <w:rsid w:val="009F35C6"/>
    <w:rsid w:val="009F3E35"/>
    <w:rsid w:val="009F4041"/>
    <w:rsid w:val="009F405D"/>
    <w:rsid w:val="009F44F2"/>
    <w:rsid w:val="009F4F75"/>
    <w:rsid w:val="009F515F"/>
    <w:rsid w:val="009F565A"/>
    <w:rsid w:val="009F5C9E"/>
    <w:rsid w:val="009F5E5C"/>
    <w:rsid w:val="009F62C1"/>
    <w:rsid w:val="009F6401"/>
    <w:rsid w:val="009F6681"/>
    <w:rsid w:val="009F698A"/>
    <w:rsid w:val="009F6E6D"/>
    <w:rsid w:val="009F6F1F"/>
    <w:rsid w:val="009F75D5"/>
    <w:rsid w:val="009F77DE"/>
    <w:rsid w:val="009F7BDB"/>
    <w:rsid w:val="009F7C15"/>
    <w:rsid w:val="009F7E94"/>
    <w:rsid w:val="00A001AD"/>
    <w:rsid w:val="00A00624"/>
    <w:rsid w:val="00A017AD"/>
    <w:rsid w:val="00A01B0A"/>
    <w:rsid w:val="00A01B51"/>
    <w:rsid w:val="00A0269D"/>
    <w:rsid w:val="00A02AD0"/>
    <w:rsid w:val="00A02AF8"/>
    <w:rsid w:val="00A02B41"/>
    <w:rsid w:val="00A02FDA"/>
    <w:rsid w:val="00A03179"/>
    <w:rsid w:val="00A032C8"/>
    <w:rsid w:val="00A033F1"/>
    <w:rsid w:val="00A03581"/>
    <w:rsid w:val="00A03A00"/>
    <w:rsid w:val="00A03DBC"/>
    <w:rsid w:val="00A03DE9"/>
    <w:rsid w:val="00A03FE3"/>
    <w:rsid w:val="00A0445F"/>
    <w:rsid w:val="00A04AE0"/>
    <w:rsid w:val="00A04F88"/>
    <w:rsid w:val="00A05483"/>
    <w:rsid w:val="00A05A6C"/>
    <w:rsid w:val="00A05D47"/>
    <w:rsid w:val="00A05FBC"/>
    <w:rsid w:val="00A05FDD"/>
    <w:rsid w:val="00A063A6"/>
    <w:rsid w:val="00A06535"/>
    <w:rsid w:val="00A06D00"/>
    <w:rsid w:val="00A0730A"/>
    <w:rsid w:val="00A07323"/>
    <w:rsid w:val="00A07787"/>
    <w:rsid w:val="00A07997"/>
    <w:rsid w:val="00A10013"/>
    <w:rsid w:val="00A10257"/>
    <w:rsid w:val="00A10775"/>
    <w:rsid w:val="00A10DB7"/>
    <w:rsid w:val="00A11786"/>
    <w:rsid w:val="00A11AC2"/>
    <w:rsid w:val="00A124C9"/>
    <w:rsid w:val="00A12838"/>
    <w:rsid w:val="00A12B4A"/>
    <w:rsid w:val="00A12C13"/>
    <w:rsid w:val="00A13768"/>
    <w:rsid w:val="00A13B1D"/>
    <w:rsid w:val="00A13D5E"/>
    <w:rsid w:val="00A14637"/>
    <w:rsid w:val="00A14D83"/>
    <w:rsid w:val="00A14DBF"/>
    <w:rsid w:val="00A14EDF"/>
    <w:rsid w:val="00A14FEE"/>
    <w:rsid w:val="00A156B4"/>
    <w:rsid w:val="00A15855"/>
    <w:rsid w:val="00A15AEC"/>
    <w:rsid w:val="00A15F45"/>
    <w:rsid w:val="00A16505"/>
    <w:rsid w:val="00A16A45"/>
    <w:rsid w:val="00A16CFB"/>
    <w:rsid w:val="00A1723E"/>
    <w:rsid w:val="00A177E9"/>
    <w:rsid w:val="00A17BC9"/>
    <w:rsid w:val="00A20278"/>
    <w:rsid w:val="00A20455"/>
    <w:rsid w:val="00A20B3B"/>
    <w:rsid w:val="00A20BC1"/>
    <w:rsid w:val="00A20DDD"/>
    <w:rsid w:val="00A2158F"/>
    <w:rsid w:val="00A21613"/>
    <w:rsid w:val="00A217E7"/>
    <w:rsid w:val="00A21ED5"/>
    <w:rsid w:val="00A223ED"/>
    <w:rsid w:val="00A225F9"/>
    <w:rsid w:val="00A228DD"/>
    <w:rsid w:val="00A236D8"/>
    <w:rsid w:val="00A236E3"/>
    <w:rsid w:val="00A23A5B"/>
    <w:rsid w:val="00A23CE2"/>
    <w:rsid w:val="00A23FF5"/>
    <w:rsid w:val="00A24DEB"/>
    <w:rsid w:val="00A2520B"/>
    <w:rsid w:val="00A258C6"/>
    <w:rsid w:val="00A26956"/>
    <w:rsid w:val="00A27ED0"/>
    <w:rsid w:val="00A301E2"/>
    <w:rsid w:val="00A30986"/>
    <w:rsid w:val="00A30CD3"/>
    <w:rsid w:val="00A3106B"/>
    <w:rsid w:val="00A312DC"/>
    <w:rsid w:val="00A31715"/>
    <w:rsid w:val="00A31ACE"/>
    <w:rsid w:val="00A31AE8"/>
    <w:rsid w:val="00A31CF7"/>
    <w:rsid w:val="00A31FC3"/>
    <w:rsid w:val="00A320C3"/>
    <w:rsid w:val="00A321B1"/>
    <w:rsid w:val="00A323C1"/>
    <w:rsid w:val="00A324C3"/>
    <w:rsid w:val="00A3298C"/>
    <w:rsid w:val="00A32A10"/>
    <w:rsid w:val="00A33088"/>
    <w:rsid w:val="00A3319D"/>
    <w:rsid w:val="00A332B6"/>
    <w:rsid w:val="00A33789"/>
    <w:rsid w:val="00A33CB8"/>
    <w:rsid w:val="00A33E86"/>
    <w:rsid w:val="00A33EA5"/>
    <w:rsid w:val="00A34A0A"/>
    <w:rsid w:val="00A35017"/>
    <w:rsid w:val="00A35616"/>
    <w:rsid w:val="00A35CC9"/>
    <w:rsid w:val="00A35D33"/>
    <w:rsid w:val="00A36CF0"/>
    <w:rsid w:val="00A37684"/>
    <w:rsid w:val="00A376AD"/>
    <w:rsid w:val="00A376F8"/>
    <w:rsid w:val="00A37B30"/>
    <w:rsid w:val="00A37EA5"/>
    <w:rsid w:val="00A37EC4"/>
    <w:rsid w:val="00A404E9"/>
    <w:rsid w:val="00A406B7"/>
    <w:rsid w:val="00A407C8"/>
    <w:rsid w:val="00A40D59"/>
    <w:rsid w:val="00A40E1D"/>
    <w:rsid w:val="00A41551"/>
    <w:rsid w:val="00A41D7F"/>
    <w:rsid w:val="00A420F4"/>
    <w:rsid w:val="00A423F1"/>
    <w:rsid w:val="00A42548"/>
    <w:rsid w:val="00A425BA"/>
    <w:rsid w:val="00A42703"/>
    <w:rsid w:val="00A43648"/>
    <w:rsid w:val="00A43C51"/>
    <w:rsid w:val="00A43E87"/>
    <w:rsid w:val="00A43EE9"/>
    <w:rsid w:val="00A4403B"/>
    <w:rsid w:val="00A4411A"/>
    <w:rsid w:val="00A4478B"/>
    <w:rsid w:val="00A44819"/>
    <w:rsid w:val="00A4522C"/>
    <w:rsid w:val="00A452B1"/>
    <w:rsid w:val="00A4551D"/>
    <w:rsid w:val="00A455F3"/>
    <w:rsid w:val="00A45D1A"/>
    <w:rsid w:val="00A45E78"/>
    <w:rsid w:val="00A46CB5"/>
    <w:rsid w:val="00A47950"/>
    <w:rsid w:val="00A50401"/>
    <w:rsid w:val="00A50FBC"/>
    <w:rsid w:val="00A51BCE"/>
    <w:rsid w:val="00A51D8A"/>
    <w:rsid w:val="00A51F1B"/>
    <w:rsid w:val="00A52653"/>
    <w:rsid w:val="00A52BA4"/>
    <w:rsid w:val="00A5371B"/>
    <w:rsid w:val="00A54086"/>
    <w:rsid w:val="00A54731"/>
    <w:rsid w:val="00A54F1B"/>
    <w:rsid w:val="00A55584"/>
    <w:rsid w:val="00A557FD"/>
    <w:rsid w:val="00A55837"/>
    <w:rsid w:val="00A559E7"/>
    <w:rsid w:val="00A55D94"/>
    <w:rsid w:val="00A55FF1"/>
    <w:rsid w:val="00A5608F"/>
    <w:rsid w:val="00A5662C"/>
    <w:rsid w:val="00A56868"/>
    <w:rsid w:val="00A569B8"/>
    <w:rsid w:val="00A569E1"/>
    <w:rsid w:val="00A57175"/>
    <w:rsid w:val="00A57721"/>
    <w:rsid w:val="00A578FF"/>
    <w:rsid w:val="00A57DEB"/>
    <w:rsid w:val="00A57FD7"/>
    <w:rsid w:val="00A60268"/>
    <w:rsid w:val="00A60713"/>
    <w:rsid w:val="00A60AE7"/>
    <w:rsid w:val="00A60D69"/>
    <w:rsid w:val="00A61328"/>
    <w:rsid w:val="00A61937"/>
    <w:rsid w:val="00A6239A"/>
    <w:rsid w:val="00A6242B"/>
    <w:rsid w:val="00A62B42"/>
    <w:rsid w:val="00A62F16"/>
    <w:rsid w:val="00A63103"/>
    <w:rsid w:val="00A632F3"/>
    <w:rsid w:val="00A63C41"/>
    <w:rsid w:val="00A63F52"/>
    <w:rsid w:val="00A64302"/>
    <w:rsid w:val="00A644C8"/>
    <w:rsid w:val="00A644D8"/>
    <w:rsid w:val="00A654CC"/>
    <w:rsid w:val="00A65568"/>
    <w:rsid w:val="00A656F6"/>
    <w:rsid w:val="00A659FD"/>
    <w:rsid w:val="00A65BC4"/>
    <w:rsid w:val="00A66015"/>
    <w:rsid w:val="00A675F9"/>
    <w:rsid w:val="00A67679"/>
    <w:rsid w:val="00A70D5E"/>
    <w:rsid w:val="00A70E5D"/>
    <w:rsid w:val="00A71345"/>
    <w:rsid w:val="00A71545"/>
    <w:rsid w:val="00A717B2"/>
    <w:rsid w:val="00A71A37"/>
    <w:rsid w:val="00A7209A"/>
    <w:rsid w:val="00A72290"/>
    <w:rsid w:val="00A72690"/>
    <w:rsid w:val="00A73082"/>
    <w:rsid w:val="00A731CA"/>
    <w:rsid w:val="00A73271"/>
    <w:rsid w:val="00A73420"/>
    <w:rsid w:val="00A736B1"/>
    <w:rsid w:val="00A73B1B"/>
    <w:rsid w:val="00A73C13"/>
    <w:rsid w:val="00A73FA3"/>
    <w:rsid w:val="00A74098"/>
    <w:rsid w:val="00A741BB"/>
    <w:rsid w:val="00A74380"/>
    <w:rsid w:val="00A74406"/>
    <w:rsid w:val="00A7471D"/>
    <w:rsid w:val="00A74724"/>
    <w:rsid w:val="00A753AE"/>
    <w:rsid w:val="00A7580D"/>
    <w:rsid w:val="00A758E3"/>
    <w:rsid w:val="00A75944"/>
    <w:rsid w:val="00A75DDC"/>
    <w:rsid w:val="00A76664"/>
    <w:rsid w:val="00A76BC7"/>
    <w:rsid w:val="00A76C87"/>
    <w:rsid w:val="00A76D2A"/>
    <w:rsid w:val="00A77100"/>
    <w:rsid w:val="00A77440"/>
    <w:rsid w:val="00A77877"/>
    <w:rsid w:val="00A77A1D"/>
    <w:rsid w:val="00A77AC2"/>
    <w:rsid w:val="00A77C39"/>
    <w:rsid w:val="00A77E77"/>
    <w:rsid w:val="00A8019F"/>
    <w:rsid w:val="00A801E4"/>
    <w:rsid w:val="00A802E4"/>
    <w:rsid w:val="00A80348"/>
    <w:rsid w:val="00A8076E"/>
    <w:rsid w:val="00A808B5"/>
    <w:rsid w:val="00A80ADC"/>
    <w:rsid w:val="00A81BD3"/>
    <w:rsid w:val="00A8242B"/>
    <w:rsid w:val="00A82589"/>
    <w:rsid w:val="00A8295A"/>
    <w:rsid w:val="00A82A3C"/>
    <w:rsid w:val="00A82CEC"/>
    <w:rsid w:val="00A82D2B"/>
    <w:rsid w:val="00A83038"/>
    <w:rsid w:val="00A83171"/>
    <w:rsid w:val="00A8326D"/>
    <w:rsid w:val="00A833DF"/>
    <w:rsid w:val="00A8442A"/>
    <w:rsid w:val="00A844BB"/>
    <w:rsid w:val="00A8455B"/>
    <w:rsid w:val="00A8484E"/>
    <w:rsid w:val="00A8501B"/>
    <w:rsid w:val="00A85195"/>
    <w:rsid w:val="00A8653D"/>
    <w:rsid w:val="00A86790"/>
    <w:rsid w:val="00A872A4"/>
    <w:rsid w:val="00A873D8"/>
    <w:rsid w:val="00A87420"/>
    <w:rsid w:val="00A87555"/>
    <w:rsid w:val="00A875A3"/>
    <w:rsid w:val="00A87AC5"/>
    <w:rsid w:val="00A90FEB"/>
    <w:rsid w:val="00A91067"/>
    <w:rsid w:val="00A9112C"/>
    <w:rsid w:val="00A911A9"/>
    <w:rsid w:val="00A91D65"/>
    <w:rsid w:val="00A91F0E"/>
    <w:rsid w:val="00A921E4"/>
    <w:rsid w:val="00A92920"/>
    <w:rsid w:val="00A92B5A"/>
    <w:rsid w:val="00A92C27"/>
    <w:rsid w:val="00A93426"/>
    <w:rsid w:val="00A93995"/>
    <w:rsid w:val="00A93C22"/>
    <w:rsid w:val="00A93FC2"/>
    <w:rsid w:val="00A9430A"/>
    <w:rsid w:val="00A94CA3"/>
    <w:rsid w:val="00A951FE"/>
    <w:rsid w:val="00A9529E"/>
    <w:rsid w:val="00A95487"/>
    <w:rsid w:val="00A9571D"/>
    <w:rsid w:val="00A95B12"/>
    <w:rsid w:val="00A961C7"/>
    <w:rsid w:val="00A9632B"/>
    <w:rsid w:val="00A964CA"/>
    <w:rsid w:val="00A9673C"/>
    <w:rsid w:val="00A96B47"/>
    <w:rsid w:val="00A96EC5"/>
    <w:rsid w:val="00A979AA"/>
    <w:rsid w:val="00A979AE"/>
    <w:rsid w:val="00A979E7"/>
    <w:rsid w:val="00A97DE6"/>
    <w:rsid w:val="00AA009F"/>
    <w:rsid w:val="00AA03E3"/>
    <w:rsid w:val="00AA0734"/>
    <w:rsid w:val="00AA0B66"/>
    <w:rsid w:val="00AA0B74"/>
    <w:rsid w:val="00AA11BE"/>
    <w:rsid w:val="00AA1468"/>
    <w:rsid w:val="00AA150E"/>
    <w:rsid w:val="00AA1D69"/>
    <w:rsid w:val="00AA1E28"/>
    <w:rsid w:val="00AA23ED"/>
    <w:rsid w:val="00AA275C"/>
    <w:rsid w:val="00AA2A4F"/>
    <w:rsid w:val="00AA2CAE"/>
    <w:rsid w:val="00AA2F73"/>
    <w:rsid w:val="00AA4050"/>
    <w:rsid w:val="00AA43FB"/>
    <w:rsid w:val="00AA46FD"/>
    <w:rsid w:val="00AA4C7E"/>
    <w:rsid w:val="00AA59C5"/>
    <w:rsid w:val="00AA59FB"/>
    <w:rsid w:val="00AA5F03"/>
    <w:rsid w:val="00AA6321"/>
    <w:rsid w:val="00AA6BFE"/>
    <w:rsid w:val="00AA6F8E"/>
    <w:rsid w:val="00AA709A"/>
    <w:rsid w:val="00AA7C03"/>
    <w:rsid w:val="00AB02D2"/>
    <w:rsid w:val="00AB160F"/>
    <w:rsid w:val="00AB1CB3"/>
    <w:rsid w:val="00AB1D0C"/>
    <w:rsid w:val="00AB2D5E"/>
    <w:rsid w:val="00AB2F93"/>
    <w:rsid w:val="00AB30C3"/>
    <w:rsid w:val="00AB33FA"/>
    <w:rsid w:val="00AB3490"/>
    <w:rsid w:val="00AB3944"/>
    <w:rsid w:val="00AB39B8"/>
    <w:rsid w:val="00AB3B8B"/>
    <w:rsid w:val="00AB409E"/>
    <w:rsid w:val="00AB45DD"/>
    <w:rsid w:val="00AB4A85"/>
    <w:rsid w:val="00AB4FDB"/>
    <w:rsid w:val="00AB500D"/>
    <w:rsid w:val="00AB5294"/>
    <w:rsid w:val="00AB5A79"/>
    <w:rsid w:val="00AB5C03"/>
    <w:rsid w:val="00AB6104"/>
    <w:rsid w:val="00AB62C4"/>
    <w:rsid w:val="00AB66D6"/>
    <w:rsid w:val="00AB6B6C"/>
    <w:rsid w:val="00AB6EBF"/>
    <w:rsid w:val="00AB7050"/>
    <w:rsid w:val="00AB7185"/>
    <w:rsid w:val="00AB7240"/>
    <w:rsid w:val="00AB775A"/>
    <w:rsid w:val="00AB7D05"/>
    <w:rsid w:val="00AC0BA6"/>
    <w:rsid w:val="00AC0C91"/>
    <w:rsid w:val="00AC1084"/>
    <w:rsid w:val="00AC188C"/>
    <w:rsid w:val="00AC26AB"/>
    <w:rsid w:val="00AC324E"/>
    <w:rsid w:val="00AC3D08"/>
    <w:rsid w:val="00AC4535"/>
    <w:rsid w:val="00AC45F1"/>
    <w:rsid w:val="00AC4DE0"/>
    <w:rsid w:val="00AC4E0B"/>
    <w:rsid w:val="00AC5BAD"/>
    <w:rsid w:val="00AC65B3"/>
    <w:rsid w:val="00AC6B2C"/>
    <w:rsid w:val="00AC74D2"/>
    <w:rsid w:val="00AC775F"/>
    <w:rsid w:val="00AD064E"/>
    <w:rsid w:val="00AD0799"/>
    <w:rsid w:val="00AD0A6E"/>
    <w:rsid w:val="00AD1598"/>
    <w:rsid w:val="00AD195A"/>
    <w:rsid w:val="00AD1B37"/>
    <w:rsid w:val="00AD1DA1"/>
    <w:rsid w:val="00AD243E"/>
    <w:rsid w:val="00AD2AD3"/>
    <w:rsid w:val="00AD2E1F"/>
    <w:rsid w:val="00AD44DD"/>
    <w:rsid w:val="00AD462D"/>
    <w:rsid w:val="00AD4879"/>
    <w:rsid w:val="00AD4C4B"/>
    <w:rsid w:val="00AD5424"/>
    <w:rsid w:val="00AD54CD"/>
    <w:rsid w:val="00AD55A5"/>
    <w:rsid w:val="00AD56C7"/>
    <w:rsid w:val="00AD59C6"/>
    <w:rsid w:val="00AD5DAB"/>
    <w:rsid w:val="00AD606E"/>
    <w:rsid w:val="00AD6191"/>
    <w:rsid w:val="00AD6245"/>
    <w:rsid w:val="00AD62E4"/>
    <w:rsid w:val="00AD6641"/>
    <w:rsid w:val="00AD7278"/>
    <w:rsid w:val="00AD7612"/>
    <w:rsid w:val="00AD7BFE"/>
    <w:rsid w:val="00AD7D6A"/>
    <w:rsid w:val="00AD7E46"/>
    <w:rsid w:val="00AE04E1"/>
    <w:rsid w:val="00AE117E"/>
    <w:rsid w:val="00AE11F0"/>
    <w:rsid w:val="00AE15D2"/>
    <w:rsid w:val="00AE1D4C"/>
    <w:rsid w:val="00AE2B1A"/>
    <w:rsid w:val="00AE301D"/>
    <w:rsid w:val="00AE3091"/>
    <w:rsid w:val="00AE31A4"/>
    <w:rsid w:val="00AE36E4"/>
    <w:rsid w:val="00AE45AB"/>
    <w:rsid w:val="00AE45BB"/>
    <w:rsid w:val="00AE555D"/>
    <w:rsid w:val="00AE6582"/>
    <w:rsid w:val="00AE68F7"/>
    <w:rsid w:val="00AE6DE6"/>
    <w:rsid w:val="00AE6E37"/>
    <w:rsid w:val="00AE7032"/>
    <w:rsid w:val="00AE768E"/>
    <w:rsid w:val="00AE76C7"/>
    <w:rsid w:val="00AE77BC"/>
    <w:rsid w:val="00AE77E3"/>
    <w:rsid w:val="00AE7EBC"/>
    <w:rsid w:val="00AF0682"/>
    <w:rsid w:val="00AF0702"/>
    <w:rsid w:val="00AF21BF"/>
    <w:rsid w:val="00AF2B62"/>
    <w:rsid w:val="00AF383F"/>
    <w:rsid w:val="00AF43E5"/>
    <w:rsid w:val="00AF4505"/>
    <w:rsid w:val="00AF4579"/>
    <w:rsid w:val="00AF52CB"/>
    <w:rsid w:val="00AF5960"/>
    <w:rsid w:val="00AF5EEC"/>
    <w:rsid w:val="00AF71BF"/>
    <w:rsid w:val="00AF73DD"/>
    <w:rsid w:val="00AF7800"/>
    <w:rsid w:val="00AF78F0"/>
    <w:rsid w:val="00AF7A85"/>
    <w:rsid w:val="00AF7DE2"/>
    <w:rsid w:val="00B001B1"/>
    <w:rsid w:val="00B003E7"/>
    <w:rsid w:val="00B0086B"/>
    <w:rsid w:val="00B00E23"/>
    <w:rsid w:val="00B0111E"/>
    <w:rsid w:val="00B01911"/>
    <w:rsid w:val="00B01EC4"/>
    <w:rsid w:val="00B02AD3"/>
    <w:rsid w:val="00B02EF4"/>
    <w:rsid w:val="00B03069"/>
    <w:rsid w:val="00B033BE"/>
    <w:rsid w:val="00B033E5"/>
    <w:rsid w:val="00B0398D"/>
    <w:rsid w:val="00B03F9B"/>
    <w:rsid w:val="00B0458F"/>
    <w:rsid w:val="00B046BF"/>
    <w:rsid w:val="00B04730"/>
    <w:rsid w:val="00B04F04"/>
    <w:rsid w:val="00B05011"/>
    <w:rsid w:val="00B05490"/>
    <w:rsid w:val="00B057AF"/>
    <w:rsid w:val="00B0599A"/>
    <w:rsid w:val="00B05A60"/>
    <w:rsid w:val="00B05BFF"/>
    <w:rsid w:val="00B06510"/>
    <w:rsid w:val="00B066FD"/>
    <w:rsid w:val="00B06AB0"/>
    <w:rsid w:val="00B06D93"/>
    <w:rsid w:val="00B0712B"/>
    <w:rsid w:val="00B07616"/>
    <w:rsid w:val="00B077E8"/>
    <w:rsid w:val="00B107D0"/>
    <w:rsid w:val="00B10828"/>
    <w:rsid w:val="00B109EC"/>
    <w:rsid w:val="00B10CC0"/>
    <w:rsid w:val="00B11262"/>
    <w:rsid w:val="00B11515"/>
    <w:rsid w:val="00B11E1D"/>
    <w:rsid w:val="00B11FA9"/>
    <w:rsid w:val="00B122FB"/>
    <w:rsid w:val="00B122FE"/>
    <w:rsid w:val="00B12753"/>
    <w:rsid w:val="00B12D99"/>
    <w:rsid w:val="00B12EA6"/>
    <w:rsid w:val="00B137C1"/>
    <w:rsid w:val="00B139EF"/>
    <w:rsid w:val="00B13F49"/>
    <w:rsid w:val="00B13F9A"/>
    <w:rsid w:val="00B142AB"/>
    <w:rsid w:val="00B14A5F"/>
    <w:rsid w:val="00B14C9C"/>
    <w:rsid w:val="00B14E27"/>
    <w:rsid w:val="00B15A01"/>
    <w:rsid w:val="00B15BCF"/>
    <w:rsid w:val="00B15D1B"/>
    <w:rsid w:val="00B16024"/>
    <w:rsid w:val="00B16BEA"/>
    <w:rsid w:val="00B172C7"/>
    <w:rsid w:val="00B173BD"/>
    <w:rsid w:val="00B177C6"/>
    <w:rsid w:val="00B203AC"/>
    <w:rsid w:val="00B203B1"/>
    <w:rsid w:val="00B2041F"/>
    <w:rsid w:val="00B213CB"/>
    <w:rsid w:val="00B217CB"/>
    <w:rsid w:val="00B21D1A"/>
    <w:rsid w:val="00B21D65"/>
    <w:rsid w:val="00B2309E"/>
    <w:rsid w:val="00B23132"/>
    <w:rsid w:val="00B2340D"/>
    <w:rsid w:val="00B2412B"/>
    <w:rsid w:val="00B24CC1"/>
    <w:rsid w:val="00B24EE6"/>
    <w:rsid w:val="00B24FC7"/>
    <w:rsid w:val="00B25293"/>
    <w:rsid w:val="00B256DE"/>
    <w:rsid w:val="00B25774"/>
    <w:rsid w:val="00B25A5D"/>
    <w:rsid w:val="00B26405"/>
    <w:rsid w:val="00B265A0"/>
    <w:rsid w:val="00B2695E"/>
    <w:rsid w:val="00B269B8"/>
    <w:rsid w:val="00B26E32"/>
    <w:rsid w:val="00B30BD8"/>
    <w:rsid w:val="00B30E2D"/>
    <w:rsid w:val="00B31386"/>
    <w:rsid w:val="00B31DCC"/>
    <w:rsid w:val="00B31DFB"/>
    <w:rsid w:val="00B3209A"/>
    <w:rsid w:val="00B32436"/>
    <w:rsid w:val="00B32D63"/>
    <w:rsid w:val="00B32DA9"/>
    <w:rsid w:val="00B32DAD"/>
    <w:rsid w:val="00B33114"/>
    <w:rsid w:val="00B33648"/>
    <w:rsid w:val="00B337C7"/>
    <w:rsid w:val="00B33900"/>
    <w:rsid w:val="00B33AB6"/>
    <w:rsid w:val="00B33B18"/>
    <w:rsid w:val="00B33CAD"/>
    <w:rsid w:val="00B343CF"/>
    <w:rsid w:val="00B347CE"/>
    <w:rsid w:val="00B359E0"/>
    <w:rsid w:val="00B35B31"/>
    <w:rsid w:val="00B35F16"/>
    <w:rsid w:val="00B36284"/>
    <w:rsid w:val="00B3642C"/>
    <w:rsid w:val="00B36877"/>
    <w:rsid w:val="00B370E3"/>
    <w:rsid w:val="00B3797F"/>
    <w:rsid w:val="00B3799E"/>
    <w:rsid w:val="00B40162"/>
    <w:rsid w:val="00B403B9"/>
    <w:rsid w:val="00B410A7"/>
    <w:rsid w:val="00B413EA"/>
    <w:rsid w:val="00B4176C"/>
    <w:rsid w:val="00B4186F"/>
    <w:rsid w:val="00B41904"/>
    <w:rsid w:val="00B4193A"/>
    <w:rsid w:val="00B427B1"/>
    <w:rsid w:val="00B42FAF"/>
    <w:rsid w:val="00B433FA"/>
    <w:rsid w:val="00B436CC"/>
    <w:rsid w:val="00B43A2F"/>
    <w:rsid w:val="00B43A48"/>
    <w:rsid w:val="00B43F7D"/>
    <w:rsid w:val="00B44745"/>
    <w:rsid w:val="00B4522C"/>
    <w:rsid w:val="00B45A74"/>
    <w:rsid w:val="00B462FE"/>
    <w:rsid w:val="00B466F9"/>
    <w:rsid w:val="00B46BFC"/>
    <w:rsid w:val="00B504AA"/>
    <w:rsid w:val="00B50834"/>
    <w:rsid w:val="00B5084B"/>
    <w:rsid w:val="00B50C75"/>
    <w:rsid w:val="00B516EA"/>
    <w:rsid w:val="00B52273"/>
    <w:rsid w:val="00B52AC9"/>
    <w:rsid w:val="00B5362A"/>
    <w:rsid w:val="00B53A54"/>
    <w:rsid w:val="00B53B5B"/>
    <w:rsid w:val="00B53C98"/>
    <w:rsid w:val="00B53CBB"/>
    <w:rsid w:val="00B53DE1"/>
    <w:rsid w:val="00B53F4C"/>
    <w:rsid w:val="00B54071"/>
    <w:rsid w:val="00B545A1"/>
    <w:rsid w:val="00B5473E"/>
    <w:rsid w:val="00B55268"/>
    <w:rsid w:val="00B554CE"/>
    <w:rsid w:val="00B55ABB"/>
    <w:rsid w:val="00B55CA8"/>
    <w:rsid w:val="00B55FAF"/>
    <w:rsid w:val="00B56414"/>
    <w:rsid w:val="00B57F22"/>
    <w:rsid w:val="00B60B72"/>
    <w:rsid w:val="00B60EBA"/>
    <w:rsid w:val="00B60EE9"/>
    <w:rsid w:val="00B61937"/>
    <w:rsid w:val="00B6198E"/>
    <w:rsid w:val="00B61C70"/>
    <w:rsid w:val="00B61CAE"/>
    <w:rsid w:val="00B61F30"/>
    <w:rsid w:val="00B621BB"/>
    <w:rsid w:val="00B62298"/>
    <w:rsid w:val="00B62705"/>
    <w:rsid w:val="00B63741"/>
    <w:rsid w:val="00B63BEC"/>
    <w:rsid w:val="00B63BF5"/>
    <w:rsid w:val="00B63E7B"/>
    <w:rsid w:val="00B63EEA"/>
    <w:rsid w:val="00B6446C"/>
    <w:rsid w:val="00B645E0"/>
    <w:rsid w:val="00B649F7"/>
    <w:rsid w:val="00B64E33"/>
    <w:rsid w:val="00B64F1E"/>
    <w:rsid w:val="00B656E6"/>
    <w:rsid w:val="00B65710"/>
    <w:rsid w:val="00B659C9"/>
    <w:rsid w:val="00B65BFD"/>
    <w:rsid w:val="00B65CA1"/>
    <w:rsid w:val="00B65DA5"/>
    <w:rsid w:val="00B6619B"/>
    <w:rsid w:val="00B66316"/>
    <w:rsid w:val="00B67125"/>
    <w:rsid w:val="00B67408"/>
    <w:rsid w:val="00B67A9A"/>
    <w:rsid w:val="00B67EEA"/>
    <w:rsid w:val="00B702FE"/>
    <w:rsid w:val="00B70709"/>
    <w:rsid w:val="00B707B5"/>
    <w:rsid w:val="00B70A79"/>
    <w:rsid w:val="00B71044"/>
    <w:rsid w:val="00B71C9D"/>
    <w:rsid w:val="00B71DE5"/>
    <w:rsid w:val="00B7203A"/>
    <w:rsid w:val="00B7296D"/>
    <w:rsid w:val="00B72D92"/>
    <w:rsid w:val="00B73996"/>
    <w:rsid w:val="00B73E43"/>
    <w:rsid w:val="00B74796"/>
    <w:rsid w:val="00B74A22"/>
    <w:rsid w:val="00B750BB"/>
    <w:rsid w:val="00B7522B"/>
    <w:rsid w:val="00B7581C"/>
    <w:rsid w:val="00B75D5E"/>
    <w:rsid w:val="00B75FA6"/>
    <w:rsid w:val="00B7619B"/>
    <w:rsid w:val="00B76578"/>
    <w:rsid w:val="00B76645"/>
    <w:rsid w:val="00B76B01"/>
    <w:rsid w:val="00B76F36"/>
    <w:rsid w:val="00B76FB5"/>
    <w:rsid w:val="00B77837"/>
    <w:rsid w:val="00B802F0"/>
    <w:rsid w:val="00B8085A"/>
    <w:rsid w:val="00B80C35"/>
    <w:rsid w:val="00B80D37"/>
    <w:rsid w:val="00B80FE3"/>
    <w:rsid w:val="00B8130F"/>
    <w:rsid w:val="00B813F2"/>
    <w:rsid w:val="00B815C7"/>
    <w:rsid w:val="00B81801"/>
    <w:rsid w:val="00B81A8B"/>
    <w:rsid w:val="00B81EC8"/>
    <w:rsid w:val="00B82606"/>
    <w:rsid w:val="00B82620"/>
    <w:rsid w:val="00B82689"/>
    <w:rsid w:val="00B829A2"/>
    <w:rsid w:val="00B82FF6"/>
    <w:rsid w:val="00B835A8"/>
    <w:rsid w:val="00B83676"/>
    <w:rsid w:val="00B837B7"/>
    <w:rsid w:val="00B83BB9"/>
    <w:rsid w:val="00B847FB"/>
    <w:rsid w:val="00B84907"/>
    <w:rsid w:val="00B84ED7"/>
    <w:rsid w:val="00B84F4C"/>
    <w:rsid w:val="00B8501B"/>
    <w:rsid w:val="00B8507B"/>
    <w:rsid w:val="00B85E2F"/>
    <w:rsid w:val="00B86F9E"/>
    <w:rsid w:val="00B8763C"/>
    <w:rsid w:val="00B87E9D"/>
    <w:rsid w:val="00B87F20"/>
    <w:rsid w:val="00B9026E"/>
    <w:rsid w:val="00B902EC"/>
    <w:rsid w:val="00B90327"/>
    <w:rsid w:val="00B90364"/>
    <w:rsid w:val="00B9038A"/>
    <w:rsid w:val="00B904F3"/>
    <w:rsid w:val="00B90719"/>
    <w:rsid w:val="00B908FB"/>
    <w:rsid w:val="00B90ABB"/>
    <w:rsid w:val="00B90B13"/>
    <w:rsid w:val="00B912D1"/>
    <w:rsid w:val="00B91706"/>
    <w:rsid w:val="00B917E6"/>
    <w:rsid w:val="00B91AA3"/>
    <w:rsid w:val="00B92DE0"/>
    <w:rsid w:val="00B93135"/>
    <w:rsid w:val="00B932CE"/>
    <w:rsid w:val="00B9354F"/>
    <w:rsid w:val="00B936CD"/>
    <w:rsid w:val="00B939A0"/>
    <w:rsid w:val="00B93C9E"/>
    <w:rsid w:val="00B93CE7"/>
    <w:rsid w:val="00B93EBA"/>
    <w:rsid w:val="00B9456D"/>
    <w:rsid w:val="00B960C6"/>
    <w:rsid w:val="00B9679E"/>
    <w:rsid w:val="00B977CE"/>
    <w:rsid w:val="00B97BFA"/>
    <w:rsid w:val="00BA03B6"/>
    <w:rsid w:val="00BA0CD7"/>
    <w:rsid w:val="00BA1911"/>
    <w:rsid w:val="00BA1BB1"/>
    <w:rsid w:val="00BA202E"/>
    <w:rsid w:val="00BA2717"/>
    <w:rsid w:val="00BA280D"/>
    <w:rsid w:val="00BA2EFA"/>
    <w:rsid w:val="00BA3E7D"/>
    <w:rsid w:val="00BA3E87"/>
    <w:rsid w:val="00BA42F6"/>
    <w:rsid w:val="00BA43F1"/>
    <w:rsid w:val="00BA449F"/>
    <w:rsid w:val="00BA4546"/>
    <w:rsid w:val="00BA4866"/>
    <w:rsid w:val="00BA4B07"/>
    <w:rsid w:val="00BA4CE2"/>
    <w:rsid w:val="00BA559D"/>
    <w:rsid w:val="00BA563F"/>
    <w:rsid w:val="00BA56BF"/>
    <w:rsid w:val="00BA58C6"/>
    <w:rsid w:val="00BA5B36"/>
    <w:rsid w:val="00BA618E"/>
    <w:rsid w:val="00BA6821"/>
    <w:rsid w:val="00BA68A7"/>
    <w:rsid w:val="00BA6DEF"/>
    <w:rsid w:val="00BA6FBB"/>
    <w:rsid w:val="00BA7528"/>
    <w:rsid w:val="00BA7CB0"/>
    <w:rsid w:val="00BB02A5"/>
    <w:rsid w:val="00BB0337"/>
    <w:rsid w:val="00BB03D2"/>
    <w:rsid w:val="00BB0478"/>
    <w:rsid w:val="00BB0492"/>
    <w:rsid w:val="00BB064C"/>
    <w:rsid w:val="00BB0921"/>
    <w:rsid w:val="00BB0952"/>
    <w:rsid w:val="00BB0E0A"/>
    <w:rsid w:val="00BB148E"/>
    <w:rsid w:val="00BB168C"/>
    <w:rsid w:val="00BB1B04"/>
    <w:rsid w:val="00BB2303"/>
    <w:rsid w:val="00BB2A71"/>
    <w:rsid w:val="00BB2BC9"/>
    <w:rsid w:val="00BB2E1E"/>
    <w:rsid w:val="00BB2E70"/>
    <w:rsid w:val="00BB32DD"/>
    <w:rsid w:val="00BB3ABD"/>
    <w:rsid w:val="00BB3D72"/>
    <w:rsid w:val="00BB3D8A"/>
    <w:rsid w:val="00BB3FFA"/>
    <w:rsid w:val="00BB4241"/>
    <w:rsid w:val="00BB442F"/>
    <w:rsid w:val="00BB4D2C"/>
    <w:rsid w:val="00BB4D2D"/>
    <w:rsid w:val="00BB4DC5"/>
    <w:rsid w:val="00BB5FED"/>
    <w:rsid w:val="00BB637B"/>
    <w:rsid w:val="00BB71DF"/>
    <w:rsid w:val="00BB7657"/>
    <w:rsid w:val="00BB7AFE"/>
    <w:rsid w:val="00BC01E4"/>
    <w:rsid w:val="00BC02D0"/>
    <w:rsid w:val="00BC0357"/>
    <w:rsid w:val="00BC05C8"/>
    <w:rsid w:val="00BC0672"/>
    <w:rsid w:val="00BC075F"/>
    <w:rsid w:val="00BC0798"/>
    <w:rsid w:val="00BC0808"/>
    <w:rsid w:val="00BC0D04"/>
    <w:rsid w:val="00BC1582"/>
    <w:rsid w:val="00BC1BA0"/>
    <w:rsid w:val="00BC252A"/>
    <w:rsid w:val="00BC2820"/>
    <w:rsid w:val="00BC28B1"/>
    <w:rsid w:val="00BC28CB"/>
    <w:rsid w:val="00BC35C2"/>
    <w:rsid w:val="00BC363D"/>
    <w:rsid w:val="00BC3C99"/>
    <w:rsid w:val="00BC3E52"/>
    <w:rsid w:val="00BC4B31"/>
    <w:rsid w:val="00BC5DE5"/>
    <w:rsid w:val="00BC5F4B"/>
    <w:rsid w:val="00BC65CD"/>
    <w:rsid w:val="00BC6769"/>
    <w:rsid w:val="00BC6AE4"/>
    <w:rsid w:val="00BC7145"/>
    <w:rsid w:val="00BC74C6"/>
    <w:rsid w:val="00BC762C"/>
    <w:rsid w:val="00BC7E9F"/>
    <w:rsid w:val="00BD0362"/>
    <w:rsid w:val="00BD0456"/>
    <w:rsid w:val="00BD0582"/>
    <w:rsid w:val="00BD165C"/>
    <w:rsid w:val="00BD1791"/>
    <w:rsid w:val="00BD17A7"/>
    <w:rsid w:val="00BD1991"/>
    <w:rsid w:val="00BD2306"/>
    <w:rsid w:val="00BD23ED"/>
    <w:rsid w:val="00BD3041"/>
    <w:rsid w:val="00BD34C5"/>
    <w:rsid w:val="00BD3507"/>
    <w:rsid w:val="00BD391A"/>
    <w:rsid w:val="00BD3A3F"/>
    <w:rsid w:val="00BD3AA7"/>
    <w:rsid w:val="00BD3F82"/>
    <w:rsid w:val="00BD442A"/>
    <w:rsid w:val="00BD488D"/>
    <w:rsid w:val="00BD4A0F"/>
    <w:rsid w:val="00BD4AE7"/>
    <w:rsid w:val="00BD4DDC"/>
    <w:rsid w:val="00BD4FF6"/>
    <w:rsid w:val="00BD51E8"/>
    <w:rsid w:val="00BD5760"/>
    <w:rsid w:val="00BD5C50"/>
    <w:rsid w:val="00BD5DC6"/>
    <w:rsid w:val="00BD6117"/>
    <w:rsid w:val="00BD6FB2"/>
    <w:rsid w:val="00BD7740"/>
    <w:rsid w:val="00BD790E"/>
    <w:rsid w:val="00BE0497"/>
    <w:rsid w:val="00BE069C"/>
    <w:rsid w:val="00BE0B52"/>
    <w:rsid w:val="00BE0BC9"/>
    <w:rsid w:val="00BE10EC"/>
    <w:rsid w:val="00BE12EC"/>
    <w:rsid w:val="00BE1F14"/>
    <w:rsid w:val="00BE1F64"/>
    <w:rsid w:val="00BE2434"/>
    <w:rsid w:val="00BE24DB"/>
    <w:rsid w:val="00BE2FC2"/>
    <w:rsid w:val="00BE33DA"/>
    <w:rsid w:val="00BE37ED"/>
    <w:rsid w:val="00BE38B3"/>
    <w:rsid w:val="00BE3ACE"/>
    <w:rsid w:val="00BE3F03"/>
    <w:rsid w:val="00BE4050"/>
    <w:rsid w:val="00BE40D4"/>
    <w:rsid w:val="00BE4547"/>
    <w:rsid w:val="00BE4AA3"/>
    <w:rsid w:val="00BE50E8"/>
    <w:rsid w:val="00BE5586"/>
    <w:rsid w:val="00BE56FF"/>
    <w:rsid w:val="00BE5867"/>
    <w:rsid w:val="00BE58A3"/>
    <w:rsid w:val="00BE5BCF"/>
    <w:rsid w:val="00BE65D5"/>
    <w:rsid w:val="00BE67D6"/>
    <w:rsid w:val="00BE6BFE"/>
    <w:rsid w:val="00BE6F64"/>
    <w:rsid w:val="00BE6FCB"/>
    <w:rsid w:val="00BE780C"/>
    <w:rsid w:val="00BE7851"/>
    <w:rsid w:val="00BE78D6"/>
    <w:rsid w:val="00BF0454"/>
    <w:rsid w:val="00BF065B"/>
    <w:rsid w:val="00BF076A"/>
    <w:rsid w:val="00BF0881"/>
    <w:rsid w:val="00BF103F"/>
    <w:rsid w:val="00BF17C5"/>
    <w:rsid w:val="00BF2018"/>
    <w:rsid w:val="00BF206D"/>
    <w:rsid w:val="00BF2106"/>
    <w:rsid w:val="00BF2724"/>
    <w:rsid w:val="00BF2F36"/>
    <w:rsid w:val="00BF3224"/>
    <w:rsid w:val="00BF3525"/>
    <w:rsid w:val="00BF3865"/>
    <w:rsid w:val="00BF3AEC"/>
    <w:rsid w:val="00BF40E1"/>
    <w:rsid w:val="00BF41C6"/>
    <w:rsid w:val="00BF458A"/>
    <w:rsid w:val="00BF46FB"/>
    <w:rsid w:val="00BF4A26"/>
    <w:rsid w:val="00BF5146"/>
    <w:rsid w:val="00BF5294"/>
    <w:rsid w:val="00BF5521"/>
    <w:rsid w:val="00BF580E"/>
    <w:rsid w:val="00BF5ED4"/>
    <w:rsid w:val="00BF702A"/>
    <w:rsid w:val="00BF75E0"/>
    <w:rsid w:val="00BF772E"/>
    <w:rsid w:val="00BF7C4C"/>
    <w:rsid w:val="00C000A3"/>
    <w:rsid w:val="00C001F5"/>
    <w:rsid w:val="00C004F9"/>
    <w:rsid w:val="00C00907"/>
    <w:rsid w:val="00C00E3D"/>
    <w:rsid w:val="00C014B0"/>
    <w:rsid w:val="00C0191D"/>
    <w:rsid w:val="00C0196D"/>
    <w:rsid w:val="00C01BA4"/>
    <w:rsid w:val="00C01E09"/>
    <w:rsid w:val="00C01EA3"/>
    <w:rsid w:val="00C02277"/>
    <w:rsid w:val="00C023C6"/>
    <w:rsid w:val="00C029C4"/>
    <w:rsid w:val="00C02AAA"/>
    <w:rsid w:val="00C03101"/>
    <w:rsid w:val="00C031E0"/>
    <w:rsid w:val="00C032B6"/>
    <w:rsid w:val="00C0353C"/>
    <w:rsid w:val="00C0368A"/>
    <w:rsid w:val="00C03E80"/>
    <w:rsid w:val="00C044DA"/>
    <w:rsid w:val="00C0497C"/>
    <w:rsid w:val="00C04BF7"/>
    <w:rsid w:val="00C04F9F"/>
    <w:rsid w:val="00C05266"/>
    <w:rsid w:val="00C05AC1"/>
    <w:rsid w:val="00C05C0C"/>
    <w:rsid w:val="00C05CC6"/>
    <w:rsid w:val="00C05DD6"/>
    <w:rsid w:val="00C05DE8"/>
    <w:rsid w:val="00C06245"/>
    <w:rsid w:val="00C06566"/>
    <w:rsid w:val="00C06682"/>
    <w:rsid w:val="00C06878"/>
    <w:rsid w:val="00C06C3E"/>
    <w:rsid w:val="00C07C8E"/>
    <w:rsid w:val="00C10263"/>
    <w:rsid w:val="00C10560"/>
    <w:rsid w:val="00C10BCF"/>
    <w:rsid w:val="00C10D55"/>
    <w:rsid w:val="00C10D88"/>
    <w:rsid w:val="00C10EA8"/>
    <w:rsid w:val="00C1114D"/>
    <w:rsid w:val="00C11548"/>
    <w:rsid w:val="00C11757"/>
    <w:rsid w:val="00C11818"/>
    <w:rsid w:val="00C11A8E"/>
    <w:rsid w:val="00C11B29"/>
    <w:rsid w:val="00C11E77"/>
    <w:rsid w:val="00C134A1"/>
    <w:rsid w:val="00C1393F"/>
    <w:rsid w:val="00C13D47"/>
    <w:rsid w:val="00C13F76"/>
    <w:rsid w:val="00C14075"/>
    <w:rsid w:val="00C14CA6"/>
    <w:rsid w:val="00C150FF"/>
    <w:rsid w:val="00C1510E"/>
    <w:rsid w:val="00C15250"/>
    <w:rsid w:val="00C156D0"/>
    <w:rsid w:val="00C15A9E"/>
    <w:rsid w:val="00C15D6F"/>
    <w:rsid w:val="00C15E2B"/>
    <w:rsid w:val="00C162E9"/>
    <w:rsid w:val="00C1705C"/>
    <w:rsid w:val="00C175AE"/>
    <w:rsid w:val="00C17D60"/>
    <w:rsid w:val="00C17DD4"/>
    <w:rsid w:val="00C17F64"/>
    <w:rsid w:val="00C20018"/>
    <w:rsid w:val="00C206A5"/>
    <w:rsid w:val="00C20716"/>
    <w:rsid w:val="00C208C5"/>
    <w:rsid w:val="00C212D1"/>
    <w:rsid w:val="00C21914"/>
    <w:rsid w:val="00C22565"/>
    <w:rsid w:val="00C226CC"/>
    <w:rsid w:val="00C22C1F"/>
    <w:rsid w:val="00C2342D"/>
    <w:rsid w:val="00C23C9F"/>
    <w:rsid w:val="00C2472B"/>
    <w:rsid w:val="00C2499E"/>
    <w:rsid w:val="00C249A9"/>
    <w:rsid w:val="00C249FE"/>
    <w:rsid w:val="00C24A04"/>
    <w:rsid w:val="00C24ABC"/>
    <w:rsid w:val="00C24C99"/>
    <w:rsid w:val="00C24EDA"/>
    <w:rsid w:val="00C24F49"/>
    <w:rsid w:val="00C25275"/>
    <w:rsid w:val="00C253B7"/>
    <w:rsid w:val="00C25652"/>
    <w:rsid w:val="00C25F66"/>
    <w:rsid w:val="00C25F6C"/>
    <w:rsid w:val="00C2639D"/>
    <w:rsid w:val="00C2709B"/>
    <w:rsid w:val="00C2788C"/>
    <w:rsid w:val="00C27A89"/>
    <w:rsid w:val="00C27BEA"/>
    <w:rsid w:val="00C30658"/>
    <w:rsid w:val="00C31A95"/>
    <w:rsid w:val="00C32046"/>
    <w:rsid w:val="00C3222C"/>
    <w:rsid w:val="00C3261D"/>
    <w:rsid w:val="00C32876"/>
    <w:rsid w:val="00C328DE"/>
    <w:rsid w:val="00C32C80"/>
    <w:rsid w:val="00C3327D"/>
    <w:rsid w:val="00C33327"/>
    <w:rsid w:val="00C334C0"/>
    <w:rsid w:val="00C33537"/>
    <w:rsid w:val="00C3386E"/>
    <w:rsid w:val="00C33918"/>
    <w:rsid w:val="00C341C1"/>
    <w:rsid w:val="00C342E2"/>
    <w:rsid w:val="00C34520"/>
    <w:rsid w:val="00C3476A"/>
    <w:rsid w:val="00C34B34"/>
    <w:rsid w:val="00C3542F"/>
    <w:rsid w:val="00C358D4"/>
    <w:rsid w:val="00C35FDC"/>
    <w:rsid w:val="00C3673A"/>
    <w:rsid w:val="00C372C4"/>
    <w:rsid w:val="00C37AAD"/>
    <w:rsid w:val="00C37D8E"/>
    <w:rsid w:val="00C4032C"/>
    <w:rsid w:val="00C405B6"/>
    <w:rsid w:val="00C40D59"/>
    <w:rsid w:val="00C4186E"/>
    <w:rsid w:val="00C418D6"/>
    <w:rsid w:val="00C419DD"/>
    <w:rsid w:val="00C41BA9"/>
    <w:rsid w:val="00C41E72"/>
    <w:rsid w:val="00C423B5"/>
    <w:rsid w:val="00C42526"/>
    <w:rsid w:val="00C4257E"/>
    <w:rsid w:val="00C42685"/>
    <w:rsid w:val="00C42F42"/>
    <w:rsid w:val="00C42FBD"/>
    <w:rsid w:val="00C43BA9"/>
    <w:rsid w:val="00C44173"/>
    <w:rsid w:val="00C44321"/>
    <w:rsid w:val="00C4501B"/>
    <w:rsid w:val="00C450C2"/>
    <w:rsid w:val="00C450F3"/>
    <w:rsid w:val="00C45537"/>
    <w:rsid w:val="00C45687"/>
    <w:rsid w:val="00C45724"/>
    <w:rsid w:val="00C46F77"/>
    <w:rsid w:val="00C46FA6"/>
    <w:rsid w:val="00C47B29"/>
    <w:rsid w:val="00C47CC6"/>
    <w:rsid w:val="00C47F1A"/>
    <w:rsid w:val="00C5019B"/>
    <w:rsid w:val="00C50F3C"/>
    <w:rsid w:val="00C510CE"/>
    <w:rsid w:val="00C51FF2"/>
    <w:rsid w:val="00C52D0C"/>
    <w:rsid w:val="00C53077"/>
    <w:rsid w:val="00C53588"/>
    <w:rsid w:val="00C535E2"/>
    <w:rsid w:val="00C53FE6"/>
    <w:rsid w:val="00C54C07"/>
    <w:rsid w:val="00C54E39"/>
    <w:rsid w:val="00C5528A"/>
    <w:rsid w:val="00C553E1"/>
    <w:rsid w:val="00C55BCD"/>
    <w:rsid w:val="00C55EBD"/>
    <w:rsid w:val="00C566B2"/>
    <w:rsid w:val="00C56A6C"/>
    <w:rsid w:val="00C56C80"/>
    <w:rsid w:val="00C56F24"/>
    <w:rsid w:val="00C577F1"/>
    <w:rsid w:val="00C57928"/>
    <w:rsid w:val="00C57F4A"/>
    <w:rsid w:val="00C60391"/>
    <w:rsid w:val="00C607CA"/>
    <w:rsid w:val="00C60A7D"/>
    <w:rsid w:val="00C60DBB"/>
    <w:rsid w:val="00C60DFC"/>
    <w:rsid w:val="00C61BEE"/>
    <w:rsid w:val="00C61C3B"/>
    <w:rsid w:val="00C61EC6"/>
    <w:rsid w:val="00C61F92"/>
    <w:rsid w:val="00C627A1"/>
    <w:rsid w:val="00C62BDE"/>
    <w:rsid w:val="00C62CB2"/>
    <w:rsid w:val="00C62F2B"/>
    <w:rsid w:val="00C63058"/>
    <w:rsid w:val="00C63215"/>
    <w:rsid w:val="00C63C5A"/>
    <w:rsid w:val="00C63DE0"/>
    <w:rsid w:val="00C64EC2"/>
    <w:rsid w:val="00C65974"/>
    <w:rsid w:val="00C65AB5"/>
    <w:rsid w:val="00C65DEB"/>
    <w:rsid w:val="00C65FE5"/>
    <w:rsid w:val="00C664F7"/>
    <w:rsid w:val="00C66CD4"/>
    <w:rsid w:val="00C66D2E"/>
    <w:rsid w:val="00C66E0E"/>
    <w:rsid w:val="00C67A9E"/>
    <w:rsid w:val="00C705DA"/>
    <w:rsid w:val="00C70918"/>
    <w:rsid w:val="00C70C32"/>
    <w:rsid w:val="00C71075"/>
    <w:rsid w:val="00C71523"/>
    <w:rsid w:val="00C71661"/>
    <w:rsid w:val="00C71AF7"/>
    <w:rsid w:val="00C723DD"/>
    <w:rsid w:val="00C72843"/>
    <w:rsid w:val="00C72A21"/>
    <w:rsid w:val="00C73098"/>
    <w:rsid w:val="00C7349D"/>
    <w:rsid w:val="00C73F00"/>
    <w:rsid w:val="00C741A5"/>
    <w:rsid w:val="00C74554"/>
    <w:rsid w:val="00C74565"/>
    <w:rsid w:val="00C745E9"/>
    <w:rsid w:val="00C74BFC"/>
    <w:rsid w:val="00C74FD5"/>
    <w:rsid w:val="00C75166"/>
    <w:rsid w:val="00C75599"/>
    <w:rsid w:val="00C75BA4"/>
    <w:rsid w:val="00C75C39"/>
    <w:rsid w:val="00C75E3F"/>
    <w:rsid w:val="00C75EA3"/>
    <w:rsid w:val="00C764AA"/>
    <w:rsid w:val="00C76883"/>
    <w:rsid w:val="00C76BD1"/>
    <w:rsid w:val="00C77452"/>
    <w:rsid w:val="00C77F87"/>
    <w:rsid w:val="00C80A5E"/>
    <w:rsid w:val="00C80AA4"/>
    <w:rsid w:val="00C80AD3"/>
    <w:rsid w:val="00C80BDB"/>
    <w:rsid w:val="00C80D3E"/>
    <w:rsid w:val="00C81119"/>
    <w:rsid w:val="00C81349"/>
    <w:rsid w:val="00C813B4"/>
    <w:rsid w:val="00C819E9"/>
    <w:rsid w:val="00C81C8E"/>
    <w:rsid w:val="00C81F21"/>
    <w:rsid w:val="00C8242E"/>
    <w:rsid w:val="00C82BA1"/>
    <w:rsid w:val="00C82BD4"/>
    <w:rsid w:val="00C82C2B"/>
    <w:rsid w:val="00C83800"/>
    <w:rsid w:val="00C83872"/>
    <w:rsid w:val="00C83AC7"/>
    <w:rsid w:val="00C8427F"/>
    <w:rsid w:val="00C84366"/>
    <w:rsid w:val="00C845CF"/>
    <w:rsid w:val="00C84EF4"/>
    <w:rsid w:val="00C85451"/>
    <w:rsid w:val="00C85465"/>
    <w:rsid w:val="00C85DB3"/>
    <w:rsid w:val="00C861F6"/>
    <w:rsid w:val="00C86245"/>
    <w:rsid w:val="00C866E7"/>
    <w:rsid w:val="00C868F7"/>
    <w:rsid w:val="00C869E3"/>
    <w:rsid w:val="00C86F31"/>
    <w:rsid w:val="00C86F5D"/>
    <w:rsid w:val="00C8722B"/>
    <w:rsid w:val="00C87A49"/>
    <w:rsid w:val="00C906AC"/>
    <w:rsid w:val="00C90775"/>
    <w:rsid w:val="00C90A47"/>
    <w:rsid w:val="00C90BBD"/>
    <w:rsid w:val="00C90E82"/>
    <w:rsid w:val="00C90F8C"/>
    <w:rsid w:val="00C910D8"/>
    <w:rsid w:val="00C917C5"/>
    <w:rsid w:val="00C920F9"/>
    <w:rsid w:val="00C92DA0"/>
    <w:rsid w:val="00C936EA"/>
    <w:rsid w:val="00C9382C"/>
    <w:rsid w:val="00C93D3E"/>
    <w:rsid w:val="00C93DEC"/>
    <w:rsid w:val="00C94014"/>
    <w:rsid w:val="00C943AD"/>
    <w:rsid w:val="00C948A6"/>
    <w:rsid w:val="00C95684"/>
    <w:rsid w:val="00C956FE"/>
    <w:rsid w:val="00C95734"/>
    <w:rsid w:val="00C9599D"/>
    <w:rsid w:val="00C959D0"/>
    <w:rsid w:val="00C95ABC"/>
    <w:rsid w:val="00C96946"/>
    <w:rsid w:val="00C96DD6"/>
    <w:rsid w:val="00C9749C"/>
    <w:rsid w:val="00C97A70"/>
    <w:rsid w:val="00CA02F8"/>
    <w:rsid w:val="00CA0C4A"/>
    <w:rsid w:val="00CA0F9A"/>
    <w:rsid w:val="00CA1520"/>
    <w:rsid w:val="00CA16DC"/>
    <w:rsid w:val="00CA19FD"/>
    <w:rsid w:val="00CA1E0B"/>
    <w:rsid w:val="00CA230F"/>
    <w:rsid w:val="00CA2E0B"/>
    <w:rsid w:val="00CA326D"/>
    <w:rsid w:val="00CA338F"/>
    <w:rsid w:val="00CA342D"/>
    <w:rsid w:val="00CA3507"/>
    <w:rsid w:val="00CA3718"/>
    <w:rsid w:val="00CA3A1A"/>
    <w:rsid w:val="00CA3AB8"/>
    <w:rsid w:val="00CA3D1A"/>
    <w:rsid w:val="00CA3E8A"/>
    <w:rsid w:val="00CA3EFC"/>
    <w:rsid w:val="00CA414A"/>
    <w:rsid w:val="00CA4B4E"/>
    <w:rsid w:val="00CA5D08"/>
    <w:rsid w:val="00CA60E9"/>
    <w:rsid w:val="00CA6762"/>
    <w:rsid w:val="00CA7206"/>
    <w:rsid w:val="00CA7476"/>
    <w:rsid w:val="00CA783D"/>
    <w:rsid w:val="00CA786B"/>
    <w:rsid w:val="00CB0582"/>
    <w:rsid w:val="00CB06B5"/>
    <w:rsid w:val="00CB0CA4"/>
    <w:rsid w:val="00CB0D4D"/>
    <w:rsid w:val="00CB1304"/>
    <w:rsid w:val="00CB14C4"/>
    <w:rsid w:val="00CB159F"/>
    <w:rsid w:val="00CB1721"/>
    <w:rsid w:val="00CB1818"/>
    <w:rsid w:val="00CB1A8A"/>
    <w:rsid w:val="00CB1E49"/>
    <w:rsid w:val="00CB2573"/>
    <w:rsid w:val="00CB2CA5"/>
    <w:rsid w:val="00CB3D04"/>
    <w:rsid w:val="00CB4910"/>
    <w:rsid w:val="00CB4E03"/>
    <w:rsid w:val="00CB505B"/>
    <w:rsid w:val="00CB5065"/>
    <w:rsid w:val="00CB6123"/>
    <w:rsid w:val="00CB625A"/>
    <w:rsid w:val="00CB6DB2"/>
    <w:rsid w:val="00CB71DC"/>
    <w:rsid w:val="00CB72E6"/>
    <w:rsid w:val="00CB7867"/>
    <w:rsid w:val="00CC07CE"/>
    <w:rsid w:val="00CC0CE9"/>
    <w:rsid w:val="00CC1DF5"/>
    <w:rsid w:val="00CC21F1"/>
    <w:rsid w:val="00CC253F"/>
    <w:rsid w:val="00CC2B15"/>
    <w:rsid w:val="00CC2CE5"/>
    <w:rsid w:val="00CC3020"/>
    <w:rsid w:val="00CC3B81"/>
    <w:rsid w:val="00CC465D"/>
    <w:rsid w:val="00CC52B2"/>
    <w:rsid w:val="00CC53FE"/>
    <w:rsid w:val="00CC5747"/>
    <w:rsid w:val="00CC57A4"/>
    <w:rsid w:val="00CC6395"/>
    <w:rsid w:val="00CC65A5"/>
    <w:rsid w:val="00CC6638"/>
    <w:rsid w:val="00CC6A6A"/>
    <w:rsid w:val="00CC6DC2"/>
    <w:rsid w:val="00CC7079"/>
    <w:rsid w:val="00CC756D"/>
    <w:rsid w:val="00CC7AF7"/>
    <w:rsid w:val="00CC7E07"/>
    <w:rsid w:val="00CD003B"/>
    <w:rsid w:val="00CD0319"/>
    <w:rsid w:val="00CD0C4C"/>
    <w:rsid w:val="00CD1353"/>
    <w:rsid w:val="00CD194A"/>
    <w:rsid w:val="00CD1C05"/>
    <w:rsid w:val="00CD1C10"/>
    <w:rsid w:val="00CD20FC"/>
    <w:rsid w:val="00CD240B"/>
    <w:rsid w:val="00CD2FBD"/>
    <w:rsid w:val="00CD3553"/>
    <w:rsid w:val="00CD3851"/>
    <w:rsid w:val="00CD3D86"/>
    <w:rsid w:val="00CD450E"/>
    <w:rsid w:val="00CD47A4"/>
    <w:rsid w:val="00CD4F01"/>
    <w:rsid w:val="00CD5312"/>
    <w:rsid w:val="00CD53C2"/>
    <w:rsid w:val="00CD62DA"/>
    <w:rsid w:val="00CD668B"/>
    <w:rsid w:val="00CD697A"/>
    <w:rsid w:val="00CD6991"/>
    <w:rsid w:val="00CD6A4A"/>
    <w:rsid w:val="00CD6E7B"/>
    <w:rsid w:val="00CD7451"/>
    <w:rsid w:val="00CD7543"/>
    <w:rsid w:val="00CD766F"/>
    <w:rsid w:val="00CD76E5"/>
    <w:rsid w:val="00CE06BE"/>
    <w:rsid w:val="00CE06DF"/>
    <w:rsid w:val="00CE0FDC"/>
    <w:rsid w:val="00CE129F"/>
    <w:rsid w:val="00CE14BE"/>
    <w:rsid w:val="00CE1DFE"/>
    <w:rsid w:val="00CE1F4B"/>
    <w:rsid w:val="00CE20FB"/>
    <w:rsid w:val="00CE2BB5"/>
    <w:rsid w:val="00CE2C62"/>
    <w:rsid w:val="00CE2CE3"/>
    <w:rsid w:val="00CE33B4"/>
    <w:rsid w:val="00CE3BE2"/>
    <w:rsid w:val="00CE4110"/>
    <w:rsid w:val="00CE4340"/>
    <w:rsid w:val="00CE47C5"/>
    <w:rsid w:val="00CE4832"/>
    <w:rsid w:val="00CE4837"/>
    <w:rsid w:val="00CE4BC4"/>
    <w:rsid w:val="00CE4C6C"/>
    <w:rsid w:val="00CE5160"/>
    <w:rsid w:val="00CE531F"/>
    <w:rsid w:val="00CE57C3"/>
    <w:rsid w:val="00CE5912"/>
    <w:rsid w:val="00CE63B3"/>
    <w:rsid w:val="00CE65AB"/>
    <w:rsid w:val="00CE67B8"/>
    <w:rsid w:val="00CE7273"/>
    <w:rsid w:val="00CE731E"/>
    <w:rsid w:val="00CE73C6"/>
    <w:rsid w:val="00CE7569"/>
    <w:rsid w:val="00CE75AF"/>
    <w:rsid w:val="00CF0395"/>
    <w:rsid w:val="00CF1027"/>
    <w:rsid w:val="00CF1187"/>
    <w:rsid w:val="00CF1191"/>
    <w:rsid w:val="00CF14C3"/>
    <w:rsid w:val="00CF190E"/>
    <w:rsid w:val="00CF1C6C"/>
    <w:rsid w:val="00CF1DA0"/>
    <w:rsid w:val="00CF2146"/>
    <w:rsid w:val="00CF2D3D"/>
    <w:rsid w:val="00CF3383"/>
    <w:rsid w:val="00CF34AC"/>
    <w:rsid w:val="00CF34B1"/>
    <w:rsid w:val="00CF378B"/>
    <w:rsid w:val="00CF39B8"/>
    <w:rsid w:val="00CF3DC4"/>
    <w:rsid w:val="00CF42B5"/>
    <w:rsid w:val="00CF4611"/>
    <w:rsid w:val="00CF46B4"/>
    <w:rsid w:val="00CF4BA6"/>
    <w:rsid w:val="00CF4BE3"/>
    <w:rsid w:val="00CF52A2"/>
    <w:rsid w:val="00CF58AD"/>
    <w:rsid w:val="00CF59B9"/>
    <w:rsid w:val="00CF5AC3"/>
    <w:rsid w:val="00CF5D41"/>
    <w:rsid w:val="00CF775B"/>
    <w:rsid w:val="00CF7C92"/>
    <w:rsid w:val="00D002B9"/>
    <w:rsid w:val="00D00566"/>
    <w:rsid w:val="00D00873"/>
    <w:rsid w:val="00D011A5"/>
    <w:rsid w:val="00D0135D"/>
    <w:rsid w:val="00D0154A"/>
    <w:rsid w:val="00D016AC"/>
    <w:rsid w:val="00D018CE"/>
    <w:rsid w:val="00D01CDE"/>
    <w:rsid w:val="00D02C70"/>
    <w:rsid w:val="00D02F1C"/>
    <w:rsid w:val="00D03665"/>
    <w:rsid w:val="00D03E7E"/>
    <w:rsid w:val="00D04C3B"/>
    <w:rsid w:val="00D04E2A"/>
    <w:rsid w:val="00D05DAF"/>
    <w:rsid w:val="00D06612"/>
    <w:rsid w:val="00D06894"/>
    <w:rsid w:val="00D071F9"/>
    <w:rsid w:val="00D100BD"/>
    <w:rsid w:val="00D10276"/>
    <w:rsid w:val="00D10833"/>
    <w:rsid w:val="00D10AEB"/>
    <w:rsid w:val="00D11F7D"/>
    <w:rsid w:val="00D12116"/>
    <w:rsid w:val="00D1213A"/>
    <w:rsid w:val="00D12222"/>
    <w:rsid w:val="00D12487"/>
    <w:rsid w:val="00D12ACC"/>
    <w:rsid w:val="00D12C60"/>
    <w:rsid w:val="00D130A6"/>
    <w:rsid w:val="00D133D7"/>
    <w:rsid w:val="00D1366D"/>
    <w:rsid w:val="00D138FA"/>
    <w:rsid w:val="00D13DDF"/>
    <w:rsid w:val="00D13DF2"/>
    <w:rsid w:val="00D16428"/>
    <w:rsid w:val="00D16A82"/>
    <w:rsid w:val="00D16EFF"/>
    <w:rsid w:val="00D17015"/>
    <w:rsid w:val="00D171C3"/>
    <w:rsid w:val="00D1751A"/>
    <w:rsid w:val="00D17AB7"/>
    <w:rsid w:val="00D17BC8"/>
    <w:rsid w:val="00D20488"/>
    <w:rsid w:val="00D206B6"/>
    <w:rsid w:val="00D20792"/>
    <w:rsid w:val="00D2084E"/>
    <w:rsid w:val="00D20A03"/>
    <w:rsid w:val="00D212DE"/>
    <w:rsid w:val="00D21347"/>
    <w:rsid w:val="00D2196B"/>
    <w:rsid w:val="00D2253C"/>
    <w:rsid w:val="00D22CC3"/>
    <w:rsid w:val="00D24188"/>
    <w:rsid w:val="00D2464C"/>
    <w:rsid w:val="00D24E0F"/>
    <w:rsid w:val="00D260AD"/>
    <w:rsid w:val="00D26244"/>
    <w:rsid w:val="00D267BA"/>
    <w:rsid w:val="00D26D90"/>
    <w:rsid w:val="00D2705A"/>
    <w:rsid w:val="00D2756D"/>
    <w:rsid w:val="00D278A0"/>
    <w:rsid w:val="00D27936"/>
    <w:rsid w:val="00D3041F"/>
    <w:rsid w:val="00D316CE"/>
    <w:rsid w:val="00D33338"/>
    <w:rsid w:val="00D334E6"/>
    <w:rsid w:val="00D3404B"/>
    <w:rsid w:val="00D34AF8"/>
    <w:rsid w:val="00D34CFD"/>
    <w:rsid w:val="00D34E1F"/>
    <w:rsid w:val="00D350B8"/>
    <w:rsid w:val="00D35410"/>
    <w:rsid w:val="00D35450"/>
    <w:rsid w:val="00D35753"/>
    <w:rsid w:val="00D35E3F"/>
    <w:rsid w:val="00D362F6"/>
    <w:rsid w:val="00D36369"/>
    <w:rsid w:val="00D369EA"/>
    <w:rsid w:val="00D37175"/>
    <w:rsid w:val="00D377EB"/>
    <w:rsid w:val="00D4049C"/>
    <w:rsid w:val="00D40682"/>
    <w:rsid w:val="00D40C61"/>
    <w:rsid w:val="00D40E69"/>
    <w:rsid w:val="00D41C18"/>
    <w:rsid w:val="00D4247A"/>
    <w:rsid w:val="00D430BB"/>
    <w:rsid w:val="00D433A4"/>
    <w:rsid w:val="00D43CFB"/>
    <w:rsid w:val="00D43FA1"/>
    <w:rsid w:val="00D4422D"/>
    <w:rsid w:val="00D44541"/>
    <w:rsid w:val="00D44818"/>
    <w:rsid w:val="00D44913"/>
    <w:rsid w:val="00D450E0"/>
    <w:rsid w:val="00D457BD"/>
    <w:rsid w:val="00D45A81"/>
    <w:rsid w:val="00D4612B"/>
    <w:rsid w:val="00D4636A"/>
    <w:rsid w:val="00D46891"/>
    <w:rsid w:val="00D46A13"/>
    <w:rsid w:val="00D46B58"/>
    <w:rsid w:val="00D47004"/>
    <w:rsid w:val="00D4762E"/>
    <w:rsid w:val="00D47857"/>
    <w:rsid w:val="00D47C06"/>
    <w:rsid w:val="00D47CD3"/>
    <w:rsid w:val="00D50047"/>
    <w:rsid w:val="00D50726"/>
    <w:rsid w:val="00D50832"/>
    <w:rsid w:val="00D50C79"/>
    <w:rsid w:val="00D510F3"/>
    <w:rsid w:val="00D51351"/>
    <w:rsid w:val="00D51404"/>
    <w:rsid w:val="00D514B4"/>
    <w:rsid w:val="00D51578"/>
    <w:rsid w:val="00D51DF1"/>
    <w:rsid w:val="00D51F26"/>
    <w:rsid w:val="00D51FB0"/>
    <w:rsid w:val="00D52147"/>
    <w:rsid w:val="00D52171"/>
    <w:rsid w:val="00D52526"/>
    <w:rsid w:val="00D525C2"/>
    <w:rsid w:val="00D526C0"/>
    <w:rsid w:val="00D52AA7"/>
    <w:rsid w:val="00D530B2"/>
    <w:rsid w:val="00D531B3"/>
    <w:rsid w:val="00D533F7"/>
    <w:rsid w:val="00D53CC2"/>
    <w:rsid w:val="00D53D2A"/>
    <w:rsid w:val="00D5429E"/>
    <w:rsid w:val="00D54C0A"/>
    <w:rsid w:val="00D54F12"/>
    <w:rsid w:val="00D5563E"/>
    <w:rsid w:val="00D55B41"/>
    <w:rsid w:val="00D563DA"/>
    <w:rsid w:val="00D56628"/>
    <w:rsid w:val="00D568FF"/>
    <w:rsid w:val="00D56CC5"/>
    <w:rsid w:val="00D56E92"/>
    <w:rsid w:val="00D57585"/>
    <w:rsid w:val="00D577CD"/>
    <w:rsid w:val="00D60725"/>
    <w:rsid w:val="00D60BE9"/>
    <w:rsid w:val="00D60C22"/>
    <w:rsid w:val="00D6124E"/>
    <w:rsid w:val="00D61EA3"/>
    <w:rsid w:val="00D6249D"/>
    <w:rsid w:val="00D62800"/>
    <w:rsid w:val="00D628AB"/>
    <w:rsid w:val="00D62AB4"/>
    <w:rsid w:val="00D62B1F"/>
    <w:rsid w:val="00D6311F"/>
    <w:rsid w:val="00D63AD9"/>
    <w:rsid w:val="00D63EC1"/>
    <w:rsid w:val="00D63F4A"/>
    <w:rsid w:val="00D64157"/>
    <w:rsid w:val="00D65014"/>
    <w:rsid w:val="00D65829"/>
    <w:rsid w:val="00D6592B"/>
    <w:rsid w:val="00D66531"/>
    <w:rsid w:val="00D66668"/>
    <w:rsid w:val="00D66D26"/>
    <w:rsid w:val="00D66F50"/>
    <w:rsid w:val="00D6733C"/>
    <w:rsid w:val="00D6789B"/>
    <w:rsid w:val="00D67F7E"/>
    <w:rsid w:val="00D70171"/>
    <w:rsid w:val="00D70A2B"/>
    <w:rsid w:val="00D71009"/>
    <w:rsid w:val="00D71353"/>
    <w:rsid w:val="00D71FC6"/>
    <w:rsid w:val="00D720D4"/>
    <w:rsid w:val="00D7242A"/>
    <w:rsid w:val="00D72916"/>
    <w:rsid w:val="00D72A7F"/>
    <w:rsid w:val="00D72E70"/>
    <w:rsid w:val="00D72F03"/>
    <w:rsid w:val="00D72FB9"/>
    <w:rsid w:val="00D7330E"/>
    <w:rsid w:val="00D73374"/>
    <w:rsid w:val="00D73420"/>
    <w:rsid w:val="00D73964"/>
    <w:rsid w:val="00D73B3B"/>
    <w:rsid w:val="00D7484C"/>
    <w:rsid w:val="00D74B3C"/>
    <w:rsid w:val="00D74C56"/>
    <w:rsid w:val="00D74E4F"/>
    <w:rsid w:val="00D75A09"/>
    <w:rsid w:val="00D75A45"/>
    <w:rsid w:val="00D76344"/>
    <w:rsid w:val="00D76612"/>
    <w:rsid w:val="00D76656"/>
    <w:rsid w:val="00D76B5C"/>
    <w:rsid w:val="00D76BC8"/>
    <w:rsid w:val="00D76D5F"/>
    <w:rsid w:val="00D776E2"/>
    <w:rsid w:val="00D77E57"/>
    <w:rsid w:val="00D77EBB"/>
    <w:rsid w:val="00D8028E"/>
    <w:rsid w:val="00D80B20"/>
    <w:rsid w:val="00D80DD9"/>
    <w:rsid w:val="00D80FA6"/>
    <w:rsid w:val="00D8148D"/>
    <w:rsid w:val="00D817A6"/>
    <w:rsid w:val="00D81AC2"/>
    <w:rsid w:val="00D82055"/>
    <w:rsid w:val="00D82074"/>
    <w:rsid w:val="00D82233"/>
    <w:rsid w:val="00D826AF"/>
    <w:rsid w:val="00D82847"/>
    <w:rsid w:val="00D82AF7"/>
    <w:rsid w:val="00D83B44"/>
    <w:rsid w:val="00D83BA0"/>
    <w:rsid w:val="00D83BCA"/>
    <w:rsid w:val="00D83C17"/>
    <w:rsid w:val="00D83F40"/>
    <w:rsid w:val="00D83FE5"/>
    <w:rsid w:val="00D84101"/>
    <w:rsid w:val="00D846B6"/>
    <w:rsid w:val="00D84A1D"/>
    <w:rsid w:val="00D84DC8"/>
    <w:rsid w:val="00D85308"/>
    <w:rsid w:val="00D85AC6"/>
    <w:rsid w:val="00D85F43"/>
    <w:rsid w:val="00D86318"/>
    <w:rsid w:val="00D865B0"/>
    <w:rsid w:val="00D86F1C"/>
    <w:rsid w:val="00D86FDD"/>
    <w:rsid w:val="00D8713C"/>
    <w:rsid w:val="00D87746"/>
    <w:rsid w:val="00D87DA6"/>
    <w:rsid w:val="00D90230"/>
    <w:rsid w:val="00D90784"/>
    <w:rsid w:val="00D9168D"/>
    <w:rsid w:val="00D916B1"/>
    <w:rsid w:val="00D91849"/>
    <w:rsid w:val="00D91874"/>
    <w:rsid w:val="00D91F3C"/>
    <w:rsid w:val="00D9260F"/>
    <w:rsid w:val="00D926EA"/>
    <w:rsid w:val="00D928AA"/>
    <w:rsid w:val="00D92F48"/>
    <w:rsid w:val="00D9329D"/>
    <w:rsid w:val="00D93AF8"/>
    <w:rsid w:val="00D93B87"/>
    <w:rsid w:val="00D941CE"/>
    <w:rsid w:val="00D9429D"/>
    <w:rsid w:val="00D94680"/>
    <w:rsid w:val="00D946A2"/>
    <w:rsid w:val="00D950F8"/>
    <w:rsid w:val="00D95334"/>
    <w:rsid w:val="00D9540D"/>
    <w:rsid w:val="00D95AF8"/>
    <w:rsid w:val="00D95FEB"/>
    <w:rsid w:val="00D965E2"/>
    <w:rsid w:val="00D9675E"/>
    <w:rsid w:val="00D96E8B"/>
    <w:rsid w:val="00D97801"/>
    <w:rsid w:val="00D97B09"/>
    <w:rsid w:val="00D97CA8"/>
    <w:rsid w:val="00D97DC9"/>
    <w:rsid w:val="00DA0356"/>
    <w:rsid w:val="00DA037D"/>
    <w:rsid w:val="00DA12A7"/>
    <w:rsid w:val="00DA18B9"/>
    <w:rsid w:val="00DA1CEA"/>
    <w:rsid w:val="00DA26BC"/>
    <w:rsid w:val="00DA285E"/>
    <w:rsid w:val="00DA294E"/>
    <w:rsid w:val="00DA29AD"/>
    <w:rsid w:val="00DA335F"/>
    <w:rsid w:val="00DA35AA"/>
    <w:rsid w:val="00DA3608"/>
    <w:rsid w:val="00DA362E"/>
    <w:rsid w:val="00DA3A7E"/>
    <w:rsid w:val="00DA3C09"/>
    <w:rsid w:val="00DA4659"/>
    <w:rsid w:val="00DA490C"/>
    <w:rsid w:val="00DA50D8"/>
    <w:rsid w:val="00DA54AD"/>
    <w:rsid w:val="00DA5C3B"/>
    <w:rsid w:val="00DA5F45"/>
    <w:rsid w:val="00DA5F5E"/>
    <w:rsid w:val="00DA657B"/>
    <w:rsid w:val="00DA69C7"/>
    <w:rsid w:val="00DA796D"/>
    <w:rsid w:val="00DB0084"/>
    <w:rsid w:val="00DB00E7"/>
    <w:rsid w:val="00DB0189"/>
    <w:rsid w:val="00DB03F3"/>
    <w:rsid w:val="00DB0ACB"/>
    <w:rsid w:val="00DB0C00"/>
    <w:rsid w:val="00DB0E8B"/>
    <w:rsid w:val="00DB1121"/>
    <w:rsid w:val="00DB20EE"/>
    <w:rsid w:val="00DB21E9"/>
    <w:rsid w:val="00DB251E"/>
    <w:rsid w:val="00DB2971"/>
    <w:rsid w:val="00DB2BB5"/>
    <w:rsid w:val="00DB2CCB"/>
    <w:rsid w:val="00DB328D"/>
    <w:rsid w:val="00DB333C"/>
    <w:rsid w:val="00DB3476"/>
    <w:rsid w:val="00DB3580"/>
    <w:rsid w:val="00DB36F5"/>
    <w:rsid w:val="00DB3DAD"/>
    <w:rsid w:val="00DB3FAD"/>
    <w:rsid w:val="00DB3FE1"/>
    <w:rsid w:val="00DB4151"/>
    <w:rsid w:val="00DB46B6"/>
    <w:rsid w:val="00DB4800"/>
    <w:rsid w:val="00DB4BD0"/>
    <w:rsid w:val="00DB4E07"/>
    <w:rsid w:val="00DB5579"/>
    <w:rsid w:val="00DB5583"/>
    <w:rsid w:val="00DB5B9F"/>
    <w:rsid w:val="00DB5C08"/>
    <w:rsid w:val="00DB5D8D"/>
    <w:rsid w:val="00DB6C03"/>
    <w:rsid w:val="00DB6CD1"/>
    <w:rsid w:val="00DB6E2F"/>
    <w:rsid w:val="00DB71A5"/>
    <w:rsid w:val="00DB7907"/>
    <w:rsid w:val="00DB7BE0"/>
    <w:rsid w:val="00DB7C53"/>
    <w:rsid w:val="00DB7DEC"/>
    <w:rsid w:val="00DC0358"/>
    <w:rsid w:val="00DC03ED"/>
    <w:rsid w:val="00DC0539"/>
    <w:rsid w:val="00DC0861"/>
    <w:rsid w:val="00DC0992"/>
    <w:rsid w:val="00DC0C59"/>
    <w:rsid w:val="00DC1038"/>
    <w:rsid w:val="00DC13CE"/>
    <w:rsid w:val="00DC150C"/>
    <w:rsid w:val="00DC156A"/>
    <w:rsid w:val="00DC1E5C"/>
    <w:rsid w:val="00DC22BD"/>
    <w:rsid w:val="00DC2A45"/>
    <w:rsid w:val="00DC2F1E"/>
    <w:rsid w:val="00DC301B"/>
    <w:rsid w:val="00DC3133"/>
    <w:rsid w:val="00DC32C3"/>
    <w:rsid w:val="00DC3609"/>
    <w:rsid w:val="00DC4900"/>
    <w:rsid w:val="00DC4BAB"/>
    <w:rsid w:val="00DC4E1D"/>
    <w:rsid w:val="00DC4E41"/>
    <w:rsid w:val="00DC6031"/>
    <w:rsid w:val="00DC660A"/>
    <w:rsid w:val="00DC6D32"/>
    <w:rsid w:val="00DC78FF"/>
    <w:rsid w:val="00DC7B97"/>
    <w:rsid w:val="00DC7CB2"/>
    <w:rsid w:val="00DC7EF6"/>
    <w:rsid w:val="00DC7FB5"/>
    <w:rsid w:val="00DD0149"/>
    <w:rsid w:val="00DD0C35"/>
    <w:rsid w:val="00DD0E68"/>
    <w:rsid w:val="00DD0E78"/>
    <w:rsid w:val="00DD1121"/>
    <w:rsid w:val="00DD12F8"/>
    <w:rsid w:val="00DD13EE"/>
    <w:rsid w:val="00DD15FA"/>
    <w:rsid w:val="00DD16D7"/>
    <w:rsid w:val="00DD1B4D"/>
    <w:rsid w:val="00DD2303"/>
    <w:rsid w:val="00DD2BCF"/>
    <w:rsid w:val="00DD33EA"/>
    <w:rsid w:val="00DD3B4E"/>
    <w:rsid w:val="00DD3F83"/>
    <w:rsid w:val="00DD42B0"/>
    <w:rsid w:val="00DD46A0"/>
    <w:rsid w:val="00DD4E95"/>
    <w:rsid w:val="00DD5224"/>
    <w:rsid w:val="00DD5414"/>
    <w:rsid w:val="00DD5BD0"/>
    <w:rsid w:val="00DD5D44"/>
    <w:rsid w:val="00DD5D5A"/>
    <w:rsid w:val="00DD5F4A"/>
    <w:rsid w:val="00DD5F89"/>
    <w:rsid w:val="00DD6A65"/>
    <w:rsid w:val="00DD6B4C"/>
    <w:rsid w:val="00DD7367"/>
    <w:rsid w:val="00DD743C"/>
    <w:rsid w:val="00DD78E7"/>
    <w:rsid w:val="00DD7C32"/>
    <w:rsid w:val="00DD7F2D"/>
    <w:rsid w:val="00DE0A5D"/>
    <w:rsid w:val="00DE1123"/>
    <w:rsid w:val="00DE120E"/>
    <w:rsid w:val="00DE19D1"/>
    <w:rsid w:val="00DE1B61"/>
    <w:rsid w:val="00DE1B64"/>
    <w:rsid w:val="00DE1C74"/>
    <w:rsid w:val="00DE2056"/>
    <w:rsid w:val="00DE24E2"/>
    <w:rsid w:val="00DE2CA2"/>
    <w:rsid w:val="00DE3155"/>
    <w:rsid w:val="00DE3852"/>
    <w:rsid w:val="00DE3977"/>
    <w:rsid w:val="00DE4505"/>
    <w:rsid w:val="00DE58A4"/>
    <w:rsid w:val="00DE5D32"/>
    <w:rsid w:val="00DE638B"/>
    <w:rsid w:val="00DE693F"/>
    <w:rsid w:val="00DE6C30"/>
    <w:rsid w:val="00DE70AE"/>
    <w:rsid w:val="00DE7477"/>
    <w:rsid w:val="00DE79D2"/>
    <w:rsid w:val="00DE7FE9"/>
    <w:rsid w:val="00DF0814"/>
    <w:rsid w:val="00DF085A"/>
    <w:rsid w:val="00DF08C7"/>
    <w:rsid w:val="00DF0A49"/>
    <w:rsid w:val="00DF0B99"/>
    <w:rsid w:val="00DF1119"/>
    <w:rsid w:val="00DF11CF"/>
    <w:rsid w:val="00DF11EA"/>
    <w:rsid w:val="00DF1372"/>
    <w:rsid w:val="00DF2DDB"/>
    <w:rsid w:val="00DF3024"/>
    <w:rsid w:val="00DF3652"/>
    <w:rsid w:val="00DF41BE"/>
    <w:rsid w:val="00DF45DC"/>
    <w:rsid w:val="00DF5092"/>
    <w:rsid w:val="00DF527C"/>
    <w:rsid w:val="00DF52D3"/>
    <w:rsid w:val="00DF53BD"/>
    <w:rsid w:val="00DF5DBE"/>
    <w:rsid w:val="00DF5FA6"/>
    <w:rsid w:val="00DF64AD"/>
    <w:rsid w:val="00DF64F2"/>
    <w:rsid w:val="00DF6619"/>
    <w:rsid w:val="00DF6B47"/>
    <w:rsid w:val="00DF6B68"/>
    <w:rsid w:val="00DF6FAC"/>
    <w:rsid w:val="00DF77B4"/>
    <w:rsid w:val="00DF7893"/>
    <w:rsid w:val="00DF7A2B"/>
    <w:rsid w:val="00DF7B3E"/>
    <w:rsid w:val="00E000E8"/>
    <w:rsid w:val="00E001D3"/>
    <w:rsid w:val="00E006BF"/>
    <w:rsid w:val="00E00889"/>
    <w:rsid w:val="00E00B51"/>
    <w:rsid w:val="00E00ED1"/>
    <w:rsid w:val="00E00F3C"/>
    <w:rsid w:val="00E01232"/>
    <w:rsid w:val="00E01A91"/>
    <w:rsid w:val="00E01BB7"/>
    <w:rsid w:val="00E01C77"/>
    <w:rsid w:val="00E027DF"/>
    <w:rsid w:val="00E02B50"/>
    <w:rsid w:val="00E02FB8"/>
    <w:rsid w:val="00E03137"/>
    <w:rsid w:val="00E0368C"/>
    <w:rsid w:val="00E037D8"/>
    <w:rsid w:val="00E03864"/>
    <w:rsid w:val="00E040A8"/>
    <w:rsid w:val="00E04A00"/>
    <w:rsid w:val="00E04BAC"/>
    <w:rsid w:val="00E04C42"/>
    <w:rsid w:val="00E04CDA"/>
    <w:rsid w:val="00E04DEE"/>
    <w:rsid w:val="00E050D5"/>
    <w:rsid w:val="00E05361"/>
    <w:rsid w:val="00E058F9"/>
    <w:rsid w:val="00E059BF"/>
    <w:rsid w:val="00E05B9C"/>
    <w:rsid w:val="00E05C72"/>
    <w:rsid w:val="00E05CE8"/>
    <w:rsid w:val="00E05F9A"/>
    <w:rsid w:val="00E0610D"/>
    <w:rsid w:val="00E06C48"/>
    <w:rsid w:val="00E07C23"/>
    <w:rsid w:val="00E07D62"/>
    <w:rsid w:val="00E10411"/>
    <w:rsid w:val="00E105EF"/>
    <w:rsid w:val="00E1061D"/>
    <w:rsid w:val="00E107DD"/>
    <w:rsid w:val="00E1086C"/>
    <w:rsid w:val="00E10E83"/>
    <w:rsid w:val="00E10F05"/>
    <w:rsid w:val="00E10FA4"/>
    <w:rsid w:val="00E116D2"/>
    <w:rsid w:val="00E11CE2"/>
    <w:rsid w:val="00E11E3B"/>
    <w:rsid w:val="00E12433"/>
    <w:rsid w:val="00E12831"/>
    <w:rsid w:val="00E12BD6"/>
    <w:rsid w:val="00E12C2B"/>
    <w:rsid w:val="00E13567"/>
    <w:rsid w:val="00E13C05"/>
    <w:rsid w:val="00E140AA"/>
    <w:rsid w:val="00E140CD"/>
    <w:rsid w:val="00E14237"/>
    <w:rsid w:val="00E142AB"/>
    <w:rsid w:val="00E1466D"/>
    <w:rsid w:val="00E14B47"/>
    <w:rsid w:val="00E14C86"/>
    <w:rsid w:val="00E14D49"/>
    <w:rsid w:val="00E14F45"/>
    <w:rsid w:val="00E1540A"/>
    <w:rsid w:val="00E15501"/>
    <w:rsid w:val="00E15AC6"/>
    <w:rsid w:val="00E15C37"/>
    <w:rsid w:val="00E15EB8"/>
    <w:rsid w:val="00E16015"/>
    <w:rsid w:val="00E1628A"/>
    <w:rsid w:val="00E16385"/>
    <w:rsid w:val="00E1683A"/>
    <w:rsid w:val="00E16D5E"/>
    <w:rsid w:val="00E16FC7"/>
    <w:rsid w:val="00E171DF"/>
    <w:rsid w:val="00E174F4"/>
    <w:rsid w:val="00E17D27"/>
    <w:rsid w:val="00E2020C"/>
    <w:rsid w:val="00E2027F"/>
    <w:rsid w:val="00E208D6"/>
    <w:rsid w:val="00E20DF0"/>
    <w:rsid w:val="00E21426"/>
    <w:rsid w:val="00E217D9"/>
    <w:rsid w:val="00E21A82"/>
    <w:rsid w:val="00E21AAD"/>
    <w:rsid w:val="00E21CC1"/>
    <w:rsid w:val="00E22169"/>
    <w:rsid w:val="00E22254"/>
    <w:rsid w:val="00E223D4"/>
    <w:rsid w:val="00E2251F"/>
    <w:rsid w:val="00E2289A"/>
    <w:rsid w:val="00E22E69"/>
    <w:rsid w:val="00E2336A"/>
    <w:rsid w:val="00E23563"/>
    <w:rsid w:val="00E23ABE"/>
    <w:rsid w:val="00E23C5F"/>
    <w:rsid w:val="00E23D5D"/>
    <w:rsid w:val="00E23DB7"/>
    <w:rsid w:val="00E23F40"/>
    <w:rsid w:val="00E23F5D"/>
    <w:rsid w:val="00E24109"/>
    <w:rsid w:val="00E2420D"/>
    <w:rsid w:val="00E24F11"/>
    <w:rsid w:val="00E250C5"/>
    <w:rsid w:val="00E25395"/>
    <w:rsid w:val="00E256E3"/>
    <w:rsid w:val="00E25C75"/>
    <w:rsid w:val="00E260A7"/>
    <w:rsid w:val="00E26A7C"/>
    <w:rsid w:val="00E26BBD"/>
    <w:rsid w:val="00E276A2"/>
    <w:rsid w:val="00E27E66"/>
    <w:rsid w:val="00E27F19"/>
    <w:rsid w:val="00E27F47"/>
    <w:rsid w:val="00E300D1"/>
    <w:rsid w:val="00E30223"/>
    <w:rsid w:val="00E30F27"/>
    <w:rsid w:val="00E3143D"/>
    <w:rsid w:val="00E31616"/>
    <w:rsid w:val="00E31698"/>
    <w:rsid w:val="00E318E1"/>
    <w:rsid w:val="00E3258D"/>
    <w:rsid w:val="00E32C3E"/>
    <w:rsid w:val="00E32DC6"/>
    <w:rsid w:val="00E33184"/>
    <w:rsid w:val="00E3393B"/>
    <w:rsid w:val="00E339D1"/>
    <w:rsid w:val="00E33EE8"/>
    <w:rsid w:val="00E344E8"/>
    <w:rsid w:val="00E346BE"/>
    <w:rsid w:val="00E34ABB"/>
    <w:rsid w:val="00E35144"/>
    <w:rsid w:val="00E352FA"/>
    <w:rsid w:val="00E35BDF"/>
    <w:rsid w:val="00E35CFB"/>
    <w:rsid w:val="00E368A7"/>
    <w:rsid w:val="00E36E3A"/>
    <w:rsid w:val="00E36F08"/>
    <w:rsid w:val="00E36FD1"/>
    <w:rsid w:val="00E4031F"/>
    <w:rsid w:val="00E40538"/>
    <w:rsid w:val="00E40ED0"/>
    <w:rsid w:val="00E40FA5"/>
    <w:rsid w:val="00E41447"/>
    <w:rsid w:val="00E42F74"/>
    <w:rsid w:val="00E432AE"/>
    <w:rsid w:val="00E43B5C"/>
    <w:rsid w:val="00E43D2C"/>
    <w:rsid w:val="00E43D3C"/>
    <w:rsid w:val="00E44139"/>
    <w:rsid w:val="00E44A45"/>
    <w:rsid w:val="00E45807"/>
    <w:rsid w:val="00E45F91"/>
    <w:rsid w:val="00E46232"/>
    <w:rsid w:val="00E46741"/>
    <w:rsid w:val="00E4696A"/>
    <w:rsid w:val="00E46BB9"/>
    <w:rsid w:val="00E4784E"/>
    <w:rsid w:val="00E47AB6"/>
    <w:rsid w:val="00E5075E"/>
    <w:rsid w:val="00E507AA"/>
    <w:rsid w:val="00E512C8"/>
    <w:rsid w:val="00E5134C"/>
    <w:rsid w:val="00E516A8"/>
    <w:rsid w:val="00E5179C"/>
    <w:rsid w:val="00E51B31"/>
    <w:rsid w:val="00E51EFB"/>
    <w:rsid w:val="00E51FE9"/>
    <w:rsid w:val="00E521D3"/>
    <w:rsid w:val="00E522ED"/>
    <w:rsid w:val="00E530EB"/>
    <w:rsid w:val="00E537C2"/>
    <w:rsid w:val="00E537CA"/>
    <w:rsid w:val="00E54237"/>
    <w:rsid w:val="00E545EA"/>
    <w:rsid w:val="00E54F28"/>
    <w:rsid w:val="00E5526A"/>
    <w:rsid w:val="00E55B09"/>
    <w:rsid w:val="00E55B5D"/>
    <w:rsid w:val="00E56596"/>
    <w:rsid w:val="00E572FC"/>
    <w:rsid w:val="00E57B45"/>
    <w:rsid w:val="00E57E0F"/>
    <w:rsid w:val="00E60F30"/>
    <w:rsid w:val="00E611D6"/>
    <w:rsid w:val="00E62007"/>
    <w:rsid w:val="00E62068"/>
    <w:rsid w:val="00E62199"/>
    <w:rsid w:val="00E62366"/>
    <w:rsid w:val="00E624D8"/>
    <w:rsid w:val="00E62578"/>
    <w:rsid w:val="00E62EC0"/>
    <w:rsid w:val="00E632ED"/>
    <w:rsid w:val="00E63680"/>
    <w:rsid w:val="00E63873"/>
    <w:rsid w:val="00E64153"/>
    <w:rsid w:val="00E64283"/>
    <w:rsid w:val="00E6466D"/>
    <w:rsid w:val="00E6488A"/>
    <w:rsid w:val="00E64F63"/>
    <w:rsid w:val="00E65019"/>
    <w:rsid w:val="00E654FD"/>
    <w:rsid w:val="00E65664"/>
    <w:rsid w:val="00E6574D"/>
    <w:rsid w:val="00E65E54"/>
    <w:rsid w:val="00E65F4D"/>
    <w:rsid w:val="00E6663C"/>
    <w:rsid w:val="00E66B67"/>
    <w:rsid w:val="00E670C9"/>
    <w:rsid w:val="00E67262"/>
    <w:rsid w:val="00E67DB5"/>
    <w:rsid w:val="00E70358"/>
    <w:rsid w:val="00E70813"/>
    <w:rsid w:val="00E70933"/>
    <w:rsid w:val="00E71319"/>
    <w:rsid w:val="00E714A0"/>
    <w:rsid w:val="00E715B4"/>
    <w:rsid w:val="00E718D5"/>
    <w:rsid w:val="00E71DDF"/>
    <w:rsid w:val="00E72579"/>
    <w:rsid w:val="00E72744"/>
    <w:rsid w:val="00E7293C"/>
    <w:rsid w:val="00E73428"/>
    <w:rsid w:val="00E738D5"/>
    <w:rsid w:val="00E73AE9"/>
    <w:rsid w:val="00E73E00"/>
    <w:rsid w:val="00E73F75"/>
    <w:rsid w:val="00E7402C"/>
    <w:rsid w:val="00E747E8"/>
    <w:rsid w:val="00E74BED"/>
    <w:rsid w:val="00E750B4"/>
    <w:rsid w:val="00E767A7"/>
    <w:rsid w:val="00E80160"/>
    <w:rsid w:val="00E801FF"/>
    <w:rsid w:val="00E8048F"/>
    <w:rsid w:val="00E808CB"/>
    <w:rsid w:val="00E808E7"/>
    <w:rsid w:val="00E80C4C"/>
    <w:rsid w:val="00E80DE3"/>
    <w:rsid w:val="00E8147C"/>
    <w:rsid w:val="00E823D9"/>
    <w:rsid w:val="00E825BB"/>
    <w:rsid w:val="00E82B50"/>
    <w:rsid w:val="00E82B54"/>
    <w:rsid w:val="00E82D6D"/>
    <w:rsid w:val="00E82FE0"/>
    <w:rsid w:val="00E8329B"/>
    <w:rsid w:val="00E83357"/>
    <w:rsid w:val="00E8356A"/>
    <w:rsid w:val="00E840F6"/>
    <w:rsid w:val="00E8429D"/>
    <w:rsid w:val="00E84B04"/>
    <w:rsid w:val="00E84CA7"/>
    <w:rsid w:val="00E856D5"/>
    <w:rsid w:val="00E859DA"/>
    <w:rsid w:val="00E85F26"/>
    <w:rsid w:val="00E86847"/>
    <w:rsid w:val="00E8686C"/>
    <w:rsid w:val="00E86A3D"/>
    <w:rsid w:val="00E87470"/>
    <w:rsid w:val="00E874A1"/>
    <w:rsid w:val="00E8757A"/>
    <w:rsid w:val="00E87866"/>
    <w:rsid w:val="00E87BCD"/>
    <w:rsid w:val="00E90B09"/>
    <w:rsid w:val="00E9132B"/>
    <w:rsid w:val="00E915DC"/>
    <w:rsid w:val="00E91A59"/>
    <w:rsid w:val="00E91B52"/>
    <w:rsid w:val="00E91C85"/>
    <w:rsid w:val="00E91DE9"/>
    <w:rsid w:val="00E9214E"/>
    <w:rsid w:val="00E925F6"/>
    <w:rsid w:val="00E9309D"/>
    <w:rsid w:val="00E9349D"/>
    <w:rsid w:val="00E93789"/>
    <w:rsid w:val="00E93D6F"/>
    <w:rsid w:val="00E93F63"/>
    <w:rsid w:val="00E94045"/>
    <w:rsid w:val="00E9485E"/>
    <w:rsid w:val="00E94987"/>
    <w:rsid w:val="00E94EA7"/>
    <w:rsid w:val="00E9524B"/>
    <w:rsid w:val="00E95506"/>
    <w:rsid w:val="00E9596C"/>
    <w:rsid w:val="00E968ED"/>
    <w:rsid w:val="00E96BCB"/>
    <w:rsid w:val="00E96D09"/>
    <w:rsid w:val="00E97297"/>
    <w:rsid w:val="00EA012C"/>
    <w:rsid w:val="00EA02DF"/>
    <w:rsid w:val="00EA0EE1"/>
    <w:rsid w:val="00EA0F51"/>
    <w:rsid w:val="00EA101C"/>
    <w:rsid w:val="00EA13BD"/>
    <w:rsid w:val="00EA2175"/>
    <w:rsid w:val="00EA22E6"/>
    <w:rsid w:val="00EA258F"/>
    <w:rsid w:val="00EA2EFB"/>
    <w:rsid w:val="00EA3219"/>
    <w:rsid w:val="00EA3DB4"/>
    <w:rsid w:val="00EA48AA"/>
    <w:rsid w:val="00EA4FDE"/>
    <w:rsid w:val="00EA5739"/>
    <w:rsid w:val="00EA5F3E"/>
    <w:rsid w:val="00EA60B1"/>
    <w:rsid w:val="00EA6449"/>
    <w:rsid w:val="00EA6A98"/>
    <w:rsid w:val="00EA6DFA"/>
    <w:rsid w:val="00EA751F"/>
    <w:rsid w:val="00EA77AA"/>
    <w:rsid w:val="00EA7853"/>
    <w:rsid w:val="00EA79DA"/>
    <w:rsid w:val="00EA7A94"/>
    <w:rsid w:val="00EA7EFB"/>
    <w:rsid w:val="00EA7FB0"/>
    <w:rsid w:val="00EB025D"/>
    <w:rsid w:val="00EB02C1"/>
    <w:rsid w:val="00EB07B7"/>
    <w:rsid w:val="00EB0B3C"/>
    <w:rsid w:val="00EB0CA4"/>
    <w:rsid w:val="00EB0FC8"/>
    <w:rsid w:val="00EB1620"/>
    <w:rsid w:val="00EB1D5C"/>
    <w:rsid w:val="00EB1D5F"/>
    <w:rsid w:val="00EB261B"/>
    <w:rsid w:val="00EB2D98"/>
    <w:rsid w:val="00EB347F"/>
    <w:rsid w:val="00EB3B2D"/>
    <w:rsid w:val="00EB3C39"/>
    <w:rsid w:val="00EB44FE"/>
    <w:rsid w:val="00EB488B"/>
    <w:rsid w:val="00EB4BA2"/>
    <w:rsid w:val="00EB5C39"/>
    <w:rsid w:val="00EB5D81"/>
    <w:rsid w:val="00EB5FA5"/>
    <w:rsid w:val="00EB631B"/>
    <w:rsid w:val="00EB6F8F"/>
    <w:rsid w:val="00EB6FE3"/>
    <w:rsid w:val="00EB7104"/>
    <w:rsid w:val="00EB756E"/>
    <w:rsid w:val="00EC13E3"/>
    <w:rsid w:val="00EC17C3"/>
    <w:rsid w:val="00EC2924"/>
    <w:rsid w:val="00EC2BE2"/>
    <w:rsid w:val="00EC2E52"/>
    <w:rsid w:val="00EC32FB"/>
    <w:rsid w:val="00EC3381"/>
    <w:rsid w:val="00EC3459"/>
    <w:rsid w:val="00EC4179"/>
    <w:rsid w:val="00EC43EC"/>
    <w:rsid w:val="00EC4482"/>
    <w:rsid w:val="00EC47FD"/>
    <w:rsid w:val="00EC4990"/>
    <w:rsid w:val="00EC4B30"/>
    <w:rsid w:val="00EC59F2"/>
    <w:rsid w:val="00EC59F9"/>
    <w:rsid w:val="00EC619B"/>
    <w:rsid w:val="00EC6437"/>
    <w:rsid w:val="00EC6860"/>
    <w:rsid w:val="00EC708D"/>
    <w:rsid w:val="00EC77E5"/>
    <w:rsid w:val="00EC7A5E"/>
    <w:rsid w:val="00EC7BD5"/>
    <w:rsid w:val="00EC7C3D"/>
    <w:rsid w:val="00EC7D45"/>
    <w:rsid w:val="00ED065A"/>
    <w:rsid w:val="00ED0B48"/>
    <w:rsid w:val="00ED176A"/>
    <w:rsid w:val="00ED1A95"/>
    <w:rsid w:val="00ED23D2"/>
    <w:rsid w:val="00ED2A07"/>
    <w:rsid w:val="00ED3099"/>
    <w:rsid w:val="00ED341B"/>
    <w:rsid w:val="00ED36CB"/>
    <w:rsid w:val="00ED4010"/>
    <w:rsid w:val="00ED4648"/>
    <w:rsid w:val="00ED4B19"/>
    <w:rsid w:val="00ED516D"/>
    <w:rsid w:val="00ED6543"/>
    <w:rsid w:val="00ED732A"/>
    <w:rsid w:val="00ED7715"/>
    <w:rsid w:val="00ED779D"/>
    <w:rsid w:val="00ED77E9"/>
    <w:rsid w:val="00ED79A5"/>
    <w:rsid w:val="00EE0103"/>
    <w:rsid w:val="00EE029D"/>
    <w:rsid w:val="00EE051F"/>
    <w:rsid w:val="00EE09D5"/>
    <w:rsid w:val="00EE0BD7"/>
    <w:rsid w:val="00EE0E7D"/>
    <w:rsid w:val="00EE15F4"/>
    <w:rsid w:val="00EE175C"/>
    <w:rsid w:val="00EE1ED8"/>
    <w:rsid w:val="00EE20A7"/>
    <w:rsid w:val="00EE24F8"/>
    <w:rsid w:val="00EE25D5"/>
    <w:rsid w:val="00EE2AF4"/>
    <w:rsid w:val="00EE2FBE"/>
    <w:rsid w:val="00EE32A2"/>
    <w:rsid w:val="00EE33E3"/>
    <w:rsid w:val="00EE3563"/>
    <w:rsid w:val="00EE3AE1"/>
    <w:rsid w:val="00EE3C50"/>
    <w:rsid w:val="00EE3C61"/>
    <w:rsid w:val="00EE428D"/>
    <w:rsid w:val="00EE45ED"/>
    <w:rsid w:val="00EE5088"/>
    <w:rsid w:val="00EE5583"/>
    <w:rsid w:val="00EE58BC"/>
    <w:rsid w:val="00EE599D"/>
    <w:rsid w:val="00EE64F7"/>
    <w:rsid w:val="00EE65A4"/>
    <w:rsid w:val="00EE6C4A"/>
    <w:rsid w:val="00EE6D03"/>
    <w:rsid w:val="00EE6D17"/>
    <w:rsid w:val="00EE6D91"/>
    <w:rsid w:val="00EE6EC3"/>
    <w:rsid w:val="00EE7093"/>
    <w:rsid w:val="00EE758A"/>
    <w:rsid w:val="00EE795B"/>
    <w:rsid w:val="00EF0629"/>
    <w:rsid w:val="00EF0A56"/>
    <w:rsid w:val="00EF0D76"/>
    <w:rsid w:val="00EF0E1F"/>
    <w:rsid w:val="00EF1465"/>
    <w:rsid w:val="00EF14EB"/>
    <w:rsid w:val="00EF4202"/>
    <w:rsid w:val="00EF5099"/>
    <w:rsid w:val="00EF5288"/>
    <w:rsid w:val="00EF5395"/>
    <w:rsid w:val="00EF5723"/>
    <w:rsid w:val="00EF5F9B"/>
    <w:rsid w:val="00EF628C"/>
    <w:rsid w:val="00EF651C"/>
    <w:rsid w:val="00EF65D9"/>
    <w:rsid w:val="00EF6668"/>
    <w:rsid w:val="00EF678E"/>
    <w:rsid w:val="00EF6A0F"/>
    <w:rsid w:val="00EF6C18"/>
    <w:rsid w:val="00EF6CC6"/>
    <w:rsid w:val="00EF71C3"/>
    <w:rsid w:val="00EF71F8"/>
    <w:rsid w:val="00EF72E6"/>
    <w:rsid w:val="00EF7385"/>
    <w:rsid w:val="00EF754A"/>
    <w:rsid w:val="00EF78E3"/>
    <w:rsid w:val="00EF7956"/>
    <w:rsid w:val="00EF79EC"/>
    <w:rsid w:val="00EF7E87"/>
    <w:rsid w:val="00EF7EF2"/>
    <w:rsid w:val="00F001AB"/>
    <w:rsid w:val="00F00269"/>
    <w:rsid w:val="00F0027E"/>
    <w:rsid w:val="00F004CD"/>
    <w:rsid w:val="00F00AC5"/>
    <w:rsid w:val="00F0193D"/>
    <w:rsid w:val="00F01C7D"/>
    <w:rsid w:val="00F01DE5"/>
    <w:rsid w:val="00F02268"/>
    <w:rsid w:val="00F024B5"/>
    <w:rsid w:val="00F035C1"/>
    <w:rsid w:val="00F03E59"/>
    <w:rsid w:val="00F03EF1"/>
    <w:rsid w:val="00F041F3"/>
    <w:rsid w:val="00F04566"/>
    <w:rsid w:val="00F0464E"/>
    <w:rsid w:val="00F04DC1"/>
    <w:rsid w:val="00F04E65"/>
    <w:rsid w:val="00F04F24"/>
    <w:rsid w:val="00F050DF"/>
    <w:rsid w:val="00F05291"/>
    <w:rsid w:val="00F0542D"/>
    <w:rsid w:val="00F06504"/>
    <w:rsid w:val="00F065FB"/>
    <w:rsid w:val="00F06693"/>
    <w:rsid w:val="00F06772"/>
    <w:rsid w:val="00F06AB7"/>
    <w:rsid w:val="00F07B73"/>
    <w:rsid w:val="00F10F30"/>
    <w:rsid w:val="00F11151"/>
    <w:rsid w:val="00F11392"/>
    <w:rsid w:val="00F113FC"/>
    <w:rsid w:val="00F11489"/>
    <w:rsid w:val="00F122F2"/>
    <w:rsid w:val="00F12878"/>
    <w:rsid w:val="00F1453C"/>
    <w:rsid w:val="00F14A58"/>
    <w:rsid w:val="00F15293"/>
    <w:rsid w:val="00F15A86"/>
    <w:rsid w:val="00F15D36"/>
    <w:rsid w:val="00F167E6"/>
    <w:rsid w:val="00F16B73"/>
    <w:rsid w:val="00F1736D"/>
    <w:rsid w:val="00F173FE"/>
    <w:rsid w:val="00F17BC3"/>
    <w:rsid w:val="00F17DAA"/>
    <w:rsid w:val="00F17E62"/>
    <w:rsid w:val="00F2066A"/>
    <w:rsid w:val="00F20723"/>
    <w:rsid w:val="00F20728"/>
    <w:rsid w:val="00F2084F"/>
    <w:rsid w:val="00F21202"/>
    <w:rsid w:val="00F21723"/>
    <w:rsid w:val="00F218C7"/>
    <w:rsid w:val="00F21956"/>
    <w:rsid w:val="00F21D1D"/>
    <w:rsid w:val="00F23DA1"/>
    <w:rsid w:val="00F24A97"/>
    <w:rsid w:val="00F24AB1"/>
    <w:rsid w:val="00F25327"/>
    <w:rsid w:val="00F254E6"/>
    <w:rsid w:val="00F26349"/>
    <w:rsid w:val="00F26521"/>
    <w:rsid w:val="00F2674D"/>
    <w:rsid w:val="00F269B7"/>
    <w:rsid w:val="00F2762D"/>
    <w:rsid w:val="00F30022"/>
    <w:rsid w:val="00F30291"/>
    <w:rsid w:val="00F30731"/>
    <w:rsid w:val="00F309FE"/>
    <w:rsid w:val="00F314C5"/>
    <w:rsid w:val="00F31FEA"/>
    <w:rsid w:val="00F3270F"/>
    <w:rsid w:val="00F32C5A"/>
    <w:rsid w:val="00F3313D"/>
    <w:rsid w:val="00F33462"/>
    <w:rsid w:val="00F33E3A"/>
    <w:rsid w:val="00F346C0"/>
    <w:rsid w:val="00F34ADA"/>
    <w:rsid w:val="00F34B8C"/>
    <w:rsid w:val="00F34F9F"/>
    <w:rsid w:val="00F35EB1"/>
    <w:rsid w:val="00F3640D"/>
    <w:rsid w:val="00F36845"/>
    <w:rsid w:val="00F37038"/>
    <w:rsid w:val="00F372FA"/>
    <w:rsid w:val="00F4021A"/>
    <w:rsid w:val="00F40564"/>
    <w:rsid w:val="00F4077B"/>
    <w:rsid w:val="00F40C1C"/>
    <w:rsid w:val="00F41144"/>
    <w:rsid w:val="00F41457"/>
    <w:rsid w:val="00F41601"/>
    <w:rsid w:val="00F4197E"/>
    <w:rsid w:val="00F41DD2"/>
    <w:rsid w:val="00F4282E"/>
    <w:rsid w:val="00F42BB2"/>
    <w:rsid w:val="00F436D1"/>
    <w:rsid w:val="00F446B7"/>
    <w:rsid w:val="00F447D4"/>
    <w:rsid w:val="00F4541D"/>
    <w:rsid w:val="00F45AD1"/>
    <w:rsid w:val="00F45F4B"/>
    <w:rsid w:val="00F46148"/>
    <w:rsid w:val="00F46972"/>
    <w:rsid w:val="00F46B7F"/>
    <w:rsid w:val="00F471D0"/>
    <w:rsid w:val="00F4738B"/>
    <w:rsid w:val="00F473A7"/>
    <w:rsid w:val="00F47423"/>
    <w:rsid w:val="00F47732"/>
    <w:rsid w:val="00F478AA"/>
    <w:rsid w:val="00F47D7B"/>
    <w:rsid w:val="00F47D94"/>
    <w:rsid w:val="00F47F1A"/>
    <w:rsid w:val="00F5073E"/>
    <w:rsid w:val="00F507BB"/>
    <w:rsid w:val="00F50F21"/>
    <w:rsid w:val="00F526D0"/>
    <w:rsid w:val="00F53856"/>
    <w:rsid w:val="00F53898"/>
    <w:rsid w:val="00F54B8E"/>
    <w:rsid w:val="00F54E0F"/>
    <w:rsid w:val="00F559FF"/>
    <w:rsid w:val="00F55F74"/>
    <w:rsid w:val="00F55FF1"/>
    <w:rsid w:val="00F56156"/>
    <w:rsid w:val="00F56639"/>
    <w:rsid w:val="00F56C26"/>
    <w:rsid w:val="00F5760A"/>
    <w:rsid w:val="00F57703"/>
    <w:rsid w:val="00F57885"/>
    <w:rsid w:val="00F57CC7"/>
    <w:rsid w:val="00F57F38"/>
    <w:rsid w:val="00F601BC"/>
    <w:rsid w:val="00F603BD"/>
    <w:rsid w:val="00F606EB"/>
    <w:rsid w:val="00F60CA8"/>
    <w:rsid w:val="00F60DF5"/>
    <w:rsid w:val="00F60E05"/>
    <w:rsid w:val="00F61390"/>
    <w:rsid w:val="00F61981"/>
    <w:rsid w:val="00F622AD"/>
    <w:rsid w:val="00F63811"/>
    <w:rsid w:val="00F63B18"/>
    <w:rsid w:val="00F63BB1"/>
    <w:rsid w:val="00F6407C"/>
    <w:rsid w:val="00F645E4"/>
    <w:rsid w:val="00F6502E"/>
    <w:rsid w:val="00F6530E"/>
    <w:rsid w:val="00F65882"/>
    <w:rsid w:val="00F65999"/>
    <w:rsid w:val="00F66084"/>
    <w:rsid w:val="00F662E2"/>
    <w:rsid w:val="00F666B7"/>
    <w:rsid w:val="00F669E5"/>
    <w:rsid w:val="00F66D5B"/>
    <w:rsid w:val="00F66FBF"/>
    <w:rsid w:val="00F67543"/>
    <w:rsid w:val="00F67970"/>
    <w:rsid w:val="00F67B5C"/>
    <w:rsid w:val="00F67F84"/>
    <w:rsid w:val="00F7028D"/>
    <w:rsid w:val="00F709DB"/>
    <w:rsid w:val="00F71394"/>
    <w:rsid w:val="00F7165A"/>
    <w:rsid w:val="00F71C8A"/>
    <w:rsid w:val="00F72D1E"/>
    <w:rsid w:val="00F72D6D"/>
    <w:rsid w:val="00F738EC"/>
    <w:rsid w:val="00F739EE"/>
    <w:rsid w:val="00F73A5B"/>
    <w:rsid w:val="00F73F46"/>
    <w:rsid w:val="00F7417A"/>
    <w:rsid w:val="00F742E8"/>
    <w:rsid w:val="00F743F6"/>
    <w:rsid w:val="00F74612"/>
    <w:rsid w:val="00F746B6"/>
    <w:rsid w:val="00F74F18"/>
    <w:rsid w:val="00F753A4"/>
    <w:rsid w:val="00F7597D"/>
    <w:rsid w:val="00F75E4C"/>
    <w:rsid w:val="00F7690A"/>
    <w:rsid w:val="00F76C66"/>
    <w:rsid w:val="00F76F77"/>
    <w:rsid w:val="00F77073"/>
    <w:rsid w:val="00F772FC"/>
    <w:rsid w:val="00F77609"/>
    <w:rsid w:val="00F77985"/>
    <w:rsid w:val="00F77CED"/>
    <w:rsid w:val="00F80058"/>
    <w:rsid w:val="00F80242"/>
    <w:rsid w:val="00F8035C"/>
    <w:rsid w:val="00F8047F"/>
    <w:rsid w:val="00F80C32"/>
    <w:rsid w:val="00F81169"/>
    <w:rsid w:val="00F811B1"/>
    <w:rsid w:val="00F811CD"/>
    <w:rsid w:val="00F81694"/>
    <w:rsid w:val="00F81714"/>
    <w:rsid w:val="00F81C79"/>
    <w:rsid w:val="00F81E4C"/>
    <w:rsid w:val="00F81FB3"/>
    <w:rsid w:val="00F8221B"/>
    <w:rsid w:val="00F8271D"/>
    <w:rsid w:val="00F82E96"/>
    <w:rsid w:val="00F83029"/>
    <w:rsid w:val="00F83531"/>
    <w:rsid w:val="00F83621"/>
    <w:rsid w:val="00F836E7"/>
    <w:rsid w:val="00F837F4"/>
    <w:rsid w:val="00F83E0D"/>
    <w:rsid w:val="00F845E6"/>
    <w:rsid w:val="00F85103"/>
    <w:rsid w:val="00F8539B"/>
    <w:rsid w:val="00F85A94"/>
    <w:rsid w:val="00F85D61"/>
    <w:rsid w:val="00F866A3"/>
    <w:rsid w:val="00F86EAC"/>
    <w:rsid w:val="00F86FEF"/>
    <w:rsid w:val="00F87113"/>
    <w:rsid w:val="00F87749"/>
    <w:rsid w:val="00F878DC"/>
    <w:rsid w:val="00F87D67"/>
    <w:rsid w:val="00F87F39"/>
    <w:rsid w:val="00F90013"/>
    <w:rsid w:val="00F901B8"/>
    <w:rsid w:val="00F905FD"/>
    <w:rsid w:val="00F9120F"/>
    <w:rsid w:val="00F91368"/>
    <w:rsid w:val="00F913A8"/>
    <w:rsid w:val="00F916B2"/>
    <w:rsid w:val="00F916C9"/>
    <w:rsid w:val="00F91929"/>
    <w:rsid w:val="00F91A89"/>
    <w:rsid w:val="00F91C8F"/>
    <w:rsid w:val="00F9230D"/>
    <w:rsid w:val="00F92394"/>
    <w:rsid w:val="00F92BD0"/>
    <w:rsid w:val="00F94116"/>
    <w:rsid w:val="00F946C9"/>
    <w:rsid w:val="00F94998"/>
    <w:rsid w:val="00F94EDA"/>
    <w:rsid w:val="00F9569A"/>
    <w:rsid w:val="00F960B7"/>
    <w:rsid w:val="00F962FD"/>
    <w:rsid w:val="00F97B67"/>
    <w:rsid w:val="00FA02D8"/>
    <w:rsid w:val="00FA0495"/>
    <w:rsid w:val="00FA1018"/>
    <w:rsid w:val="00FA1230"/>
    <w:rsid w:val="00FA12BC"/>
    <w:rsid w:val="00FA17A1"/>
    <w:rsid w:val="00FA18CD"/>
    <w:rsid w:val="00FA1915"/>
    <w:rsid w:val="00FA1986"/>
    <w:rsid w:val="00FA1C7F"/>
    <w:rsid w:val="00FA227E"/>
    <w:rsid w:val="00FA2657"/>
    <w:rsid w:val="00FA2ADC"/>
    <w:rsid w:val="00FA2C9C"/>
    <w:rsid w:val="00FA3440"/>
    <w:rsid w:val="00FA392C"/>
    <w:rsid w:val="00FA397C"/>
    <w:rsid w:val="00FA3A2E"/>
    <w:rsid w:val="00FA3C73"/>
    <w:rsid w:val="00FA3DA1"/>
    <w:rsid w:val="00FA3E3F"/>
    <w:rsid w:val="00FA400F"/>
    <w:rsid w:val="00FA4831"/>
    <w:rsid w:val="00FA4B2B"/>
    <w:rsid w:val="00FA4C78"/>
    <w:rsid w:val="00FA51C9"/>
    <w:rsid w:val="00FA5946"/>
    <w:rsid w:val="00FA5F8D"/>
    <w:rsid w:val="00FA6303"/>
    <w:rsid w:val="00FA63BB"/>
    <w:rsid w:val="00FA6D4C"/>
    <w:rsid w:val="00FA73DD"/>
    <w:rsid w:val="00FA77D6"/>
    <w:rsid w:val="00FA7E6A"/>
    <w:rsid w:val="00FB003C"/>
    <w:rsid w:val="00FB03CC"/>
    <w:rsid w:val="00FB04FF"/>
    <w:rsid w:val="00FB050E"/>
    <w:rsid w:val="00FB05BD"/>
    <w:rsid w:val="00FB0F9B"/>
    <w:rsid w:val="00FB1082"/>
    <w:rsid w:val="00FB113D"/>
    <w:rsid w:val="00FB1184"/>
    <w:rsid w:val="00FB1612"/>
    <w:rsid w:val="00FB1DB0"/>
    <w:rsid w:val="00FB2CE7"/>
    <w:rsid w:val="00FB33DE"/>
    <w:rsid w:val="00FB33FA"/>
    <w:rsid w:val="00FB3536"/>
    <w:rsid w:val="00FB3D30"/>
    <w:rsid w:val="00FB44DC"/>
    <w:rsid w:val="00FB4720"/>
    <w:rsid w:val="00FB5059"/>
    <w:rsid w:val="00FB533B"/>
    <w:rsid w:val="00FB57A8"/>
    <w:rsid w:val="00FB5BAA"/>
    <w:rsid w:val="00FB5CC7"/>
    <w:rsid w:val="00FB5F86"/>
    <w:rsid w:val="00FB635A"/>
    <w:rsid w:val="00FB6804"/>
    <w:rsid w:val="00FB6B40"/>
    <w:rsid w:val="00FB795E"/>
    <w:rsid w:val="00FB7CB2"/>
    <w:rsid w:val="00FB7D4E"/>
    <w:rsid w:val="00FB7EBE"/>
    <w:rsid w:val="00FC01E6"/>
    <w:rsid w:val="00FC024E"/>
    <w:rsid w:val="00FC07A5"/>
    <w:rsid w:val="00FC09CF"/>
    <w:rsid w:val="00FC0A52"/>
    <w:rsid w:val="00FC1346"/>
    <w:rsid w:val="00FC1544"/>
    <w:rsid w:val="00FC19C9"/>
    <w:rsid w:val="00FC23EA"/>
    <w:rsid w:val="00FC24BA"/>
    <w:rsid w:val="00FC3A94"/>
    <w:rsid w:val="00FC3D59"/>
    <w:rsid w:val="00FC3ED0"/>
    <w:rsid w:val="00FC3FAC"/>
    <w:rsid w:val="00FC4633"/>
    <w:rsid w:val="00FC477C"/>
    <w:rsid w:val="00FC4EBB"/>
    <w:rsid w:val="00FC5135"/>
    <w:rsid w:val="00FC668A"/>
    <w:rsid w:val="00FC668E"/>
    <w:rsid w:val="00FC6987"/>
    <w:rsid w:val="00FC6AA2"/>
    <w:rsid w:val="00FC7B37"/>
    <w:rsid w:val="00FD0146"/>
    <w:rsid w:val="00FD0A37"/>
    <w:rsid w:val="00FD1290"/>
    <w:rsid w:val="00FD1589"/>
    <w:rsid w:val="00FD1FEA"/>
    <w:rsid w:val="00FD2062"/>
    <w:rsid w:val="00FD206F"/>
    <w:rsid w:val="00FD34C7"/>
    <w:rsid w:val="00FD353E"/>
    <w:rsid w:val="00FD35BE"/>
    <w:rsid w:val="00FD4086"/>
    <w:rsid w:val="00FD4110"/>
    <w:rsid w:val="00FD4884"/>
    <w:rsid w:val="00FD5600"/>
    <w:rsid w:val="00FD561F"/>
    <w:rsid w:val="00FD5681"/>
    <w:rsid w:val="00FD5B1C"/>
    <w:rsid w:val="00FD5C65"/>
    <w:rsid w:val="00FD6507"/>
    <w:rsid w:val="00FD6B64"/>
    <w:rsid w:val="00FD6B9F"/>
    <w:rsid w:val="00FD6D8F"/>
    <w:rsid w:val="00FD71F5"/>
    <w:rsid w:val="00FD7828"/>
    <w:rsid w:val="00FD782F"/>
    <w:rsid w:val="00FD7D6B"/>
    <w:rsid w:val="00FE21DC"/>
    <w:rsid w:val="00FE2478"/>
    <w:rsid w:val="00FE2BA1"/>
    <w:rsid w:val="00FE2D19"/>
    <w:rsid w:val="00FE3D85"/>
    <w:rsid w:val="00FE3D8C"/>
    <w:rsid w:val="00FE65D8"/>
    <w:rsid w:val="00FE6798"/>
    <w:rsid w:val="00FE6AC7"/>
    <w:rsid w:val="00FE7060"/>
    <w:rsid w:val="00FE737B"/>
    <w:rsid w:val="00FE7694"/>
    <w:rsid w:val="00FE7CBF"/>
    <w:rsid w:val="00FE7D51"/>
    <w:rsid w:val="00FE7D75"/>
    <w:rsid w:val="00FE7D99"/>
    <w:rsid w:val="00FF02EA"/>
    <w:rsid w:val="00FF059A"/>
    <w:rsid w:val="00FF0C29"/>
    <w:rsid w:val="00FF0CD7"/>
    <w:rsid w:val="00FF0CF7"/>
    <w:rsid w:val="00FF2624"/>
    <w:rsid w:val="00FF2712"/>
    <w:rsid w:val="00FF28D2"/>
    <w:rsid w:val="00FF310E"/>
    <w:rsid w:val="00FF3580"/>
    <w:rsid w:val="00FF37A5"/>
    <w:rsid w:val="00FF39AF"/>
    <w:rsid w:val="00FF3E5F"/>
    <w:rsid w:val="00FF40E4"/>
    <w:rsid w:val="00FF4632"/>
    <w:rsid w:val="00FF4750"/>
    <w:rsid w:val="00FF4785"/>
    <w:rsid w:val="00FF47BC"/>
    <w:rsid w:val="00FF5098"/>
    <w:rsid w:val="00FF50CC"/>
    <w:rsid w:val="00FF5964"/>
    <w:rsid w:val="00FF6024"/>
    <w:rsid w:val="00FF6A10"/>
    <w:rsid w:val="00FF6A7E"/>
    <w:rsid w:val="00FF6C51"/>
    <w:rsid w:val="00FF7470"/>
    <w:rsid w:val="00FF7847"/>
    <w:rsid w:val="023B31B5"/>
    <w:rsid w:val="035B0FDD"/>
    <w:rsid w:val="05AA5F48"/>
    <w:rsid w:val="05C4627E"/>
    <w:rsid w:val="066719A6"/>
    <w:rsid w:val="08A059D4"/>
    <w:rsid w:val="0DF037F0"/>
    <w:rsid w:val="0ED927D2"/>
    <w:rsid w:val="0EE4486D"/>
    <w:rsid w:val="11553C6D"/>
    <w:rsid w:val="12FE37FC"/>
    <w:rsid w:val="13683243"/>
    <w:rsid w:val="137B5074"/>
    <w:rsid w:val="139879D4"/>
    <w:rsid w:val="14144D54"/>
    <w:rsid w:val="14181BE5"/>
    <w:rsid w:val="14186D67"/>
    <w:rsid w:val="141943BE"/>
    <w:rsid w:val="14CE0A6A"/>
    <w:rsid w:val="1646691B"/>
    <w:rsid w:val="18C45E6C"/>
    <w:rsid w:val="1A9329AF"/>
    <w:rsid w:val="1B7F1479"/>
    <w:rsid w:val="1CC51829"/>
    <w:rsid w:val="1CD35F20"/>
    <w:rsid w:val="1E3F2F0B"/>
    <w:rsid w:val="249D232F"/>
    <w:rsid w:val="25082377"/>
    <w:rsid w:val="25217484"/>
    <w:rsid w:val="259F138B"/>
    <w:rsid w:val="25F63CE3"/>
    <w:rsid w:val="279A13BE"/>
    <w:rsid w:val="28D15FBB"/>
    <w:rsid w:val="2B0E33F4"/>
    <w:rsid w:val="2C40312B"/>
    <w:rsid w:val="2E8C546A"/>
    <w:rsid w:val="2EF51D26"/>
    <w:rsid w:val="2F5E549D"/>
    <w:rsid w:val="374942BF"/>
    <w:rsid w:val="3A02442A"/>
    <w:rsid w:val="3AB8419F"/>
    <w:rsid w:val="3C095063"/>
    <w:rsid w:val="3C4E2FE4"/>
    <w:rsid w:val="3CC91F5A"/>
    <w:rsid w:val="3E165D4B"/>
    <w:rsid w:val="3F7A7ADC"/>
    <w:rsid w:val="3F941936"/>
    <w:rsid w:val="40A94EC6"/>
    <w:rsid w:val="42EE02B7"/>
    <w:rsid w:val="43AA3D08"/>
    <w:rsid w:val="44BE49CC"/>
    <w:rsid w:val="470F0B20"/>
    <w:rsid w:val="48052DBE"/>
    <w:rsid w:val="4D9E1A99"/>
    <w:rsid w:val="54577FD0"/>
    <w:rsid w:val="546E4EB3"/>
    <w:rsid w:val="56EE4F2B"/>
    <w:rsid w:val="57336AB9"/>
    <w:rsid w:val="59512F60"/>
    <w:rsid w:val="5A4710C9"/>
    <w:rsid w:val="60FA4DF7"/>
    <w:rsid w:val="61722BDF"/>
    <w:rsid w:val="624E5B31"/>
    <w:rsid w:val="6302552C"/>
    <w:rsid w:val="63F0428F"/>
    <w:rsid w:val="64017097"/>
    <w:rsid w:val="6619616F"/>
    <w:rsid w:val="6C307308"/>
    <w:rsid w:val="6CCD4A91"/>
    <w:rsid w:val="6F5311FC"/>
    <w:rsid w:val="6FDB5A36"/>
    <w:rsid w:val="7459021C"/>
    <w:rsid w:val="74AA7D2B"/>
    <w:rsid w:val="75D60362"/>
    <w:rsid w:val="7843597C"/>
    <w:rsid w:val="7C2470E4"/>
    <w:rsid w:val="7CCB4B2D"/>
    <w:rsid w:val="7DCC3140"/>
    <w:rsid w:val="7F7F2C3F"/>
    <w:rsid w:val="7FB93F8F"/>
    <w:rsid w:val="7FC701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qFormat="1" w:unhideWhenUsed="0" w:uiPriority="0" w:semiHidden="0"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name="Table Professional"/>
    <w:lsdException w:uiPriority="99" w:name="Table Subtle 1"/>
    <w:lsdException w:uiPriority="99" w:name="Table Subtle 2"/>
    <w:lsdException w:uiPriority="99" w:name="Table Web 1"/>
    <w:lsdException w:uiPriority="99"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1"/>
    <w:qFormat/>
    <w:uiPriority w:val="0"/>
    <w:pPr>
      <w:keepNext/>
      <w:keepLines/>
      <w:tabs>
        <w:tab w:val="left" w:pos="432"/>
      </w:tabs>
      <w:spacing w:before="340" w:after="330" w:line="578" w:lineRule="auto"/>
      <w:ind w:left="432" w:hanging="432"/>
      <w:outlineLvl w:val="0"/>
    </w:pPr>
    <w:rPr>
      <w:rFonts w:ascii="Times New Roman" w:hAnsi="Times New Roman" w:eastAsia="宋体" w:cs="Times New Roman"/>
      <w:b/>
      <w:bCs/>
      <w:kern w:val="44"/>
      <w:sz w:val="44"/>
      <w:szCs w:val="44"/>
    </w:rPr>
  </w:style>
  <w:style w:type="paragraph" w:styleId="3">
    <w:name w:val="heading 2"/>
    <w:basedOn w:val="1"/>
    <w:next w:val="1"/>
    <w:link w:val="112"/>
    <w:qFormat/>
    <w:uiPriority w:val="0"/>
    <w:pPr>
      <w:keepNext/>
      <w:keepLines/>
      <w:tabs>
        <w:tab w:val="left" w:pos="576"/>
      </w:tabs>
      <w:spacing w:before="260" w:after="260" w:line="416" w:lineRule="auto"/>
      <w:ind w:left="576" w:hanging="576"/>
      <w:outlineLvl w:val="1"/>
    </w:pPr>
    <w:rPr>
      <w:rFonts w:ascii="Arial" w:hAnsi="Arial" w:eastAsia="黑体" w:cs="Times New Roman"/>
      <w:b/>
      <w:bCs/>
      <w:sz w:val="32"/>
      <w:szCs w:val="32"/>
    </w:rPr>
  </w:style>
  <w:style w:type="paragraph" w:styleId="4">
    <w:name w:val="heading 3"/>
    <w:basedOn w:val="1"/>
    <w:next w:val="1"/>
    <w:link w:val="113"/>
    <w:qFormat/>
    <w:uiPriority w:val="0"/>
    <w:pPr>
      <w:keepNext/>
      <w:keepLines/>
      <w:tabs>
        <w:tab w:val="left" w:pos="720"/>
      </w:tabs>
      <w:spacing w:before="260" w:after="260" w:line="416" w:lineRule="auto"/>
      <w:ind w:left="720" w:hanging="720"/>
      <w:outlineLvl w:val="2"/>
    </w:pPr>
    <w:rPr>
      <w:rFonts w:ascii="Times New Roman" w:hAnsi="Times New Roman" w:eastAsia="宋体" w:cs="Times New Roman"/>
      <w:b/>
      <w:bCs/>
      <w:sz w:val="32"/>
      <w:szCs w:val="32"/>
    </w:rPr>
  </w:style>
  <w:style w:type="paragraph" w:styleId="5">
    <w:name w:val="heading 4"/>
    <w:basedOn w:val="1"/>
    <w:next w:val="6"/>
    <w:link w:val="114"/>
    <w:qFormat/>
    <w:uiPriority w:val="0"/>
    <w:pPr>
      <w:keepNext/>
      <w:keepLines/>
      <w:tabs>
        <w:tab w:val="left" w:pos="864"/>
      </w:tabs>
      <w:spacing w:before="120"/>
      <w:ind w:left="864" w:hanging="864"/>
      <w:outlineLvl w:val="3"/>
    </w:pPr>
    <w:rPr>
      <w:rFonts w:ascii="Times New Roman" w:hAnsi="Times New Roman" w:eastAsia="宋体" w:cs="Times New Roman"/>
      <w:b/>
      <w:sz w:val="24"/>
      <w:szCs w:val="20"/>
    </w:rPr>
  </w:style>
  <w:style w:type="paragraph" w:styleId="7">
    <w:name w:val="heading 5"/>
    <w:basedOn w:val="1"/>
    <w:next w:val="1"/>
    <w:link w:val="115"/>
    <w:qFormat/>
    <w:uiPriority w:val="0"/>
    <w:pPr>
      <w:keepLines/>
      <w:tabs>
        <w:tab w:val="left" w:pos="1008"/>
      </w:tabs>
      <w:adjustRightInd w:val="0"/>
      <w:spacing w:before="280" w:after="290" w:line="376" w:lineRule="auto"/>
      <w:ind w:left="1008" w:hanging="1008"/>
      <w:jc w:val="center"/>
      <w:textAlignment w:val="baseline"/>
      <w:outlineLvl w:val="4"/>
    </w:pPr>
    <w:rPr>
      <w:rFonts w:ascii="宋体" w:hAnsi="Arial" w:eastAsia="宋体" w:cs="Times New Roman"/>
      <w:b/>
      <w:kern w:val="0"/>
      <w:sz w:val="24"/>
      <w:szCs w:val="20"/>
      <w:lang w:val="zh-CN" w:eastAsia="zh-CN"/>
    </w:rPr>
  </w:style>
  <w:style w:type="paragraph" w:styleId="8">
    <w:name w:val="heading 6"/>
    <w:basedOn w:val="1"/>
    <w:next w:val="1"/>
    <w:link w:val="116"/>
    <w:qFormat/>
    <w:uiPriority w:val="0"/>
    <w:pPr>
      <w:keepLines/>
      <w:tabs>
        <w:tab w:val="left" w:pos="1152"/>
      </w:tabs>
      <w:adjustRightInd w:val="0"/>
      <w:spacing w:before="240" w:after="64" w:line="320" w:lineRule="auto"/>
      <w:ind w:left="1152" w:hanging="1152"/>
      <w:jc w:val="center"/>
      <w:textAlignment w:val="baseline"/>
      <w:outlineLvl w:val="5"/>
    </w:pPr>
    <w:rPr>
      <w:rFonts w:ascii="Arial" w:hAnsi="Arial" w:eastAsia="黑体" w:cs="Times New Roman"/>
      <w:b/>
      <w:kern w:val="0"/>
      <w:sz w:val="24"/>
      <w:szCs w:val="20"/>
      <w:lang w:val="zh-CN" w:eastAsia="zh-CN"/>
    </w:rPr>
  </w:style>
  <w:style w:type="paragraph" w:styleId="9">
    <w:name w:val="heading 7"/>
    <w:basedOn w:val="1"/>
    <w:next w:val="1"/>
    <w:link w:val="117"/>
    <w:qFormat/>
    <w:uiPriority w:val="0"/>
    <w:pPr>
      <w:keepLines/>
      <w:tabs>
        <w:tab w:val="left" w:pos="1296"/>
      </w:tabs>
      <w:adjustRightInd w:val="0"/>
      <w:spacing w:before="240" w:after="64" w:line="320" w:lineRule="auto"/>
      <w:ind w:left="1296" w:hanging="1296"/>
      <w:jc w:val="center"/>
      <w:textAlignment w:val="baseline"/>
      <w:outlineLvl w:val="6"/>
    </w:pPr>
    <w:rPr>
      <w:rFonts w:ascii="宋体" w:hAnsi="Arial" w:eastAsia="宋体" w:cs="Times New Roman"/>
      <w:b/>
      <w:kern w:val="0"/>
      <w:sz w:val="24"/>
      <w:szCs w:val="20"/>
      <w:lang w:val="zh-CN" w:eastAsia="zh-CN"/>
    </w:rPr>
  </w:style>
  <w:style w:type="paragraph" w:styleId="10">
    <w:name w:val="heading 8"/>
    <w:basedOn w:val="1"/>
    <w:next w:val="1"/>
    <w:link w:val="118"/>
    <w:qFormat/>
    <w:uiPriority w:val="0"/>
    <w:pPr>
      <w:keepLines/>
      <w:tabs>
        <w:tab w:val="left" w:pos="1440"/>
      </w:tabs>
      <w:adjustRightInd w:val="0"/>
      <w:spacing w:before="240" w:after="64" w:line="320" w:lineRule="auto"/>
      <w:ind w:left="1440" w:hanging="1440"/>
      <w:jc w:val="center"/>
      <w:textAlignment w:val="baseline"/>
      <w:outlineLvl w:val="7"/>
    </w:pPr>
    <w:rPr>
      <w:rFonts w:ascii="Arial" w:hAnsi="Arial" w:eastAsia="黑体" w:cs="Times New Roman"/>
      <w:kern w:val="0"/>
      <w:sz w:val="24"/>
      <w:szCs w:val="20"/>
      <w:lang w:val="zh-CN" w:eastAsia="zh-CN"/>
    </w:rPr>
  </w:style>
  <w:style w:type="paragraph" w:styleId="11">
    <w:name w:val="heading 9"/>
    <w:basedOn w:val="1"/>
    <w:next w:val="1"/>
    <w:link w:val="119"/>
    <w:qFormat/>
    <w:uiPriority w:val="0"/>
    <w:pPr>
      <w:keepLines/>
      <w:tabs>
        <w:tab w:val="left" w:pos="1584"/>
      </w:tabs>
      <w:adjustRightInd w:val="0"/>
      <w:spacing w:before="240" w:after="64" w:line="320" w:lineRule="auto"/>
      <w:ind w:left="1584" w:hanging="1584"/>
      <w:jc w:val="center"/>
      <w:textAlignment w:val="baseline"/>
      <w:outlineLvl w:val="8"/>
    </w:pPr>
    <w:rPr>
      <w:rFonts w:ascii="Arial" w:hAnsi="Arial" w:eastAsia="黑体" w:cs="Times New Roman"/>
      <w:kern w:val="0"/>
      <w:szCs w:val="20"/>
      <w:lang w:val="zh-CN" w:eastAsia="zh-CN"/>
    </w:rPr>
  </w:style>
  <w:style w:type="character" w:default="1" w:styleId="58">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75"/>
    <w:unhideWhenUsed/>
    <w:qFormat/>
    <w:uiPriority w:val="0"/>
    <w:pPr>
      <w:ind w:firstLine="420" w:firstLineChars="200"/>
    </w:pPr>
  </w:style>
  <w:style w:type="paragraph" w:styleId="12">
    <w:name w:val="List 3"/>
    <w:basedOn w:val="1"/>
    <w:link w:val="89"/>
    <w:qFormat/>
    <w:uiPriority w:val="0"/>
    <w:pPr>
      <w:ind w:left="100" w:leftChars="400" w:hanging="200" w:hangingChars="200"/>
      <w:contextualSpacing/>
    </w:pPr>
    <w:rPr>
      <w:rFonts w:ascii="Arial" w:hAnsi="Arial"/>
      <w:sz w:val="24"/>
      <w:szCs w:val="24"/>
      <w:lang w:val="zh-CN"/>
    </w:rPr>
  </w:style>
  <w:style w:type="paragraph" w:styleId="13">
    <w:name w:val="toc 7"/>
    <w:basedOn w:val="1"/>
    <w:next w:val="1"/>
    <w:qFormat/>
    <w:uiPriority w:val="39"/>
    <w:pPr>
      <w:ind w:left="1260"/>
      <w:jc w:val="left"/>
    </w:pPr>
    <w:rPr>
      <w:rFonts w:ascii="Times New Roman" w:hAnsi="Times New Roman" w:eastAsia="宋体" w:cs="Times New Roman"/>
      <w:sz w:val="18"/>
      <w:szCs w:val="18"/>
    </w:rPr>
  </w:style>
  <w:style w:type="paragraph" w:styleId="14">
    <w:name w:val="List Number"/>
    <w:basedOn w:val="15"/>
    <w:qFormat/>
    <w:uiPriority w:val="0"/>
    <w:pPr>
      <w:widowControl/>
      <w:adjustRightInd/>
      <w:spacing w:line="360" w:lineRule="auto"/>
      <w:ind w:left="360" w:right="720" w:firstLine="0"/>
      <w:textAlignment w:val="auto"/>
    </w:pPr>
    <w:rPr>
      <w:rFonts w:ascii="Garamond" w:hAnsi="Garamond" w:eastAsia="楷体_GB2312"/>
      <w:kern w:val="0"/>
      <w:sz w:val="32"/>
      <w:szCs w:val="20"/>
    </w:rPr>
  </w:style>
  <w:style w:type="paragraph" w:styleId="15">
    <w:name w:val="List"/>
    <w:basedOn w:val="1"/>
    <w:qFormat/>
    <w:uiPriority w:val="0"/>
    <w:pPr>
      <w:adjustRightInd w:val="0"/>
      <w:spacing w:line="312" w:lineRule="atLeast"/>
      <w:ind w:left="420" w:hanging="420"/>
      <w:textAlignment w:val="baseline"/>
    </w:pPr>
    <w:rPr>
      <w:rFonts w:ascii="Times New Roman" w:hAnsi="Times New Roman" w:eastAsia="宋体" w:cs="Times New Roman"/>
      <w:sz w:val="27"/>
      <w:szCs w:val="24"/>
    </w:rPr>
  </w:style>
  <w:style w:type="paragraph" w:styleId="16">
    <w:name w:val="caption"/>
    <w:basedOn w:val="1"/>
    <w:next w:val="1"/>
    <w:link w:val="191"/>
    <w:qFormat/>
    <w:uiPriority w:val="0"/>
    <w:rPr>
      <w:rFonts w:ascii="Arial" w:hAnsi="Arial" w:eastAsia="黑体" w:cs="Arial"/>
    </w:rPr>
  </w:style>
  <w:style w:type="paragraph" w:styleId="17">
    <w:name w:val="Document Map"/>
    <w:basedOn w:val="1"/>
    <w:link w:val="78"/>
    <w:unhideWhenUsed/>
    <w:qFormat/>
    <w:uiPriority w:val="0"/>
    <w:rPr>
      <w:rFonts w:ascii="宋体" w:eastAsia="宋体"/>
      <w:sz w:val="18"/>
      <w:szCs w:val="18"/>
    </w:rPr>
  </w:style>
  <w:style w:type="paragraph" w:styleId="18">
    <w:name w:val="annotation text"/>
    <w:basedOn w:val="1"/>
    <w:link w:val="79"/>
    <w:unhideWhenUsed/>
    <w:qFormat/>
    <w:uiPriority w:val="99"/>
    <w:pPr>
      <w:jc w:val="left"/>
    </w:pPr>
  </w:style>
  <w:style w:type="paragraph" w:styleId="19">
    <w:name w:val="Body Text 3"/>
    <w:basedOn w:val="1"/>
    <w:link w:val="308"/>
    <w:qFormat/>
    <w:uiPriority w:val="0"/>
    <w:pPr>
      <w:spacing w:after="120"/>
    </w:pPr>
    <w:rPr>
      <w:sz w:val="16"/>
      <w:szCs w:val="16"/>
    </w:rPr>
  </w:style>
  <w:style w:type="paragraph" w:styleId="20">
    <w:name w:val="Body Text"/>
    <w:basedOn w:val="1"/>
    <w:link w:val="102"/>
    <w:qFormat/>
    <w:uiPriority w:val="0"/>
    <w:pPr>
      <w:spacing w:after="120"/>
    </w:pPr>
    <w:rPr>
      <w:rFonts w:ascii="Times New Roman" w:hAnsi="Times New Roman" w:eastAsia="宋体" w:cs="Times New Roman"/>
      <w:szCs w:val="20"/>
    </w:rPr>
  </w:style>
  <w:style w:type="paragraph" w:styleId="21">
    <w:name w:val="Body Text Indent"/>
    <w:basedOn w:val="1"/>
    <w:link w:val="241"/>
    <w:qFormat/>
    <w:uiPriority w:val="0"/>
    <w:pPr>
      <w:spacing w:after="120"/>
      <w:ind w:left="420" w:leftChars="200"/>
    </w:pPr>
    <w:rPr>
      <w:rFonts w:ascii="宋体"/>
      <w:sz w:val="24"/>
    </w:rPr>
  </w:style>
  <w:style w:type="paragraph" w:styleId="22">
    <w:name w:val="List 2"/>
    <w:basedOn w:val="1"/>
    <w:qFormat/>
    <w:uiPriority w:val="0"/>
    <w:pPr>
      <w:spacing w:line="500" w:lineRule="atLeast"/>
      <w:ind w:firstLine="480" w:firstLineChars="200"/>
      <w:outlineLvl w:val="2"/>
    </w:pPr>
    <w:rPr>
      <w:rFonts w:ascii="Times New Roman" w:hAnsi="Times New Roman" w:eastAsia="宋体" w:cs="Times New Roman"/>
      <w:sz w:val="24"/>
      <w:szCs w:val="24"/>
    </w:rPr>
  </w:style>
  <w:style w:type="paragraph" w:styleId="23">
    <w:name w:val="Block Text"/>
    <w:basedOn w:val="1"/>
    <w:qFormat/>
    <w:uiPriority w:val="0"/>
    <w:pPr>
      <w:widowControl/>
      <w:spacing w:line="240" w:lineRule="exact"/>
      <w:ind w:left="113" w:right="113"/>
      <w:jc w:val="center"/>
      <w:textAlignment w:val="top"/>
    </w:pPr>
    <w:rPr>
      <w:rFonts w:ascii="宋体" w:hAnsi="宋体" w:eastAsia="宋体" w:cs="Times New Roman"/>
      <w:b/>
      <w:spacing w:val="20"/>
      <w:sz w:val="18"/>
      <w:szCs w:val="18"/>
    </w:rPr>
  </w:style>
  <w:style w:type="paragraph" w:styleId="24">
    <w:name w:val="toc 5"/>
    <w:basedOn w:val="1"/>
    <w:next w:val="1"/>
    <w:qFormat/>
    <w:uiPriority w:val="39"/>
    <w:pPr>
      <w:ind w:left="840"/>
      <w:jc w:val="left"/>
    </w:pPr>
    <w:rPr>
      <w:rFonts w:ascii="Times New Roman" w:hAnsi="Times New Roman" w:eastAsia="宋体" w:cs="Times New Roman"/>
      <w:sz w:val="18"/>
      <w:szCs w:val="18"/>
    </w:rPr>
  </w:style>
  <w:style w:type="paragraph" w:styleId="25">
    <w:name w:val="toc 3"/>
    <w:basedOn w:val="1"/>
    <w:next w:val="1"/>
    <w:qFormat/>
    <w:uiPriority w:val="39"/>
    <w:pPr>
      <w:spacing w:line="440" w:lineRule="exact"/>
      <w:ind w:left="200" w:leftChars="200"/>
      <w:jc w:val="left"/>
    </w:pPr>
    <w:rPr>
      <w:rFonts w:ascii="Times New Roman" w:hAnsi="Times New Roman" w:eastAsia="宋体" w:cs="Times New Roman"/>
      <w:iCs/>
      <w:sz w:val="24"/>
      <w:szCs w:val="20"/>
    </w:rPr>
  </w:style>
  <w:style w:type="paragraph" w:styleId="26">
    <w:name w:val="Plain Text"/>
    <w:basedOn w:val="1"/>
    <w:link w:val="239"/>
    <w:qFormat/>
    <w:uiPriority w:val="0"/>
    <w:rPr>
      <w:rFonts w:ascii="宋体" w:hAnsi="Courier New" w:eastAsia="宋体"/>
    </w:rPr>
  </w:style>
  <w:style w:type="paragraph" w:styleId="27">
    <w:name w:val="List Bullet 5"/>
    <w:basedOn w:val="1"/>
    <w:qFormat/>
    <w:uiPriority w:val="0"/>
    <w:pPr>
      <w:tabs>
        <w:tab w:val="left" w:pos="360"/>
      </w:tabs>
    </w:pPr>
    <w:rPr>
      <w:rFonts w:hint="eastAsia" w:ascii="宋体" w:hAnsi="宋体" w:eastAsia="宋体" w:cs="Times New Roman"/>
      <w:sz w:val="24"/>
      <w:szCs w:val="24"/>
    </w:rPr>
  </w:style>
  <w:style w:type="paragraph" w:styleId="28">
    <w:name w:val="List Number 4"/>
    <w:basedOn w:val="1"/>
    <w:qFormat/>
    <w:uiPriority w:val="0"/>
    <w:pPr>
      <w:numPr>
        <w:ilvl w:val="0"/>
        <w:numId w:val="1"/>
      </w:numPr>
      <w:adjustRightInd w:val="0"/>
      <w:snapToGrid w:val="0"/>
      <w:spacing w:line="360" w:lineRule="auto"/>
    </w:pPr>
    <w:rPr>
      <w:rFonts w:ascii="Times New Roman" w:hAnsi="Times New Roman" w:eastAsia="宋体" w:cs="Times New Roman"/>
      <w:sz w:val="24"/>
      <w:szCs w:val="24"/>
    </w:rPr>
  </w:style>
  <w:style w:type="paragraph" w:styleId="29">
    <w:name w:val="toc 8"/>
    <w:basedOn w:val="1"/>
    <w:next w:val="1"/>
    <w:qFormat/>
    <w:uiPriority w:val="39"/>
    <w:pPr>
      <w:ind w:left="1470"/>
      <w:jc w:val="left"/>
    </w:pPr>
    <w:rPr>
      <w:rFonts w:ascii="Times New Roman" w:hAnsi="Times New Roman" w:eastAsia="宋体" w:cs="Times New Roman"/>
      <w:sz w:val="18"/>
      <w:szCs w:val="18"/>
    </w:rPr>
  </w:style>
  <w:style w:type="paragraph" w:styleId="30">
    <w:name w:val="Date"/>
    <w:basedOn w:val="1"/>
    <w:next w:val="1"/>
    <w:link w:val="84"/>
    <w:unhideWhenUsed/>
    <w:qFormat/>
    <w:uiPriority w:val="0"/>
    <w:pPr>
      <w:ind w:left="100" w:leftChars="2500"/>
    </w:pPr>
  </w:style>
  <w:style w:type="paragraph" w:styleId="31">
    <w:name w:val="Body Text Indent 2"/>
    <w:basedOn w:val="1"/>
    <w:link w:val="123"/>
    <w:qFormat/>
    <w:uiPriority w:val="0"/>
    <w:pPr>
      <w:spacing w:after="120" w:line="480" w:lineRule="auto"/>
      <w:ind w:left="420" w:leftChars="200"/>
    </w:pPr>
    <w:rPr>
      <w:szCs w:val="24"/>
    </w:rPr>
  </w:style>
  <w:style w:type="paragraph" w:styleId="32">
    <w:name w:val="endnote text"/>
    <w:basedOn w:val="1"/>
    <w:link w:val="909"/>
    <w:qFormat/>
    <w:uiPriority w:val="0"/>
    <w:pPr>
      <w:snapToGrid w:val="0"/>
      <w:jc w:val="left"/>
    </w:pPr>
    <w:rPr>
      <w:rFonts w:ascii="Times New Roman" w:hAnsi="Times New Roman" w:eastAsia="宋体" w:cs="Times New Roman"/>
      <w:szCs w:val="20"/>
    </w:rPr>
  </w:style>
  <w:style w:type="paragraph" w:styleId="33">
    <w:name w:val="Balloon Text"/>
    <w:basedOn w:val="1"/>
    <w:link w:val="77"/>
    <w:unhideWhenUsed/>
    <w:qFormat/>
    <w:uiPriority w:val="0"/>
    <w:rPr>
      <w:sz w:val="18"/>
      <w:szCs w:val="18"/>
    </w:rPr>
  </w:style>
  <w:style w:type="paragraph" w:styleId="34">
    <w:name w:val="footer"/>
    <w:basedOn w:val="1"/>
    <w:link w:val="74"/>
    <w:unhideWhenUsed/>
    <w:qFormat/>
    <w:uiPriority w:val="0"/>
    <w:pPr>
      <w:tabs>
        <w:tab w:val="center" w:pos="4153"/>
        <w:tab w:val="right" w:pos="8306"/>
      </w:tabs>
      <w:snapToGrid w:val="0"/>
      <w:jc w:val="left"/>
    </w:pPr>
    <w:rPr>
      <w:sz w:val="18"/>
      <w:szCs w:val="18"/>
    </w:rPr>
  </w:style>
  <w:style w:type="paragraph" w:styleId="35">
    <w:name w:val="header"/>
    <w:basedOn w:val="1"/>
    <w:link w:val="73"/>
    <w:unhideWhenUsed/>
    <w:qFormat/>
    <w:uiPriority w:val="99"/>
    <w:pPr>
      <w:pBdr>
        <w:bottom w:val="single" w:color="auto" w:sz="6" w:space="1"/>
      </w:pBdr>
      <w:tabs>
        <w:tab w:val="center" w:pos="4153"/>
        <w:tab w:val="right" w:pos="8306"/>
      </w:tabs>
      <w:snapToGrid w:val="0"/>
      <w:jc w:val="center"/>
    </w:pPr>
    <w:rPr>
      <w:sz w:val="18"/>
      <w:szCs w:val="18"/>
    </w:rPr>
  </w:style>
  <w:style w:type="paragraph" w:styleId="36">
    <w:name w:val="toc 1"/>
    <w:basedOn w:val="1"/>
    <w:next w:val="1"/>
    <w:qFormat/>
    <w:uiPriority w:val="39"/>
    <w:pPr>
      <w:spacing w:line="360" w:lineRule="auto"/>
      <w:jc w:val="left"/>
    </w:pPr>
    <w:rPr>
      <w:rFonts w:ascii="Times New Roman" w:hAnsi="Times New Roman" w:eastAsia="宋体" w:cs="Times New Roman"/>
      <w:b/>
      <w:bCs/>
      <w:i/>
      <w:iCs/>
      <w:sz w:val="24"/>
      <w:szCs w:val="28"/>
    </w:rPr>
  </w:style>
  <w:style w:type="paragraph" w:styleId="37">
    <w:name w:val="toc 4"/>
    <w:basedOn w:val="1"/>
    <w:next w:val="1"/>
    <w:qFormat/>
    <w:uiPriority w:val="39"/>
    <w:pPr>
      <w:ind w:left="630"/>
      <w:jc w:val="left"/>
    </w:pPr>
    <w:rPr>
      <w:rFonts w:ascii="Times New Roman" w:hAnsi="Times New Roman" w:eastAsia="宋体" w:cs="Times New Roman"/>
      <w:sz w:val="18"/>
      <w:szCs w:val="18"/>
    </w:rPr>
  </w:style>
  <w:style w:type="paragraph" w:styleId="38">
    <w:name w:val="index heading"/>
    <w:basedOn w:val="1"/>
    <w:next w:val="39"/>
    <w:qFormat/>
    <w:uiPriority w:val="0"/>
    <w:rPr>
      <w:rFonts w:ascii="Times New Roman" w:hAnsi="Times New Roman" w:eastAsia="宋体" w:cs="Times New Roman"/>
      <w:szCs w:val="24"/>
    </w:rPr>
  </w:style>
  <w:style w:type="paragraph" w:styleId="39">
    <w:name w:val="index 1"/>
    <w:basedOn w:val="1"/>
    <w:next w:val="1"/>
    <w:autoRedefine/>
    <w:unhideWhenUsed/>
    <w:qFormat/>
    <w:uiPriority w:val="0"/>
  </w:style>
  <w:style w:type="paragraph" w:styleId="40">
    <w:name w:val="Subtitle"/>
    <w:basedOn w:val="1"/>
    <w:next w:val="1"/>
    <w:link w:val="417"/>
    <w:qFormat/>
    <w:uiPriority w:val="0"/>
    <w:pPr>
      <w:spacing w:before="240" w:after="60" w:line="312" w:lineRule="auto"/>
      <w:jc w:val="center"/>
      <w:outlineLvl w:val="1"/>
    </w:pPr>
    <w:rPr>
      <w:rFonts w:ascii="Cambria" w:hAnsi="Cambria" w:eastAsia="宋体" w:cs="Times New Roman"/>
      <w:b/>
      <w:bCs/>
      <w:kern w:val="28"/>
      <w:sz w:val="32"/>
      <w:szCs w:val="32"/>
      <w:lang w:val="zh-CN" w:eastAsia="zh-CN"/>
    </w:rPr>
  </w:style>
  <w:style w:type="paragraph" w:styleId="41">
    <w:name w:val="toc 6"/>
    <w:basedOn w:val="1"/>
    <w:next w:val="1"/>
    <w:qFormat/>
    <w:uiPriority w:val="39"/>
    <w:pPr>
      <w:ind w:left="1050"/>
      <w:jc w:val="left"/>
    </w:pPr>
    <w:rPr>
      <w:rFonts w:ascii="Times New Roman" w:hAnsi="Times New Roman" w:eastAsia="宋体" w:cs="Times New Roman"/>
      <w:sz w:val="18"/>
      <w:szCs w:val="18"/>
    </w:rPr>
  </w:style>
  <w:style w:type="paragraph" w:styleId="42">
    <w:name w:val="Body Text Indent 3"/>
    <w:basedOn w:val="1"/>
    <w:link w:val="383"/>
    <w:qFormat/>
    <w:uiPriority w:val="0"/>
    <w:pPr>
      <w:spacing w:after="120"/>
      <w:ind w:left="420" w:leftChars="200"/>
    </w:pPr>
    <w:rPr>
      <w:sz w:val="16"/>
      <w:szCs w:val="16"/>
    </w:rPr>
  </w:style>
  <w:style w:type="paragraph" w:styleId="43">
    <w:name w:val="toc 2"/>
    <w:basedOn w:val="1"/>
    <w:next w:val="1"/>
    <w:autoRedefine/>
    <w:unhideWhenUsed/>
    <w:qFormat/>
    <w:uiPriority w:val="39"/>
    <w:pPr>
      <w:ind w:left="420" w:leftChars="200"/>
    </w:pPr>
  </w:style>
  <w:style w:type="paragraph" w:styleId="44">
    <w:name w:val="toc 9"/>
    <w:basedOn w:val="1"/>
    <w:next w:val="1"/>
    <w:qFormat/>
    <w:uiPriority w:val="39"/>
    <w:pPr>
      <w:ind w:left="1680"/>
      <w:jc w:val="left"/>
    </w:pPr>
    <w:rPr>
      <w:rFonts w:ascii="Times New Roman" w:hAnsi="Times New Roman" w:eastAsia="宋体" w:cs="Times New Roman"/>
      <w:sz w:val="18"/>
      <w:szCs w:val="18"/>
    </w:rPr>
  </w:style>
  <w:style w:type="paragraph" w:styleId="45">
    <w:name w:val="Body Text 2"/>
    <w:basedOn w:val="1"/>
    <w:link w:val="416"/>
    <w:qFormat/>
    <w:uiPriority w:val="0"/>
    <w:pPr>
      <w:spacing w:after="120" w:line="480" w:lineRule="auto"/>
    </w:pPr>
    <w:rPr>
      <w:rFonts w:ascii="Times New Roman" w:hAnsi="Times New Roman" w:eastAsia="宋体" w:cs="Times New Roman"/>
      <w:szCs w:val="24"/>
    </w:rPr>
  </w:style>
  <w:style w:type="paragraph" w:styleId="46">
    <w:name w:val="HTML Preformatted"/>
    <w:basedOn w:val="1"/>
    <w:link w:val="14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szCs w:val="21"/>
    </w:rPr>
  </w:style>
  <w:style w:type="paragraph" w:styleId="47">
    <w:name w:val="Normal (Web)"/>
    <w:basedOn w:val="1"/>
    <w:link w:val="86"/>
    <w:qFormat/>
    <w:uiPriority w:val="99"/>
    <w:pPr>
      <w:widowControl/>
      <w:spacing w:before="100" w:beforeAutospacing="1" w:after="100" w:afterAutospacing="1"/>
      <w:jc w:val="left"/>
    </w:pPr>
    <w:rPr>
      <w:rFonts w:ascii="宋体" w:hAnsi="宋体" w:eastAsia="宋体"/>
      <w:sz w:val="24"/>
    </w:rPr>
  </w:style>
  <w:style w:type="paragraph" w:styleId="48">
    <w:name w:val="Title"/>
    <w:basedOn w:val="1"/>
    <w:link w:val="415"/>
    <w:qFormat/>
    <w:uiPriority w:val="0"/>
    <w:pPr>
      <w:spacing w:before="60" w:after="60" w:line="460" w:lineRule="exact"/>
      <w:jc w:val="left"/>
      <w:outlineLvl w:val="0"/>
    </w:pPr>
    <w:rPr>
      <w:rFonts w:ascii="宋体" w:hAnsi="宋体" w:eastAsia="宋体" w:cs="Times New Roman"/>
      <w:b/>
      <w:sz w:val="30"/>
      <w:szCs w:val="20"/>
    </w:rPr>
  </w:style>
  <w:style w:type="paragraph" w:styleId="49">
    <w:name w:val="annotation subject"/>
    <w:basedOn w:val="18"/>
    <w:next w:val="18"/>
    <w:link w:val="80"/>
    <w:unhideWhenUsed/>
    <w:qFormat/>
    <w:uiPriority w:val="0"/>
    <w:rPr>
      <w:b/>
      <w:bCs/>
    </w:rPr>
  </w:style>
  <w:style w:type="paragraph" w:styleId="50">
    <w:name w:val="Body Text First Indent"/>
    <w:basedOn w:val="20"/>
    <w:link w:val="185"/>
    <w:qFormat/>
    <w:uiPriority w:val="0"/>
    <w:pPr>
      <w:ind w:firstLine="420" w:firstLineChars="100"/>
    </w:pPr>
    <w:rPr>
      <w:rFonts w:ascii="Arial" w:hAnsi="Arial" w:cstheme="minorBidi"/>
      <w:sz w:val="24"/>
      <w:szCs w:val="24"/>
    </w:rPr>
  </w:style>
  <w:style w:type="paragraph" w:styleId="51">
    <w:name w:val="Body Text First Indent 2"/>
    <w:basedOn w:val="21"/>
    <w:link w:val="265"/>
    <w:qFormat/>
    <w:uiPriority w:val="0"/>
    <w:pPr>
      <w:ind w:firstLine="210" w:firstLineChars="200"/>
    </w:pPr>
    <w:rPr>
      <w:sz w:val="21"/>
      <w:szCs w:val="24"/>
    </w:rPr>
  </w:style>
  <w:style w:type="table" w:styleId="53">
    <w:name w:val="Table Grid"/>
    <w:basedOn w:val="5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4">
    <w:name w:val="Table Theme"/>
    <w:basedOn w:val="5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5">
    <w:name w:val="Table Grid 1"/>
    <w:basedOn w:val="52"/>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6">
    <w:name w:val="Table Web 3"/>
    <w:basedOn w:val="52"/>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57">
    <w:name w:val="Table Professional"/>
    <w:basedOn w:val="52"/>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59">
    <w:name w:val="Strong"/>
    <w:basedOn w:val="58"/>
    <w:qFormat/>
    <w:uiPriority w:val="0"/>
    <w:rPr>
      <w:b/>
      <w:bCs/>
    </w:rPr>
  </w:style>
  <w:style w:type="character" w:styleId="60">
    <w:name w:val="endnote reference"/>
    <w:qFormat/>
    <w:uiPriority w:val="0"/>
    <w:rPr>
      <w:vertAlign w:val="superscript"/>
    </w:rPr>
  </w:style>
  <w:style w:type="character" w:styleId="61">
    <w:name w:val="page number"/>
    <w:qFormat/>
    <w:uiPriority w:val="0"/>
  </w:style>
  <w:style w:type="character" w:styleId="62">
    <w:name w:val="FollowedHyperlink"/>
    <w:qFormat/>
    <w:uiPriority w:val="0"/>
    <w:rPr>
      <w:color w:val="338DE6"/>
      <w:u w:val="none"/>
    </w:rPr>
  </w:style>
  <w:style w:type="character" w:styleId="63">
    <w:name w:val="Emphasis"/>
    <w:qFormat/>
    <w:uiPriority w:val="0"/>
    <w:rPr>
      <w:color w:val="CC0033"/>
    </w:rPr>
  </w:style>
  <w:style w:type="character" w:styleId="64">
    <w:name w:val="HTML Definition"/>
    <w:qFormat/>
    <w:uiPriority w:val="0"/>
  </w:style>
  <w:style w:type="character" w:styleId="65">
    <w:name w:val="HTML Acronym"/>
    <w:basedOn w:val="58"/>
    <w:qFormat/>
    <w:uiPriority w:val="0"/>
  </w:style>
  <w:style w:type="character" w:styleId="66">
    <w:name w:val="HTML Variable"/>
    <w:qFormat/>
    <w:uiPriority w:val="0"/>
  </w:style>
  <w:style w:type="character" w:styleId="67">
    <w:name w:val="Hyperlink"/>
    <w:basedOn w:val="58"/>
    <w:unhideWhenUsed/>
    <w:qFormat/>
    <w:uiPriority w:val="99"/>
    <w:rPr>
      <w:color w:val="0563C1" w:themeColor="hyperlink"/>
      <w:u w:val="single"/>
      <w14:textFill>
        <w14:solidFill>
          <w14:schemeClr w14:val="hlink"/>
        </w14:solidFill>
      </w14:textFill>
    </w:rPr>
  </w:style>
  <w:style w:type="character" w:styleId="68">
    <w:name w:val="HTML Code"/>
    <w:qFormat/>
    <w:uiPriority w:val="0"/>
    <w:rPr>
      <w:rFonts w:ascii="黑体" w:hAnsi="Courier New" w:eastAsia="黑体" w:cs="Courier New"/>
      <w:sz w:val="24"/>
      <w:szCs w:val="24"/>
    </w:rPr>
  </w:style>
  <w:style w:type="character" w:styleId="69">
    <w:name w:val="annotation reference"/>
    <w:basedOn w:val="58"/>
    <w:unhideWhenUsed/>
    <w:qFormat/>
    <w:uiPriority w:val="0"/>
    <w:rPr>
      <w:sz w:val="21"/>
      <w:szCs w:val="21"/>
    </w:rPr>
  </w:style>
  <w:style w:type="character" w:styleId="70">
    <w:name w:val="HTML Cite"/>
    <w:qFormat/>
    <w:uiPriority w:val="0"/>
  </w:style>
  <w:style w:type="character" w:styleId="71">
    <w:name w:val="HTML Keyboard"/>
    <w:qFormat/>
    <w:uiPriority w:val="0"/>
    <w:rPr>
      <w:rFonts w:hint="default" w:ascii="monospace" w:hAnsi="monospace" w:eastAsia="monospace" w:cs="monospace"/>
      <w:sz w:val="21"/>
      <w:szCs w:val="21"/>
    </w:rPr>
  </w:style>
  <w:style w:type="character" w:styleId="72">
    <w:name w:val="HTML Sample"/>
    <w:qFormat/>
    <w:uiPriority w:val="0"/>
    <w:rPr>
      <w:rFonts w:hint="default" w:ascii="monospace" w:hAnsi="monospace" w:eastAsia="monospace" w:cs="monospace"/>
      <w:sz w:val="21"/>
      <w:szCs w:val="21"/>
    </w:rPr>
  </w:style>
  <w:style w:type="character" w:customStyle="1" w:styleId="73">
    <w:name w:val="页眉 Char"/>
    <w:basedOn w:val="58"/>
    <w:link w:val="35"/>
    <w:qFormat/>
    <w:uiPriority w:val="99"/>
    <w:rPr>
      <w:sz w:val="18"/>
      <w:szCs w:val="18"/>
    </w:rPr>
  </w:style>
  <w:style w:type="character" w:customStyle="1" w:styleId="74">
    <w:name w:val="页脚 Char2"/>
    <w:basedOn w:val="58"/>
    <w:link w:val="34"/>
    <w:qFormat/>
    <w:uiPriority w:val="0"/>
    <w:rPr>
      <w:sz w:val="18"/>
      <w:szCs w:val="18"/>
    </w:rPr>
  </w:style>
  <w:style w:type="character" w:customStyle="1" w:styleId="75">
    <w:name w:val="正文缩进 Char4"/>
    <w:link w:val="6"/>
    <w:qFormat/>
    <w:uiPriority w:val="0"/>
  </w:style>
  <w:style w:type="paragraph" w:styleId="76">
    <w:name w:val="List Paragraph"/>
    <w:basedOn w:val="1"/>
    <w:link w:val="104"/>
    <w:qFormat/>
    <w:uiPriority w:val="34"/>
  </w:style>
  <w:style w:type="character" w:customStyle="1" w:styleId="77">
    <w:name w:val="批注框文本 Char"/>
    <w:basedOn w:val="58"/>
    <w:link w:val="33"/>
    <w:qFormat/>
    <w:uiPriority w:val="0"/>
    <w:rPr>
      <w:sz w:val="18"/>
      <w:szCs w:val="18"/>
    </w:rPr>
  </w:style>
  <w:style w:type="character" w:customStyle="1" w:styleId="78">
    <w:name w:val="文档结构图 Char"/>
    <w:basedOn w:val="58"/>
    <w:link w:val="17"/>
    <w:qFormat/>
    <w:uiPriority w:val="0"/>
    <w:rPr>
      <w:rFonts w:ascii="宋体" w:eastAsia="宋体"/>
      <w:sz w:val="18"/>
      <w:szCs w:val="18"/>
    </w:rPr>
  </w:style>
  <w:style w:type="character" w:customStyle="1" w:styleId="79">
    <w:name w:val="批注文字 Char"/>
    <w:basedOn w:val="58"/>
    <w:link w:val="18"/>
    <w:qFormat/>
    <w:uiPriority w:val="99"/>
  </w:style>
  <w:style w:type="character" w:customStyle="1" w:styleId="80">
    <w:name w:val="批注主题 Char"/>
    <w:basedOn w:val="79"/>
    <w:link w:val="49"/>
    <w:qFormat/>
    <w:uiPriority w:val="0"/>
    <w:rPr>
      <w:b/>
      <w:bCs/>
    </w:rPr>
  </w:style>
  <w:style w:type="table" w:customStyle="1" w:styleId="81">
    <w:name w:val="网格型1"/>
    <w:basedOn w:val="5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
    <w:name w:val="网格型7"/>
    <w:basedOn w:val="52"/>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3">
    <w:name w:val="常用正文样式"/>
    <w:basedOn w:val="1"/>
    <w:link w:val="94"/>
    <w:qFormat/>
    <w:uiPriority w:val="0"/>
    <w:pPr>
      <w:spacing w:line="360" w:lineRule="auto"/>
      <w:ind w:firstLine="480" w:firstLineChars="200"/>
    </w:pPr>
    <w:rPr>
      <w:rFonts w:ascii="Times New Roman" w:hAnsi="Times New Roman" w:eastAsia="宋体" w:cs="Times New Roman"/>
      <w:kern w:val="28"/>
      <w:sz w:val="24"/>
      <w:szCs w:val="24"/>
    </w:rPr>
  </w:style>
  <w:style w:type="character" w:customStyle="1" w:styleId="84">
    <w:name w:val="日期 Char"/>
    <w:basedOn w:val="58"/>
    <w:link w:val="30"/>
    <w:qFormat/>
    <w:uiPriority w:val="99"/>
  </w:style>
  <w:style w:type="table" w:customStyle="1" w:styleId="85">
    <w:name w:val="网格型51"/>
    <w:basedOn w:val="52"/>
    <w:unhideWhenUsed/>
    <w:qFormat/>
    <w:uiPriority w:val="9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6">
    <w:name w:val="普通(网站) Char1"/>
    <w:link w:val="47"/>
    <w:qFormat/>
    <w:locked/>
    <w:uiPriority w:val="0"/>
    <w:rPr>
      <w:rFonts w:ascii="宋体" w:hAnsi="宋体" w:eastAsia="宋体"/>
      <w:sz w:val="24"/>
    </w:rPr>
  </w:style>
  <w:style w:type="character" w:customStyle="1" w:styleId="87">
    <w:name w:val="表格 Char"/>
    <w:link w:val="88"/>
    <w:qFormat/>
    <w:locked/>
    <w:uiPriority w:val="0"/>
    <w:rPr>
      <w:rFonts w:ascii="宋体"/>
    </w:rPr>
  </w:style>
  <w:style w:type="paragraph" w:customStyle="1" w:styleId="88">
    <w:name w:val="表格"/>
    <w:basedOn w:val="1"/>
    <w:next w:val="1"/>
    <w:link w:val="87"/>
    <w:qFormat/>
    <w:uiPriority w:val="0"/>
    <w:pPr>
      <w:adjustRightInd w:val="0"/>
      <w:snapToGrid w:val="0"/>
      <w:spacing w:beforeLines="10" w:afterLines="10" w:line="259" w:lineRule="auto"/>
      <w:jc w:val="center"/>
    </w:pPr>
    <w:rPr>
      <w:rFonts w:ascii="宋体"/>
    </w:rPr>
  </w:style>
  <w:style w:type="character" w:customStyle="1" w:styleId="89">
    <w:name w:val="列表 3 Char"/>
    <w:link w:val="12"/>
    <w:qFormat/>
    <w:uiPriority w:val="0"/>
    <w:rPr>
      <w:rFonts w:ascii="Arial" w:hAnsi="Arial"/>
      <w:sz w:val="24"/>
      <w:szCs w:val="24"/>
      <w:lang w:val="zh-CN"/>
    </w:rPr>
  </w:style>
  <w:style w:type="paragraph" w:customStyle="1" w:styleId="90">
    <w:name w:val="Char5"/>
    <w:basedOn w:val="1"/>
    <w:qFormat/>
    <w:uiPriority w:val="0"/>
    <w:pPr>
      <w:spacing w:line="360" w:lineRule="auto"/>
      <w:ind w:firstLine="200" w:firstLineChars="200"/>
    </w:pPr>
    <w:rPr>
      <w:rFonts w:ascii="宋体" w:hAnsi="宋体" w:eastAsia="宋体" w:cs="宋体"/>
      <w:sz w:val="24"/>
      <w:szCs w:val="24"/>
    </w:rPr>
  </w:style>
  <w:style w:type="character" w:customStyle="1" w:styleId="91">
    <w:name w:val="正文01 Char"/>
    <w:link w:val="92"/>
    <w:qFormat/>
    <w:uiPriority w:val="0"/>
    <w:rPr>
      <w:rFonts w:eastAsia="宋体"/>
      <w:sz w:val="24"/>
      <w:szCs w:val="24"/>
    </w:rPr>
  </w:style>
  <w:style w:type="paragraph" w:customStyle="1" w:styleId="92">
    <w:name w:val="正文01"/>
    <w:basedOn w:val="1"/>
    <w:link w:val="91"/>
    <w:qFormat/>
    <w:uiPriority w:val="0"/>
    <w:pPr>
      <w:spacing w:before="60" w:line="460" w:lineRule="exact"/>
      <w:ind w:firstLine="200" w:firstLineChars="200"/>
    </w:pPr>
    <w:rPr>
      <w:rFonts w:eastAsia="宋体"/>
      <w:sz w:val="24"/>
      <w:szCs w:val="24"/>
    </w:rPr>
  </w:style>
  <w:style w:type="paragraph" w:customStyle="1" w:styleId="93">
    <w:name w:val="正文-7"/>
    <w:basedOn w:val="1"/>
    <w:qFormat/>
    <w:uiPriority w:val="0"/>
    <w:pPr>
      <w:spacing w:before="30" w:beforeLines="30" w:line="460" w:lineRule="exact"/>
      <w:ind w:firstLine="200" w:firstLineChars="200"/>
    </w:pPr>
    <w:rPr>
      <w:rFonts w:ascii="Times New Roman" w:hAnsi="Times New Roman" w:eastAsia="宋体" w:cs="Times New Roman"/>
      <w:snapToGrid w:val="0"/>
      <w:kern w:val="0"/>
      <w:sz w:val="24"/>
      <w:szCs w:val="24"/>
    </w:rPr>
  </w:style>
  <w:style w:type="character" w:customStyle="1" w:styleId="94">
    <w:name w:val="常用正文样式 Char1"/>
    <w:link w:val="83"/>
    <w:qFormat/>
    <w:uiPriority w:val="0"/>
    <w:rPr>
      <w:rFonts w:ascii="Times New Roman" w:hAnsi="Times New Roman" w:eastAsia="宋体" w:cs="Times New Roman"/>
      <w:kern w:val="28"/>
      <w:sz w:val="24"/>
      <w:szCs w:val="24"/>
    </w:rPr>
  </w:style>
  <w:style w:type="character" w:customStyle="1" w:styleId="95">
    <w:name w:val="正文缩进 Char2"/>
    <w:qFormat/>
    <w:uiPriority w:val="0"/>
  </w:style>
  <w:style w:type="paragraph" w:customStyle="1" w:styleId="96">
    <w:name w:val="二级标题8"/>
    <w:basedOn w:val="1"/>
    <w:qFormat/>
    <w:uiPriority w:val="0"/>
    <w:pPr>
      <w:spacing w:before="60" w:line="460" w:lineRule="exact"/>
      <w:outlineLvl w:val="1"/>
    </w:pPr>
    <w:rPr>
      <w:rFonts w:ascii="Times New Roman" w:hAnsi="Times New Roman" w:eastAsia="宋体" w:cs="宋体"/>
      <w:b/>
      <w:bCs/>
      <w:snapToGrid w:val="0"/>
      <w:kern w:val="0"/>
      <w:sz w:val="28"/>
      <w:szCs w:val="20"/>
    </w:rPr>
  </w:style>
  <w:style w:type="character" w:customStyle="1" w:styleId="97">
    <w:name w:val="表格正文 Char2"/>
    <w:link w:val="98"/>
    <w:qFormat/>
    <w:uiPriority w:val="0"/>
    <w:rPr>
      <w:rFonts w:ascii="Times New Roman" w:hAnsi="Times New Roman" w:eastAsia="宋体" w:cs="Times New Roman"/>
      <w:szCs w:val="21"/>
    </w:rPr>
  </w:style>
  <w:style w:type="paragraph" w:customStyle="1" w:styleId="98">
    <w:name w:val="表格正文"/>
    <w:basedOn w:val="1"/>
    <w:link w:val="97"/>
    <w:qFormat/>
    <w:uiPriority w:val="0"/>
    <w:pPr>
      <w:spacing w:line="360" w:lineRule="exact"/>
      <w:jc w:val="center"/>
    </w:pPr>
    <w:rPr>
      <w:rFonts w:ascii="Times New Roman" w:hAnsi="Times New Roman" w:eastAsia="宋体" w:cs="Times New Roman"/>
      <w:szCs w:val="21"/>
    </w:rPr>
  </w:style>
  <w:style w:type="paragraph" w:customStyle="1" w:styleId="99">
    <w:name w:val="表格正文8"/>
    <w:basedOn w:val="1"/>
    <w:qFormat/>
    <w:uiPriority w:val="0"/>
    <w:pPr>
      <w:spacing w:line="360" w:lineRule="exact"/>
      <w:jc w:val="center"/>
    </w:pPr>
    <w:rPr>
      <w:rFonts w:ascii="Times New Roman" w:hAnsi="Times New Roman" w:eastAsia="宋体" w:cs="Times New Roman"/>
      <w:snapToGrid w:val="0"/>
      <w:kern w:val="0"/>
      <w:szCs w:val="21"/>
    </w:rPr>
  </w:style>
  <w:style w:type="paragraph" w:customStyle="1" w:styleId="100">
    <w:name w:val="样式7"/>
    <w:basedOn w:val="1"/>
    <w:link w:val="790"/>
    <w:qFormat/>
    <w:uiPriority w:val="0"/>
    <w:pPr>
      <w:spacing w:line="360" w:lineRule="auto"/>
      <w:jc w:val="center"/>
    </w:pPr>
    <w:rPr>
      <w:rFonts w:ascii="仿宋_GB2312" w:hAnsi="Arial" w:eastAsia="仿宋_GB2312" w:cs="Times New Roman"/>
      <w:b/>
      <w:sz w:val="24"/>
      <w:szCs w:val="20"/>
    </w:rPr>
  </w:style>
  <w:style w:type="paragraph" w:customStyle="1" w:styleId="101">
    <w:name w:val="表内表"/>
    <w:basedOn w:val="1"/>
    <w:qFormat/>
    <w:uiPriority w:val="0"/>
    <w:pPr>
      <w:jc w:val="center"/>
    </w:pPr>
    <w:rPr>
      <w:rFonts w:ascii="Times New Roman" w:hAnsi="Times New Roman" w:eastAsia="仿宋_GB2312" w:cs="Times New Roman"/>
      <w:kern w:val="0"/>
      <w:szCs w:val="20"/>
    </w:rPr>
  </w:style>
  <w:style w:type="character" w:customStyle="1" w:styleId="102">
    <w:name w:val="正文文本 Char1"/>
    <w:basedOn w:val="58"/>
    <w:link w:val="20"/>
    <w:qFormat/>
    <w:uiPriority w:val="0"/>
    <w:rPr>
      <w:rFonts w:ascii="Times New Roman" w:hAnsi="Times New Roman" w:eastAsia="宋体" w:cs="Times New Roman"/>
      <w:szCs w:val="20"/>
    </w:rPr>
  </w:style>
  <w:style w:type="character" w:styleId="103">
    <w:name w:val="Placeholder Text"/>
    <w:basedOn w:val="58"/>
    <w:semiHidden/>
    <w:qFormat/>
    <w:uiPriority w:val="99"/>
    <w:rPr>
      <w:color w:val="808080"/>
    </w:rPr>
  </w:style>
  <w:style w:type="character" w:customStyle="1" w:styleId="104">
    <w:name w:val="列出段落 Char"/>
    <w:link w:val="76"/>
    <w:qFormat/>
    <w:uiPriority w:val="34"/>
  </w:style>
  <w:style w:type="paragraph" w:customStyle="1" w:styleId="105">
    <w:name w:val="正文01新"/>
    <w:basedOn w:val="1"/>
    <w:link w:val="106"/>
    <w:qFormat/>
    <w:uiPriority w:val="0"/>
    <w:pPr>
      <w:snapToGrid w:val="0"/>
      <w:spacing w:beforeLines="30" w:line="460" w:lineRule="exact"/>
      <w:ind w:firstLine="200" w:firstLineChars="200"/>
    </w:pPr>
    <w:rPr>
      <w:rFonts w:ascii="Times New Roman" w:hAnsi="Times New Roman" w:eastAsia="宋体" w:cs="Times New Roman"/>
      <w:kern w:val="0"/>
      <w:sz w:val="24"/>
      <w:szCs w:val="24"/>
    </w:rPr>
  </w:style>
  <w:style w:type="character" w:customStyle="1" w:styleId="106">
    <w:name w:val="正文01新 Char"/>
    <w:link w:val="105"/>
    <w:qFormat/>
    <w:uiPriority w:val="0"/>
    <w:rPr>
      <w:rFonts w:ascii="Times New Roman" w:hAnsi="Times New Roman" w:eastAsia="宋体" w:cs="Times New Roman"/>
      <w:kern w:val="0"/>
      <w:sz w:val="24"/>
      <w:szCs w:val="24"/>
    </w:rPr>
  </w:style>
  <w:style w:type="character" w:customStyle="1" w:styleId="107">
    <w:name w:val="表格标题-02 Char"/>
    <w:link w:val="108"/>
    <w:qFormat/>
    <w:locked/>
    <w:uiPriority w:val="0"/>
    <w:rPr>
      <w:snapToGrid w:val="0"/>
      <w:sz w:val="24"/>
      <w:szCs w:val="24"/>
    </w:rPr>
  </w:style>
  <w:style w:type="paragraph" w:customStyle="1" w:styleId="108">
    <w:name w:val="表格标题-02"/>
    <w:basedOn w:val="1"/>
    <w:link w:val="107"/>
    <w:qFormat/>
    <w:uiPriority w:val="0"/>
    <w:pPr>
      <w:snapToGrid w:val="0"/>
      <w:spacing w:beforeLines="30" w:line="460" w:lineRule="exact"/>
      <w:jc w:val="center"/>
    </w:pPr>
    <w:rPr>
      <w:snapToGrid w:val="0"/>
      <w:sz w:val="24"/>
      <w:szCs w:val="24"/>
    </w:rPr>
  </w:style>
  <w:style w:type="paragraph" w:customStyle="1" w:styleId="109">
    <w:name w:val="样式 表格正文 + 行距: 单倍行距"/>
    <w:basedOn w:val="98"/>
    <w:qFormat/>
    <w:uiPriority w:val="0"/>
    <w:pPr>
      <w:spacing w:line="240" w:lineRule="auto"/>
    </w:pPr>
    <w:rPr>
      <w:rFonts w:ascii="Arial" w:hAnsi="Arial" w:cs="宋体"/>
      <w:szCs w:val="20"/>
    </w:rPr>
  </w:style>
  <w:style w:type="paragraph" w:customStyle="1" w:styleId="110">
    <w:name w:val="表格标题-1"/>
    <w:basedOn w:val="1"/>
    <w:qFormat/>
    <w:uiPriority w:val="0"/>
    <w:pPr>
      <w:spacing w:before="60" w:line="460" w:lineRule="exact"/>
      <w:jc w:val="center"/>
    </w:pPr>
    <w:rPr>
      <w:rFonts w:ascii="Times New Roman" w:hAnsi="Times New Roman" w:eastAsia="宋体" w:cs="Times New Roman"/>
      <w:bCs/>
      <w:kern w:val="0"/>
      <w:sz w:val="24"/>
      <w:szCs w:val="24"/>
    </w:rPr>
  </w:style>
  <w:style w:type="character" w:customStyle="1" w:styleId="111">
    <w:name w:val="标题 1 Char"/>
    <w:basedOn w:val="58"/>
    <w:link w:val="2"/>
    <w:qFormat/>
    <w:uiPriority w:val="0"/>
    <w:rPr>
      <w:rFonts w:ascii="Times New Roman" w:hAnsi="Times New Roman" w:eastAsia="宋体" w:cs="Times New Roman"/>
      <w:b/>
      <w:bCs/>
      <w:kern w:val="44"/>
      <w:sz w:val="44"/>
      <w:szCs w:val="44"/>
    </w:rPr>
  </w:style>
  <w:style w:type="character" w:customStyle="1" w:styleId="112">
    <w:name w:val="标题 2 Char1"/>
    <w:basedOn w:val="58"/>
    <w:link w:val="3"/>
    <w:qFormat/>
    <w:uiPriority w:val="0"/>
    <w:rPr>
      <w:rFonts w:ascii="Arial" w:hAnsi="Arial" w:eastAsia="黑体" w:cs="Times New Roman"/>
      <w:b/>
      <w:bCs/>
      <w:sz w:val="32"/>
      <w:szCs w:val="32"/>
    </w:rPr>
  </w:style>
  <w:style w:type="character" w:customStyle="1" w:styleId="113">
    <w:name w:val="标题 3 Char2"/>
    <w:basedOn w:val="58"/>
    <w:link w:val="4"/>
    <w:qFormat/>
    <w:uiPriority w:val="0"/>
    <w:rPr>
      <w:rFonts w:ascii="Times New Roman" w:hAnsi="Times New Roman" w:eastAsia="宋体" w:cs="Times New Roman"/>
      <w:b/>
      <w:bCs/>
      <w:sz w:val="32"/>
      <w:szCs w:val="32"/>
    </w:rPr>
  </w:style>
  <w:style w:type="character" w:customStyle="1" w:styleId="114">
    <w:name w:val="标题 4 Char"/>
    <w:basedOn w:val="58"/>
    <w:link w:val="5"/>
    <w:qFormat/>
    <w:uiPriority w:val="0"/>
    <w:rPr>
      <w:rFonts w:ascii="Times New Roman" w:hAnsi="Times New Roman" w:eastAsia="宋体" w:cs="Times New Roman"/>
      <w:b/>
      <w:sz w:val="24"/>
      <w:szCs w:val="20"/>
    </w:rPr>
  </w:style>
  <w:style w:type="character" w:customStyle="1" w:styleId="115">
    <w:name w:val="标题 5 Char"/>
    <w:basedOn w:val="58"/>
    <w:link w:val="7"/>
    <w:qFormat/>
    <w:uiPriority w:val="0"/>
    <w:rPr>
      <w:rFonts w:ascii="宋体" w:hAnsi="Arial" w:eastAsia="宋体" w:cs="Times New Roman"/>
      <w:b/>
      <w:kern w:val="0"/>
      <w:sz w:val="24"/>
      <w:szCs w:val="20"/>
      <w:lang w:val="zh-CN" w:eastAsia="zh-CN"/>
    </w:rPr>
  </w:style>
  <w:style w:type="character" w:customStyle="1" w:styleId="116">
    <w:name w:val="标题 6 Char"/>
    <w:basedOn w:val="58"/>
    <w:link w:val="8"/>
    <w:qFormat/>
    <w:uiPriority w:val="0"/>
    <w:rPr>
      <w:rFonts w:ascii="Arial" w:hAnsi="Arial" w:eastAsia="黑体" w:cs="Times New Roman"/>
      <w:b/>
      <w:kern w:val="0"/>
      <w:sz w:val="24"/>
      <w:szCs w:val="20"/>
      <w:lang w:val="zh-CN" w:eastAsia="zh-CN"/>
    </w:rPr>
  </w:style>
  <w:style w:type="character" w:customStyle="1" w:styleId="117">
    <w:name w:val="标题 7 Char"/>
    <w:basedOn w:val="58"/>
    <w:link w:val="9"/>
    <w:qFormat/>
    <w:uiPriority w:val="0"/>
    <w:rPr>
      <w:rFonts w:ascii="宋体" w:hAnsi="Arial" w:eastAsia="宋体" w:cs="Times New Roman"/>
      <w:b/>
      <w:kern w:val="0"/>
      <w:sz w:val="24"/>
      <w:szCs w:val="20"/>
      <w:lang w:val="zh-CN" w:eastAsia="zh-CN"/>
    </w:rPr>
  </w:style>
  <w:style w:type="character" w:customStyle="1" w:styleId="118">
    <w:name w:val="标题 8 Char"/>
    <w:basedOn w:val="58"/>
    <w:link w:val="10"/>
    <w:qFormat/>
    <w:uiPriority w:val="0"/>
    <w:rPr>
      <w:rFonts w:ascii="Arial" w:hAnsi="Arial" w:eastAsia="黑体" w:cs="Times New Roman"/>
      <w:kern w:val="0"/>
      <w:sz w:val="24"/>
      <w:szCs w:val="20"/>
      <w:lang w:val="zh-CN" w:eastAsia="zh-CN"/>
    </w:rPr>
  </w:style>
  <w:style w:type="character" w:customStyle="1" w:styleId="119">
    <w:name w:val="标题 9 Char"/>
    <w:basedOn w:val="58"/>
    <w:link w:val="11"/>
    <w:qFormat/>
    <w:uiPriority w:val="0"/>
    <w:rPr>
      <w:rFonts w:ascii="Arial" w:hAnsi="Arial" w:eastAsia="黑体" w:cs="Times New Roman"/>
      <w:kern w:val="0"/>
      <w:szCs w:val="20"/>
      <w:lang w:val="zh-CN" w:eastAsia="zh-CN"/>
    </w:rPr>
  </w:style>
  <w:style w:type="paragraph" w:customStyle="1" w:styleId="120">
    <w:name w:val="样式4"/>
    <w:basedOn w:val="1"/>
    <w:qFormat/>
    <w:uiPriority w:val="0"/>
    <w:pPr>
      <w:spacing w:before="60" w:line="460" w:lineRule="atLeast"/>
      <w:ind w:firstLine="200" w:firstLineChars="200"/>
      <w:jc w:val="left"/>
    </w:pPr>
    <w:rPr>
      <w:rFonts w:ascii="Arial" w:hAnsi="Arial" w:eastAsia="宋体" w:cs="Times New Roman"/>
      <w:sz w:val="24"/>
      <w:szCs w:val="24"/>
    </w:rPr>
  </w:style>
  <w:style w:type="character" w:customStyle="1" w:styleId="121">
    <w:name w:val="正文缩进 字符1"/>
    <w:qFormat/>
    <w:uiPriority w:val="0"/>
    <w:rPr>
      <w:rFonts w:eastAsia="宋体"/>
      <w:kern w:val="2"/>
      <w:sz w:val="24"/>
      <w:lang w:val="en-US" w:eastAsia="zh-CN" w:bidi="ar-SA"/>
    </w:rPr>
  </w:style>
  <w:style w:type="character" w:customStyle="1" w:styleId="122">
    <w:name w:val="12heiwuxian"/>
    <w:qFormat/>
    <w:uiPriority w:val="0"/>
  </w:style>
  <w:style w:type="character" w:customStyle="1" w:styleId="123">
    <w:name w:val="正文文本缩进 2 Char"/>
    <w:link w:val="31"/>
    <w:qFormat/>
    <w:uiPriority w:val="0"/>
    <w:rPr>
      <w:szCs w:val="24"/>
    </w:rPr>
  </w:style>
  <w:style w:type="character" w:customStyle="1" w:styleId="124">
    <w:name w:val="正文文本缩进 2 字符1"/>
    <w:basedOn w:val="58"/>
    <w:semiHidden/>
    <w:qFormat/>
    <w:uiPriority w:val="99"/>
  </w:style>
  <w:style w:type="character" w:customStyle="1" w:styleId="125">
    <w:name w:val="articlecontent"/>
    <w:qFormat/>
    <w:uiPriority w:val="0"/>
  </w:style>
  <w:style w:type="character" w:customStyle="1" w:styleId="126">
    <w:name w:val="标题 3 Char"/>
    <w:semiHidden/>
    <w:qFormat/>
    <w:uiPriority w:val="0"/>
    <w:rPr>
      <w:b/>
      <w:bCs/>
      <w:kern w:val="2"/>
      <w:sz w:val="32"/>
      <w:szCs w:val="32"/>
    </w:rPr>
  </w:style>
  <w:style w:type="character" w:customStyle="1" w:styleId="127">
    <w:name w:val="orange6"/>
    <w:qFormat/>
    <w:uiPriority w:val="0"/>
    <w:rPr>
      <w:color w:val="3FB58F"/>
    </w:rPr>
  </w:style>
  <w:style w:type="character" w:customStyle="1" w:styleId="128">
    <w:name w:val="标题 8 Char1"/>
    <w:semiHidden/>
    <w:qFormat/>
    <w:uiPriority w:val="0"/>
    <w:rPr>
      <w:rFonts w:ascii="Cambria" w:hAnsi="Cambria" w:eastAsia="宋体" w:cs="Times New Roman"/>
      <w:kern w:val="2"/>
      <w:sz w:val="24"/>
      <w:szCs w:val="24"/>
    </w:rPr>
  </w:style>
  <w:style w:type="character" w:customStyle="1" w:styleId="129">
    <w:name w:val="pzg正文 Char Char"/>
    <w:link w:val="130"/>
    <w:qFormat/>
    <w:uiPriority w:val="0"/>
    <w:rPr>
      <w:sz w:val="24"/>
      <w:szCs w:val="24"/>
    </w:rPr>
  </w:style>
  <w:style w:type="paragraph" w:customStyle="1" w:styleId="130">
    <w:name w:val="pzg正文"/>
    <w:link w:val="129"/>
    <w:qFormat/>
    <w:uiPriority w:val="0"/>
    <w:pPr>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131">
    <w:name w:val="正文01 Char2"/>
    <w:qFormat/>
    <w:uiPriority w:val="0"/>
    <w:rPr>
      <w:rFonts w:eastAsia="宋体"/>
      <w:kern w:val="2"/>
      <w:sz w:val="24"/>
      <w:szCs w:val="24"/>
      <w:lang w:val="en-US" w:eastAsia="zh-CN" w:bidi="ar-SA"/>
    </w:rPr>
  </w:style>
  <w:style w:type="character" w:customStyle="1" w:styleId="132">
    <w:name w:val="no6"/>
    <w:basedOn w:val="58"/>
    <w:qFormat/>
    <w:uiPriority w:val="0"/>
  </w:style>
  <w:style w:type="character" w:customStyle="1" w:styleId="133">
    <w:name w:val="正文首行缩进 2 + Times New Roman Char"/>
    <w:link w:val="134"/>
    <w:qFormat/>
    <w:uiPriority w:val="0"/>
    <w:rPr>
      <w:rFonts w:ascii="Arial" w:hAnsi="Arial" w:eastAsia="宋体" w:cs="Arial"/>
      <w:color w:val="000000"/>
      <w:sz w:val="24"/>
      <w:szCs w:val="24"/>
    </w:rPr>
  </w:style>
  <w:style w:type="paragraph" w:customStyle="1" w:styleId="134">
    <w:name w:val="正文首行缩进 2 + Times New Roman"/>
    <w:basedOn w:val="1"/>
    <w:link w:val="133"/>
    <w:qFormat/>
    <w:uiPriority w:val="0"/>
    <w:pPr>
      <w:tabs>
        <w:tab w:val="left" w:pos="0"/>
        <w:tab w:val="left" w:pos="870"/>
        <w:tab w:val="left" w:pos="3150"/>
      </w:tabs>
      <w:autoSpaceDE w:val="0"/>
      <w:autoSpaceDN w:val="0"/>
      <w:spacing w:line="400" w:lineRule="exact"/>
      <w:ind w:firstLine="480" w:firstLineChars="200"/>
    </w:pPr>
    <w:rPr>
      <w:rFonts w:ascii="Arial" w:hAnsi="Arial" w:eastAsia="宋体" w:cs="Arial"/>
      <w:color w:val="000000"/>
      <w:sz w:val="24"/>
      <w:szCs w:val="24"/>
    </w:rPr>
  </w:style>
  <w:style w:type="character" w:customStyle="1" w:styleId="135">
    <w:name w:val="bt Char"/>
    <w:qFormat/>
    <w:uiPriority w:val="0"/>
    <w:rPr>
      <w:rFonts w:eastAsia="宋体"/>
      <w:kern w:val="2"/>
      <w:sz w:val="24"/>
      <w:szCs w:val="24"/>
      <w:lang w:val="en-US" w:eastAsia="zh-CN" w:bidi="ar-SA"/>
    </w:rPr>
  </w:style>
  <w:style w:type="character" w:customStyle="1" w:styleId="136">
    <w:name w:val="正文文本_"/>
    <w:link w:val="137"/>
    <w:qFormat/>
    <w:locked/>
    <w:uiPriority w:val="0"/>
    <w:rPr>
      <w:rFonts w:ascii="Arial Unicode MS" w:hAnsi="Arial Unicode MS" w:eastAsia="Arial Unicode MS" w:cs="Arial Unicode MS"/>
      <w:sz w:val="23"/>
      <w:szCs w:val="23"/>
      <w:shd w:val="clear" w:color="auto" w:fill="FFFFFF"/>
    </w:rPr>
  </w:style>
  <w:style w:type="paragraph" w:customStyle="1" w:styleId="137">
    <w:name w:val="正文文本6"/>
    <w:basedOn w:val="1"/>
    <w:link w:val="136"/>
    <w:qFormat/>
    <w:uiPriority w:val="0"/>
    <w:pPr>
      <w:widowControl/>
      <w:shd w:val="clear" w:color="auto" w:fill="FFFFFF"/>
      <w:spacing w:before="300" w:after="1260" w:line="622" w:lineRule="exact"/>
      <w:ind w:hanging="480"/>
      <w:jc w:val="left"/>
    </w:pPr>
    <w:rPr>
      <w:rFonts w:ascii="Arial Unicode MS" w:hAnsi="Arial Unicode MS" w:eastAsia="Arial Unicode MS" w:cs="Arial Unicode MS"/>
      <w:sz w:val="23"/>
      <w:szCs w:val="23"/>
    </w:rPr>
  </w:style>
  <w:style w:type="character" w:customStyle="1" w:styleId="138">
    <w:name w:val="书正文 Char"/>
    <w:link w:val="139"/>
    <w:qFormat/>
    <w:uiPriority w:val="0"/>
    <w:rPr>
      <w:rFonts w:ascii="Arial" w:hAnsi="Arial" w:cs="Arial"/>
      <w:sz w:val="24"/>
      <w:szCs w:val="24"/>
    </w:rPr>
  </w:style>
  <w:style w:type="paragraph" w:customStyle="1" w:styleId="139">
    <w:name w:val="书正文"/>
    <w:basedOn w:val="1"/>
    <w:link w:val="138"/>
    <w:qFormat/>
    <w:uiPriority w:val="0"/>
    <w:pPr>
      <w:widowControl/>
      <w:spacing w:before="60" w:line="460" w:lineRule="exact"/>
      <w:ind w:firstLine="200" w:firstLineChars="200"/>
    </w:pPr>
    <w:rPr>
      <w:rFonts w:ascii="Arial" w:hAnsi="Arial" w:cs="Arial"/>
      <w:sz w:val="24"/>
      <w:szCs w:val="24"/>
    </w:rPr>
  </w:style>
  <w:style w:type="character" w:customStyle="1" w:styleId="140">
    <w:name w:val="xl26 Char"/>
    <w:link w:val="141"/>
    <w:qFormat/>
    <w:uiPriority w:val="0"/>
    <w:rPr>
      <w:rFonts w:ascii="宋体" w:hAnsi="宋体"/>
      <w:szCs w:val="21"/>
    </w:rPr>
  </w:style>
  <w:style w:type="paragraph" w:customStyle="1" w:styleId="141">
    <w:name w:val="xl26"/>
    <w:basedOn w:val="1"/>
    <w:link w:val="140"/>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szCs w:val="21"/>
    </w:rPr>
  </w:style>
  <w:style w:type="character" w:customStyle="1" w:styleId="142">
    <w:name w:val="样式 样式 正文缩进 + 小四 首行缩进:  2 字符 + 首行缩进:  2 字符 + 首行缩进:  2 字符 Char"/>
    <w:link w:val="143"/>
    <w:qFormat/>
    <w:uiPriority w:val="0"/>
    <w:rPr>
      <w:sz w:val="24"/>
    </w:rPr>
  </w:style>
  <w:style w:type="paragraph" w:customStyle="1" w:styleId="143">
    <w:name w:val="样式 样式 正文缩进 + 小四 首行缩进:  2 字符 + 首行缩进:  2 字符 + 首行缩进:  2 字符"/>
    <w:basedOn w:val="1"/>
    <w:link w:val="142"/>
    <w:qFormat/>
    <w:uiPriority w:val="0"/>
    <w:pPr>
      <w:spacing w:line="324" w:lineRule="auto"/>
      <w:ind w:firstLine="200" w:firstLineChars="200"/>
    </w:pPr>
    <w:rPr>
      <w:sz w:val="24"/>
    </w:rPr>
  </w:style>
  <w:style w:type="character" w:customStyle="1" w:styleId="144">
    <w:name w:val="HTML 预设格式 Char"/>
    <w:link w:val="46"/>
    <w:qFormat/>
    <w:uiPriority w:val="99"/>
    <w:rPr>
      <w:rFonts w:ascii="Arial" w:hAnsi="Arial" w:cs="Arial"/>
      <w:szCs w:val="21"/>
    </w:rPr>
  </w:style>
  <w:style w:type="character" w:customStyle="1" w:styleId="145">
    <w:name w:val="HTML 预设格式 字符1"/>
    <w:basedOn w:val="58"/>
    <w:semiHidden/>
    <w:qFormat/>
    <w:uiPriority w:val="99"/>
    <w:rPr>
      <w:rFonts w:ascii="Courier New" w:hAnsi="Courier New" w:cs="Courier New"/>
      <w:sz w:val="20"/>
      <w:szCs w:val="20"/>
    </w:rPr>
  </w:style>
  <w:style w:type="character" w:customStyle="1" w:styleId="146">
    <w:name w:val="fs"/>
    <w:qFormat/>
    <w:uiPriority w:val="0"/>
  </w:style>
  <w:style w:type="character" w:customStyle="1" w:styleId="147">
    <w:name w:val="bdh2"/>
    <w:qFormat/>
    <w:uiPriority w:val="0"/>
  </w:style>
  <w:style w:type="character" w:customStyle="1" w:styleId="148">
    <w:name w:val="my-notice1"/>
    <w:basedOn w:val="58"/>
    <w:qFormat/>
    <w:uiPriority w:val="0"/>
  </w:style>
  <w:style w:type="character" w:customStyle="1" w:styleId="149">
    <w:name w:val="content_11"/>
    <w:qFormat/>
    <w:uiPriority w:val="0"/>
    <w:rPr>
      <w:color w:val="333333"/>
      <w:sz w:val="18"/>
      <w:szCs w:val="18"/>
    </w:rPr>
  </w:style>
  <w:style w:type="character" w:customStyle="1" w:styleId="150">
    <w:name w:val="bds_nopic1"/>
    <w:basedOn w:val="58"/>
    <w:qFormat/>
    <w:uiPriority w:val="0"/>
  </w:style>
  <w:style w:type="character" w:customStyle="1" w:styleId="151">
    <w:name w:val="下划线"/>
    <w:qFormat/>
    <w:uiPriority w:val="0"/>
    <w:rPr>
      <w:rFonts w:ascii="Times New Roman" w:hAnsi="Times New Roman" w:eastAsia="仿宋_GB2312"/>
      <w:b/>
      <w:sz w:val="32"/>
      <w:u w:val="single"/>
    </w:rPr>
  </w:style>
  <w:style w:type="character" w:customStyle="1" w:styleId="152">
    <w:name w:val="my-class"/>
    <w:basedOn w:val="58"/>
    <w:qFormat/>
    <w:uiPriority w:val="0"/>
  </w:style>
  <w:style w:type="character" w:customStyle="1" w:styleId="153">
    <w:name w:val="Char Char26"/>
    <w:qFormat/>
    <w:uiPriority w:val="0"/>
    <w:rPr>
      <w:rFonts w:ascii="宋体"/>
      <w:kern w:val="2"/>
      <w:sz w:val="21"/>
      <w:szCs w:val="24"/>
    </w:rPr>
  </w:style>
  <w:style w:type="character" w:customStyle="1" w:styleId="154">
    <w:name w:val="Char Char2"/>
    <w:qFormat/>
    <w:locked/>
    <w:uiPriority w:val="0"/>
    <w:rPr>
      <w:rFonts w:ascii="宋体" w:hAnsi="宋体" w:eastAsia="宋体"/>
      <w:kern w:val="2"/>
      <w:sz w:val="18"/>
      <w:szCs w:val="18"/>
      <w:lang w:val="en-US" w:eastAsia="zh-CN" w:bidi="ar-SA"/>
    </w:rPr>
  </w:style>
  <w:style w:type="character" w:customStyle="1" w:styleId="155">
    <w:name w:val="样式 (中文) 宋体 加粗"/>
    <w:qFormat/>
    <w:uiPriority w:val="0"/>
    <w:rPr>
      <w:rFonts w:hint="eastAsia" w:ascii="宋体" w:hAnsi="宋体" w:eastAsia="宋体"/>
      <w:b/>
      <w:bCs/>
      <w:sz w:val="24"/>
      <w:szCs w:val="24"/>
    </w:rPr>
  </w:style>
  <w:style w:type="character" w:customStyle="1" w:styleId="156">
    <w:name w:val="正文文本缩进 2 Char Char"/>
    <w:link w:val="157"/>
    <w:qFormat/>
    <w:uiPriority w:val="0"/>
    <w:rPr>
      <w:szCs w:val="24"/>
    </w:rPr>
  </w:style>
  <w:style w:type="paragraph" w:customStyle="1" w:styleId="157">
    <w:name w:val="正文文本缩进 21"/>
    <w:basedOn w:val="1"/>
    <w:link w:val="156"/>
    <w:qFormat/>
    <w:uiPriority w:val="0"/>
    <w:pPr>
      <w:spacing w:after="120" w:line="480" w:lineRule="auto"/>
      <w:ind w:left="420" w:leftChars="200"/>
    </w:pPr>
    <w:rPr>
      <w:szCs w:val="24"/>
    </w:rPr>
  </w:style>
  <w:style w:type="character" w:customStyle="1" w:styleId="158">
    <w:name w:val="no62"/>
    <w:basedOn w:val="58"/>
    <w:qFormat/>
    <w:uiPriority w:val="0"/>
  </w:style>
  <w:style w:type="character" w:customStyle="1" w:styleId="159">
    <w:name w:val="tip12"/>
    <w:qFormat/>
    <w:uiPriority w:val="0"/>
    <w:rPr>
      <w:vanish/>
      <w:color w:val="FF0000"/>
      <w:sz w:val="18"/>
      <w:szCs w:val="18"/>
    </w:rPr>
  </w:style>
  <w:style w:type="character" w:customStyle="1" w:styleId="160">
    <w:name w:val="fontborder"/>
    <w:qFormat/>
    <w:uiPriority w:val="0"/>
    <w:rPr>
      <w:bdr w:val="single" w:color="000000" w:sz="6" w:space="0"/>
    </w:rPr>
  </w:style>
  <w:style w:type="character" w:customStyle="1" w:styleId="161">
    <w:name w:val="my-notice"/>
    <w:basedOn w:val="58"/>
    <w:qFormat/>
    <w:uiPriority w:val="0"/>
  </w:style>
  <w:style w:type="character" w:customStyle="1" w:styleId="162">
    <w:name w:val="a"/>
    <w:basedOn w:val="58"/>
    <w:qFormat/>
    <w:uiPriority w:val="0"/>
  </w:style>
  <w:style w:type="character" w:customStyle="1" w:styleId="163">
    <w:name w:val="bds_more2"/>
    <w:basedOn w:val="58"/>
    <w:qFormat/>
    <w:uiPriority w:val="0"/>
  </w:style>
  <w:style w:type="character" w:customStyle="1" w:styleId="164">
    <w:name w:val="Char Char1 Char Char Char Char Char Char Char Char Char Char Char Char Char Char Char Char Char Char Char Char1 Char Char"/>
    <w:link w:val="165"/>
    <w:qFormat/>
    <w:uiPriority w:val="0"/>
    <w:rPr>
      <w:rFonts w:ascii="宋体" w:hAnsi="宋体" w:eastAsia="宋体" w:cs="宋体"/>
      <w:sz w:val="24"/>
      <w:szCs w:val="24"/>
    </w:rPr>
  </w:style>
  <w:style w:type="paragraph" w:customStyle="1" w:styleId="165">
    <w:name w:val="Char Char1 Char Char Char Char Char Char Char Char Char Char Char Char Char Char Char Char Char Char Char Char1 Char"/>
    <w:basedOn w:val="1"/>
    <w:link w:val="164"/>
    <w:qFormat/>
    <w:uiPriority w:val="0"/>
    <w:pPr>
      <w:spacing w:line="360" w:lineRule="auto"/>
      <w:ind w:firstLine="200" w:firstLineChars="200"/>
    </w:pPr>
    <w:rPr>
      <w:rFonts w:ascii="宋体" w:hAnsi="宋体" w:eastAsia="宋体" w:cs="宋体"/>
      <w:sz w:val="24"/>
      <w:szCs w:val="24"/>
    </w:rPr>
  </w:style>
  <w:style w:type="character" w:customStyle="1" w:styleId="166">
    <w:name w:val="正文文字1 Char1"/>
    <w:qFormat/>
    <w:uiPriority w:val="0"/>
    <w:rPr>
      <w:rFonts w:eastAsia="宋体"/>
      <w:kern w:val="2"/>
      <w:sz w:val="21"/>
      <w:szCs w:val="24"/>
      <w:lang w:val="en-US" w:eastAsia="zh-CN" w:bidi="ar-SA"/>
    </w:rPr>
  </w:style>
  <w:style w:type="character" w:customStyle="1" w:styleId="167">
    <w:name w:val="正文文本缩进 3 Char1"/>
    <w:semiHidden/>
    <w:qFormat/>
    <w:uiPriority w:val="0"/>
    <w:rPr>
      <w:kern w:val="2"/>
      <w:sz w:val="16"/>
      <w:szCs w:val="16"/>
    </w:rPr>
  </w:style>
  <w:style w:type="character" w:customStyle="1" w:styleId="168">
    <w:name w:val="t-14"/>
    <w:qFormat/>
    <w:uiPriority w:val="0"/>
    <w:rPr>
      <w:rFonts w:cs="Times New Roman"/>
    </w:rPr>
  </w:style>
  <w:style w:type="character" w:customStyle="1" w:styleId="169">
    <w:name w:val="日期 Char1"/>
    <w:qFormat/>
    <w:uiPriority w:val="0"/>
    <w:rPr>
      <w:kern w:val="2"/>
      <w:sz w:val="21"/>
      <w:szCs w:val="24"/>
    </w:rPr>
  </w:style>
  <w:style w:type="character" w:customStyle="1" w:styleId="170">
    <w:name w:val="Char Char1 Char Char Char Char Char Char Char Char Char Char Char Char Char Char Char Char Char Char Char Char1 Char Char Char"/>
    <w:qFormat/>
    <w:uiPriority w:val="0"/>
    <w:rPr>
      <w:rFonts w:ascii="宋体" w:hAnsi="宋体" w:eastAsia="宋体" w:cs="宋体"/>
      <w:kern w:val="2"/>
      <w:sz w:val="24"/>
      <w:szCs w:val="24"/>
      <w:lang w:val="en-US" w:eastAsia="zh-CN" w:bidi="ar-SA"/>
    </w:rPr>
  </w:style>
  <w:style w:type="character" w:customStyle="1" w:styleId="171">
    <w:name w:val="no72"/>
    <w:basedOn w:val="58"/>
    <w:qFormat/>
    <w:uiPriority w:val="0"/>
  </w:style>
  <w:style w:type="character" w:customStyle="1" w:styleId="172">
    <w:name w:val="标题 Char1"/>
    <w:qFormat/>
    <w:uiPriority w:val="0"/>
    <w:rPr>
      <w:rFonts w:ascii="Cambria" w:hAnsi="Cambria" w:cs="Times New Roman"/>
      <w:b/>
      <w:bCs/>
      <w:kern w:val="2"/>
      <w:sz w:val="32"/>
      <w:szCs w:val="32"/>
    </w:rPr>
  </w:style>
  <w:style w:type="character" w:customStyle="1" w:styleId="173">
    <w:name w:val="company-content"/>
    <w:basedOn w:val="58"/>
    <w:qFormat/>
    <w:uiPriority w:val="0"/>
  </w:style>
  <w:style w:type="character" w:customStyle="1" w:styleId="174">
    <w:name w:val="正文文本缩进 2 Char1"/>
    <w:semiHidden/>
    <w:qFormat/>
    <w:uiPriority w:val="0"/>
    <w:rPr>
      <w:kern w:val="2"/>
      <w:sz w:val="21"/>
      <w:szCs w:val="24"/>
    </w:rPr>
  </w:style>
  <w:style w:type="character" w:customStyle="1" w:styleId="175">
    <w:name w:val="正文文本缩进 Char1"/>
    <w:qFormat/>
    <w:uiPriority w:val="0"/>
    <w:rPr>
      <w:kern w:val="2"/>
      <w:sz w:val="21"/>
      <w:szCs w:val="24"/>
    </w:rPr>
  </w:style>
  <w:style w:type="character" w:customStyle="1" w:styleId="176">
    <w:name w:val="无页眉 Char1"/>
    <w:qFormat/>
    <w:locked/>
    <w:uiPriority w:val="0"/>
    <w:rPr>
      <w:sz w:val="18"/>
      <w:szCs w:val="18"/>
    </w:rPr>
  </w:style>
  <w:style w:type="character" w:customStyle="1" w:styleId="177">
    <w:name w:val="ziti21"/>
    <w:qFormat/>
    <w:uiPriority w:val="0"/>
  </w:style>
  <w:style w:type="character" w:customStyle="1" w:styleId="178">
    <w:name w:val="无页眉 Char2"/>
    <w:qFormat/>
    <w:uiPriority w:val="0"/>
    <w:rPr>
      <w:kern w:val="2"/>
      <w:sz w:val="18"/>
      <w:szCs w:val="18"/>
    </w:rPr>
  </w:style>
  <w:style w:type="character" w:customStyle="1" w:styleId="179">
    <w:name w:val="表内容 Char"/>
    <w:link w:val="180"/>
    <w:qFormat/>
    <w:uiPriority w:val="0"/>
    <w:rPr>
      <w:rFonts w:ascii="宋体" w:hAnsi="宋体" w:eastAsia="宋体"/>
      <w:snapToGrid w:val="0"/>
    </w:rPr>
  </w:style>
  <w:style w:type="paragraph" w:customStyle="1" w:styleId="180">
    <w:name w:val="表内容"/>
    <w:basedOn w:val="1"/>
    <w:link w:val="179"/>
    <w:qFormat/>
    <w:uiPriority w:val="0"/>
    <w:pPr>
      <w:spacing w:line="200" w:lineRule="atLeast"/>
      <w:jc w:val="center"/>
    </w:pPr>
    <w:rPr>
      <w:rFonts w:ascii="宋体" w:hAnsi="宋体" w:eastAsia="宋体"/>
      <w:snapToGrid w:val="0"/>
    </w:rPr>
  </w:style>
  <w:style w:type="character" w:customStyle="1" w:styleId="181">
    <w:name w:val="样式 正文001 + 首行缩进:  2 字符 Char Char Char Char"/>
    <w:qFormat/>
    <w:uiPriority w:val="0"/>
    <w:rPr>
      <w:rFonts w:eastAsia="宋体" w:cs="宋体"/>
      <w:kern w:val="2"/>
      <w:sz w:val="24"/>
      <w:lang w:val="en-US" w:eastAsia="zh-CN" w:bidi="ar-SA"/>
    </w:rPr>
  </w:style>
  <w:style w:type="character" w:customStyle="1" w:styleId="182">
    <w:name w:val="style101"/>
    <w:qFormat/>
    <w:uiPriority w:val="0"/>
    <w:rPr>
      <w:color w:val="000000"/>
    </w:rPr>
  </w:style>
  <w:style w:type="character" w:customStyle="1" w:styleId="183">
    <w:name w:val="正文01 Char3"/>
    <w:qFormat/>
    <w:uiPriority w:val="0"/>
    <w:rPr>
      <w:rFonts w:eastAsia="宋体"/>
      <w:bCs/>
      <w:kern w:val="2"/>
      <w:sz w:val="24"/>
      <w:szCs w:val="24"/>
      <w:lang w:val="en-US" w:eastAsia="zh-CN" w:bidi="ar-SA"/>
    </w:rPr>
  </w:style>
  <w:style w:type="character" w:customStyle="1" w:styleId="184">
    <w:name w:val="Char Char3"/>
    <w:qFormat/>
    <w:locked/>
    <w:uiPriority w:val="0"/>
    <w:rPr>
      <w:rFonts w:eastAsia="宋体"/>
      <w:kern w:val="2"/>
      <w:sz w:val="18"/>
      <w:szCs w:val="18"/>
      <w:lang w:val="en-US" w:eastAsia="zh-CN" w:bidi="ar-SA"/>
    </w:rPr>
  </w:style>
  <w:style w:type="character" w:customStyle="1" w:styleId="185">
    <w:name w:val="正文首行缩进 Char"/>
    <w:link w:val="50"/>
    <w:qFormat/>
    <w:uiPriority w:val="0"/>
    <w:rPr>
      <w:rFonts w:ascii="Arial" w:hAnsi="Arial" w:eastAsia="宋体"/>
      <w:sz w:val="24"/>
      <w:szCs w:val="24"/>
    </w:rPr>
  </w:style>
  <w:style w:type="character" w:customStyle="1" w:styleId="186">
    <w:name w:val="正文文本首行缩进 字符1"/>
    <w:basedOn w:val="102"/>
    <w:semiHidden/>
    <w:qFormat/>
    <w:uiPriority w:val="99"/>
    <w:rPr>
      <w:rFonts w:ascii="Times New Roman" w:hAnsi="Times New Roman" w:eastAsia="宋体" w:cs="Times New Roman"/>
      <w:szCs w:val="20"/>
    </w:rPr>
  </w:style>
  <w:style w:type="character" w:customStyle="1" w:styleId="187">
    <w:name w:val="个人正文1 Char"/>
    <w:link w:val="188"/>
    <w:qFormat/>
    <w:uiPriority w:val="0"/>
    <w:rPr>
      <w:rFonts w:ascii="宋体" w:hAnsi="宋体" w:eastAsia="宋体"/>
      <w:sz w:val="24"/>
      <w:szCs w:val="24"/>
    </w:rPr>
  </w:style>
  <w:style w:type="paragraph" w:customStyle="1" w:styleId="188">
    <w:name w:val="个人正文1"/>
    <w:basedOn w:val="1"/>
    <w:link w:val="187"/>
    <w:qFormat/>
    <w:uiPriority w:val="0"/>
    <w:pPr>
      <w:spacing w:line="360" w:lineRule="auto"/>
      <w:ind w:firstLine="200" w:firstLineChars="200"/>
    </w:pPr>
    <w:rPr>
      <w:rFonts w:ascii="宋体" w:hAnsi="宋体" w:eastAsia="宋体"/>
      <w:sz w:val="24"/>
      <w:szCs w:val="24"/>
    </w:rPr>
  </w:style>
  <w:style w:type="character" w:customStyle="1" w:styleId="189">
    <w:name w:val="hrefstyle"/>
    <w:qFormat/>
    <w:uiPriority w:val="0"/>
  </w:style>
  <w:style w:type="character" w:customStyle="1" w:styleId="190">
    <w:name w:val="批注框文本 Char1"/>
    <w:semiHidden/>
    <w:qFormat/>
    <w:uiPriority w:val="0"/>
    <w:rPr>
      <w:rFonts w:eastAsia="宋体" w:cs="Times New Roman"/>
      <w:kern w:val="2"/>
      <w:sz w:val="18"/>
      <w:szCs w:val="18"/>
    </w:rPr>
  </w:style>
  <w:style w:type="character" w:customStyle="1" w:styleId="191">
    <w:name w:val="题注 Char"/>
    <w:link w:val="16"/>
    <w:qFormat/>
    <w:uiPriority w:val="0"/>
    <w:rPr>
      <w:rFonts w:ascii="Arial" w:hAnsi="Arial" w:eastAsia="黑体" w:cs="Arial"/>
    </w:rPr>
  </w:style>
  <w:style w:type="character" w:customStyle="1" w:styleId="192">
    <w:name w:val="样式1 Char Char"/>
    <w:qFormat/>
    <w:uiPriority w:val="0"/>
    <w:rPr>
      <w:rFonts w:eastAsia="宋体"/>
      <w:kern w:val="2"/>
      <w:sz w:val="24"/>
      <w:szCs w:val="24"/>
      <w:lang w:val="en-US" w:eastAsia="zh-CN" w:bidi="ar-SA"/>
    </w:rPr>
  </w:style>
  <w:style w:type="character" w:customStyle="1" w:styleId="193">
    <w:name w:val="表格正文 Char1"/>
    <w:qFormat/>
    <w:uiPriority w:val="0"/>
    <w:rPr>
      <w:rFonts w:eastAsia="宋体"/>
      <w:kern w:val="2"/>
      <w:sz w:val="21"/>
      <w:szCs w:val="24"/>
      <w:lang w:val="en-US" w:eastAsia="zh-CN" w:bidi="ar-SA"/>
    </w:rPr>
  </w:style>
  <w:style w:type="character" w:customStyle="1" w:styleId="194">
    <w:name w:val="bds_more1"/>
    <w:qFormat/>
    <w:uiPriority w:val="0"/>
    <w:rPr>
      <w:rFonts w:hint="eastAsia" w:ascii="宋体" w:hAnsi="宋体" w:eastAsia="宋体" w:cs="宋体"/>
    </w:rPr>
  </w:style>
  <w:style w:type="character" w:customStyle="1" w:styleId="195">
    <w:name w:val="2级标题 Char"/>
    <w:link w:val="196"/>
    <w:qFormat/>
    <w:uiPriority w:val="0"/>
    <w:rPr>
      <w:rFonts w:eastAsia="宋体"/>
      <w:b/>
      <w:bCs/>
      <w:sz w:val="28"/>
      <w:szCs w:val="28"/>
    </w:rPr>
  </w:style>
  <w:style w:type="paragraph" w:customStyle="1" w:styleId="196">
    <w:name w:val="2级标题"/>
    <w:basedOn w:val="1"/>
    <w:link w:val="195"/>
    <w:qFormat/>
    <w:uiPriority w:val="0"/>
    <w:pPr>
      <w:spacing w:before="120" w:line="460" w:lineRule="exact"/>
      <w:outlineLvl w:val="1"/>
    </w:pPr>
    <w:rPr>
      <w:rFonts w:eastAsia="宋体"/>
      <w:b/>
      <w:bCs/>
      <w:sz w:val="28"/>
      <w:szCs w:val="28"/>
    </w:rPr>
  </w:style>
  <w:style w:type="character" w:customStyle="1" w:styleId="197">
    <w:name w:val="bds_more"/>
    <w:basedOn w:val="58"/>
    <w:qFormat/>
    <w:uiPriority w:val="0"/>
  </w:style>
  <w:style w:type="character" w:customStyle="1" w:styleId="198">
    <w:name w:val="标题 6 Char1"/>
    <w:semiHidden/>
    <w:qFormat/>
    <w:uiPriority w:val="0"/>
    <w:rPr>
      <w:rFonts w:ascii="Cambria" w:hAnsi="Cambria" w:eastAsia="宋体" w:cs="Times New Roman"/>
      <w:b/>
      <w:bCs/>
      <w:kern w:val="2"/>
      <w:sz w:val="24"/>
      <w:szCs w:val="24"/>
    </w:rPr>
  </w:style>
  <w:style w:type="character" w:customStyle="1" w:styleId="199">
    <w:name w:val="标题 9 Char1"/>
    <w:semiHidden/>
    <w:qFormat/>
    <w:uiPriority w:val="0"/>
    <w:rPr>
      <w:rFonts w:ascii="Cambria" w:hAnsi="Cambria" w:eastAsia="宋体" w:cs="Times New Roman"/>
      <w:kern w:val="2"/>
      <w:sz w:val="21"/>
      <w:szCs w:val="21"/>
    </w:rPr>
  </w:style>
  <w:style w:type="character" w:customStyle="1" w:styleId="200">
    <w:name w:val="正文1 Char Char"/>
    <w:qFormat/>
    <w:uiPriority w:val="0"/>
    <w:rPr>
      <w:rFonts w:ascii="Times New Roman" w:hAnsi="Times New Roman"/>
      <w:color w:val="000000"/>
      <w:sz w:val="24"/>
    </w:rPr>
  </w:style>
  <w:style w:type="character" w:customStyle="1" w:styleId="201">
    <w:name w:val="表内 Char"/>
    <w:link w:val="202"/>
    <w:qFormat/>
    <w:uiPriority w:val="0"/>
    <w:rPr>
      <w:rFonts w:eastAsia="仿宋_GB2312"/>
      <w:szCs w:val="24"/>
    </w:rPr>
  </w:style>
  <w:style w:type="paragraph" w:customStyle="1" w:styleId="202">
    <w:name w:val="表内"/>
    <w:basedOn w:val="1"/>
    <w:link w:val="201"/>
    <w:qFormat/>
    <w:uiPriority w:val="0"/>
    <w:pPr>
      <w:jc w:val="center"/>
    </w:pPr>
    <w:rPr>
      <w:rFonts w:eastAsia="仿宋_GB2312"/>
      <w:szCs w:val="24"/>
    </w:rPr>
  </w:style>
  <w:style w:type="character" w:customStyle="1" w:styleId="203">
    <w:name w:val="李发荣个人正文 Char"/>
    <w:link w:val="204"/>
    <w:qFormat/>
    <w:uiPriority w:val="0"/>
    <w:rPr>
      <w:rFonts w:ascii="宋体" w:hAnsi="宋体" w:eastAsia="宋体"/>
      <w:sz w:val="24"/>
      <w:szCs w:val="24"/>
    </w:rPr>
  </w:style>
  <w:style w:type="paragraph" w:customStyle="1" w:styleId="204">
    <w:name w:val="李发荣个人正文"/>
    <w:basedOn w:val="1"/>
    <w:next w:val="1"/>
    <w:link w:val="203"/>
    <w:qFormat/>
    <w:uiPriority w:val="0"/>
    <w:pPr>
      <w:spacing w:line="360" w:lineRule="auto"/>
      <w:ind w:firstLine="504" w:firstLineChars="200"/>
    </w:pPr>
    <w:rPr>
      <w:rFonts w:ascii="宋体" w:hAnsi="宋体" w:eastAsia="宋体"/>
      <w:sz w:val="24"/>
      <w:szCs w:val="24"/>
    </w:rPr>
  </w:style>
  <w:style w:type="character" w:customStyle="1" w:styleId="205">
    <w:name w:val="ico-jiang1"/>
    <w:basedOn w:val="58"/>
    <w:qFormat/>
    <w:uiPriority w:val="0"/>
  </w:style>
  <w:style w:type="character" w:customStyle="1" w:styleId="206">
    <w:name w:val="三级标题 Char Char"/>
    <w:qFormat/>
    <w:uiPriority w:val="0"/>
    <w:rPr>
      <w:rFonts w:eastAsia="宋体"/>
      <w:b/>
      <w:kern w:val="2"/>
      <w:sz w:val="24"/>
      <w:szCs w:val="24"/>
      <w:lang w:val="en-US" w:eastAsia="zh-CN" w:bidi="ar-SA"/>
    </w:rPr>
  </w:style>
  <w:style w:type="character" w:customStyle="1" w:styleId="207">
    <w:name w:val="ico-jiang"/>
    <w:basedOn w:val="58"/>
    <w:qFormat/>
    <w:uiPriority w:val="0"/>
  </w:style>
  <w:style w:type="character" w:customStyle="1" w:styleId="208">
    <w:name w:val="标题 7 Char1"/>
    <w:semiHidden/>
    <w:qFormat/>
    <w:uiPriority w:val="0"/>
    <w:rPr>
      <w:rFonts w:eastAsia="宋体" w:cs="Times New Roman"/>
      <w:b/>
      <w:bCs/>
      <w:kern w:val="2"/>
      <w:sz w:val="24"/>
      <w:szCs w:val="24"/>
    </w:rPr>
  </w:style>
  <w:style w:type="character" w:customStyle="1" w:styleId="209">
    <w:name w:val="报告正文 Char Char Char"/>
    <w:qFormat/>
    <w:uiPriority w:val="0"/>
    <w:rPr>
      <w:rFonts w:eastAsia="宋体" w:cs="宋体"/>
      <w:snapToGrid w:val="0"/>
      <w:kern w:val="24"/>
      <w:sz w:val="24"/>
      <w:szCs w:val="21"/>
      <w:lang w:val="en-US" w:eastAsia="zh-CN" w:bidi="ar-SA"/>
    </w:rPr>
  </w:style>
  <w:style w:type="character" w:customStyle="1" w:styleId="210">
    <w:name w:val="f-star"/>
    <w:qFormat/>
    <w:uiPriority w:val="0"/>
    <w:rPr>
      <w:color w:val="999999"/>
      <w:sz w:val="21"/>
      <w:szCs w:val="21"/>
    </w:rPr>
  </w:style>
  <w:style w:type="character" w:customStyle="1" w:styleId="211">
    <w:name w:val="标题 4 Char1"/>
    <w:semiHidden/>
    <w:qFormat/>
    <w:uiPriority w:val="0"/>
    <w:rPr>
      <w:rFonts w:ascii="Cambria" w:hAnsi="Cambria" w:eastAsia="宋体" w:cs="Times New Roman"/>
      <w:b/>
      <w:bCs/>
      <w:kern w:val="2"/>
      <w:sz w:val="28"/>
      <w:szCs w:val="28"/>
    </w:rPr>
  </w:style>
  <w:style w:type="character" w:customStyle="1" w:styleId="212">
    <w:name w:val="Char Char12"/>
    <w:qFormat/>
    <w:uiPriority w:val="0"/>
    <w:rPr>
      <w:rFonts w:eastAsia="宋体"/>
      <w:kern w:val="2"/>
      <w:sz w:val="21"/>
      <w:szCs w:val="24"/>
      <w:lang w:val="en-US" w:eastAsia="zh-CN" w:bidi="ar-SA"/>
    </w:rPr>
  </w:style>
  <w:style w:type="character" w:customStyle="1" w:styleId="213">
    <w:name w:val="标题 1 Char1"/>
    <w:qFormat/>
    <w:uiPriority w:val="0"/>
    <w:rPr>
      <w:rFonts w:eastAsia="宋体"/>
      <w:b/>
      <w:bCs/>
      <w:kern w:val="44"/>
      <w:sz w:val="44"/>
      <w:szCs w:val="44"/>
      <w:lang w:val="en-US" w:eastAsia="zh-CN" w:bidi="ar-SA"/>
    </w:rPr>
  </w:style>
  <w:style w:type="character" w:customStyle="1" w:styleId="214">
    <w:name w:val="正文缩进 Char3"/>
    <w:qFormat/>
    <w:uiPriority w:val="0"/>
    <w:rPr>
      <w:rFonts w:ascii="宋体" w:hAnsi="宋体"/>
      <w:kern w:val="2"/>
      <w:sz w:val="24"/>
    </w:rPr>
  </w:style>
  <w:style w:type="character" w:customStyle="1" w:styleId="215">
    <w:name w:val="普通(网站) 字符1"/>
    <w:qFormat/>
    <w:uiPriority w:val="0"/>
    <w:rPr>
      <w:rFonts w:ascii="宋体" w:hAnsi="宋体"/>
      <w:color w:val="000000"/>
      <w:sz w:val="24"/>
      <w:szCs w:val="24"/>
    </w:rPr>
  </w:style>
  <w:style w:type="character" w:customStyle="1" w:styleId="216">
    <w:name w:val="3级标题 Char"/>
    <w:link w:val="217"/>
    <w:qFormat/>
    <w:uiPriority w:val="0"/>
    <w:rPr>
      <w:b/>
      <w:sz w:val="24"/>
      <w:szCs w:val="24"/>
    </w:rPr>
  </w:style>
  <w:style w:type="paragraph" w:customStyle="1" w:styleId="217">
    <w:name w:val="3级标题"/>
    <w:basedOn w:val="1"/>
    <w:link w:val="216"/>
    <w:qFormat/>
    <w:uiPriority w:val="0"/>
    <w:pPr>
      <w:spacing w:before="120" w:line="460" w:lineRule="exact"/>
      <w:outlineLvl w:val="2"/>
    </w:pPr>
    <w:rPr>
      <w:b/>
      <w:sz w:val="24"/>
      <w:szCs w:val="24"/>
    </w:rPr>
  </w:style>
  <w:style w:type="character" w:customStyle="1" w:styleId="218">
    <w:name w:val="标题2 Char Char"/>
    <w:qFormat/>
    <w:uiPriority w:val="0"/>
    <w:rPr>
      <w:rFonts w:ascii="Arial" w:hAnsi="Arial" w:eastAsia="宋体"/>
      <w:b/>
      <w:bCs/>
      <w:kern w:val="2"/>
      <w:sz w:val="28"/>
      <w:szCs w:val="32"/>
      <w:lang w:val="en-US" w:eastAsia="zh-CN" w:bidi="ar-SA"/>
    </w:rPr>
  </w:style>
  <w:style w:type="character" w:customStyle="1" w:styleId="219">
    <w:name w:val="my Char"/>
    <w:link w:val="220"/>
    <w:qFormat/>
    <w:uiPriority w:val="0"/>
    <w:rPr>
      <w:sz w:val="24"/>
    </w:rPr>
  </w:style>
  <w:style w:type="paragraph" w:customStyle="1" w:styleId="220">
    <w:name w:val="my"/>
    <w:link w:val="219"/>
    <w:qFormat/>
    <w:uiPriority w:val="0"/>
    <w:pPr>
      <w:widowControl w:val="0"/>
      <w:spacing w:before="60" w:line="460" w:lineRule="exact"/>
      <w:ind w:firstLine="200" w:firstLineChars="200"/>
    </w:pPr>
    <w:rPr>
      <w:rFonts w:asciiTheme="minorHAnsi" w:hAnsiTheme="minorHAnsi" w:eastAsiaTheme="minorEastAsia" w:cstheme="minorBidi"/>
      <w:kern w:val="2"/>
      <w:sz w:val="24"/>
      <w:szCs w:val="22"/>
      <w:lang w:val="en-US" w:eastAsia="zh-CN" w:bidi="ar-SA"/>
    </w:rPr>
  </w:style>
  <w:style w:type="character" w:customStyle="1" w:styleId="221">
    <w:name w:val="Char Char14"/>
    <w:semiHidden/>
    <w:qFormat/>
    <w:uiPriority w:val="0"/>
    <w:rPr>
      <w:rFonts w:ascii="宋体"/>
      <w:kern w:val="2"/>
      <w:sz w:val="18"/>
      <w:szCs w:val="18"/>
    </w:rPr>
  </w:style>
  <w:style w:type="character" w:customStyle="1" w:styleId="222">
    <w:name w:val="表头 Char"/>
    <w:qFormat/>
    <w:uiPriority w:val="0"/>
    <w:rPr>
      <w:rFonts w:ascii="Times" w:eastAsia="宋体"/>
      <w:b/>
      <w:kern w:val="2"/>
      <w:sz w:val="21"/>
      <w:szCs w:val="21"/>
      <w:lang w:val="en-US" w:eastAsia="zh-CN" w:bidi="ar-SA"/>
    </w:rPr>
  </w:style>
  <w:style w:type="character" w:customStyle="1" w:styleId="223">
    <w:name w:val="表格文字2 Char"/>
    <w:link w:val="224"/>
    <w:qFormat/>
    <w:uiPriority w:val="0"/>
    <w:rPr>
      <w:rFonts w:eastAsia="宋体"/>
      <w:szCs w:val="21"/>
    </w:rPr>
  </w:style>
  <w:style w:type="paragraph" w:customStyle="1" w:styleId="224">
    <w:name w:val="表格文字2"/>
    <w:basedOn w:val="1"/>
    <w:link w:val="223"/>
    <w:qFormat/>
    <w:uiPriority w:val="0"/>
    <w:pPr>
      <w:tabs>
        <w:tab w:val="left" w:pos="277"/>
        <w:tab w:val="left" w:pos="600"/>
        <w:tab w:val="left" w:pos="780"/>
        <w:tab w:val="left" w:pos="2517"/>
      </w:tabs>
      <w:adjustRightInd w:val="0"/>
      <w:spacing w:before="60"/>
      <w:jc w:val="center"/>
      <w:textAlignment w:val="baseline"/>
    </w:pPr>
    <w:rPr>
      <w:rFonts w:eastAsia="宋体"/>
      <w:szCs w:val="21"/>
    </w:rPr>
  </w:style>
  <w:style w:type="character" w:customStyle="1" w:styleId="225">
    <w:name w:val="超级链接"/>
    <w:qFormat/>
    <w:uiPriority w:val="0"/>
    <w:rPr>
      <w:rFonts w:ascii="Times New Roman" w:eastAsia="宋体"/>
      <w:color w:val="0000FF"/>
      <w:spacing w:val="0"/>
      <w:w w:val="100"/>
      <w:sz w:val="21"/>
      <w:u w:val="single" w:color="0000FF"/>
      <w:vertAlign w:val="baseline"/>
      <w:lang w:val="en-US" w:eastAsia="zh-CN"/>
    </w:rPr>
  </w:style>
  <w:style w:type="character" w:customStyle="1" w:styleId="226">
    <w:name w:val="Char Char17"/>
    <w:qFormat/>
    <w:uiPriority w:val="0"/>
    <w:rPr>
      <w:rFonts w:eastAsia="宋体"/>
      <w:kern w:val="2"/>
      <w:sz w:val="21"/>
      <w:szCs w:val="24"/>
      <w:lang w:val="en-US" w:eastAsia="zh-CN" w:bidi="ar-SA"/>
    </w:rPr>
  </w:style>
  <w:style w:type="character" w:customStyle="1" w:styleId="227">
    <w:name w:val="t_tag"/>
    <w:basedOn w:val="58"/>
    <w:qFormat/>
    <w:uiPriority w:val="0"/>
  </w:style>
  <w:style w:type="character" w:customStyle="1" w:styleId="228">
    <w:name w:val="正文001 Char"/>
    <w:qFormat/>
    <w:uiPriority w:val="0"/>
    <w:rPr>
      <w:rFonts w:eastAsia="宋体"/>
      <w:kern w:val="2"/>
      <w:sz w:val="24"/>
      <w:lang w:val="en-US" w:eastAsia="zh-CN" w:bidi="ar-SA"/>
    </w:rPr>
  </w:style>
  <w:style w:type="character" w:customStyle="1" w:styleId="229">
    <w:name w:val="font201"/>
    <w:qFormat/>
    <w:uiPriority w:val="0"/>
  </w:style>
  <w:style w:type="character" w:customStyle="1" w:styleId="230">
    <w:name w:val="标题 2 Char Char"/>
    <w:qFormat/>
    <w:uiPriority w:val="0"/>
    <w:rPr>
      <w:rFonts w:ascii="Arial" w:hAnsi="Arial" w:eastAsia="黑体" w:cs="Times New Roman"/>
      <w:b/>
      <w:sz w:val="32"/>
      <w:szCs w:val="20"/>
    </w:rPr>
  </w:style>
  <w:style w:type="character" w:customStyle="1" w:styleId="231">
    <w:name w:val="unnamed1"/>
    <w:qFormat/>
    <w:uiPriority w:val="0"/>
  </w:style>
  <w:style w:type="character" w:customStyle="1" w:styleId="232">
    <w:name w:val="三级标题 Char"/>
    <w:link w:val="233"/>
    <w:qFormat/>
    <w:uiPriority w:val="0"/>
    <w:rPr>
      <w:rFonts w:eastAsia="宋体"/>
      <w:b/>
      <w:sz w:val="24"/>
    </w:rPr>
  </w:style>
  <w:style w:type="paragraph" w:customStyle="1" w:styleId="233">
    <w:name w:val="三级标题"/>
    <w:basedOn w:val="1"/>
    <w:link w:val="232"/>
    <w:qFormat/>
    <w:uiPriority w:val="0"/>
    <w:pPr>
      <w:spacing w:before="300" w:line="460" w:lineRule="exact"/>
      <w:outlineLvl w:val="2"/>
    </w:pPr>
    <w:rPr>
      <w:rFonts w:eastAsia="宋体"/>
      <w:b/>
      <w:sz w:val="24"/>
    </w:rPr>
  </w:style>
  <w:style w:type="character" w:customStyle="1" w:styleId="234">
    <w:name w:val="正文001 Char1"/>
    <w:link w:val="235"/>
    <w:qFormat/>
    <w:uiPriority w:val="0"/>
    <w:rPr>
      <w:rFonts w:eastAsia="宋体"/>
      <w:sz w:val="24"/>
    </w:rPr>
  </w:style>
  <w:style w:type="paragraph" w:customStyle="1" w:styleId="235">
    <w:name w:val="正文001"/>
    <w:basedOn w:val="1"/>
    <w:link w:val="234"/>
    <w:qFormat/>
    <w:uiPriority w:val="0"/>
    <w:pPr>
      <w:spacing w:before="60" w:line="460" w:lineRule="exact"/>
      <w:ind w:firstLine="482"/>
    </w:pPr>
    <w:rPr>
      <w:rFonts w:eastAsia="宋体"/>
      <w:sz w:val="24"/>
    </w:rPr>
  </w:style>
  <w:style w:type="character" w:customStyle="1" w:styleId="236">
    <w:name w:val="xl24 Char Char"/>
    <w:link w:val="237"/>
    <w:qFormat/>
    <w:uiPriority w:val="0"/>
    <w:rPr>
      <w:szCs w:val="21"/>
    </w:rPr>
  </w:style>
  <w:style w:type="paragraph" w:customStyle="1" w:styleId="237">
    <w:name w:val="xl24 Char"/>
    <w:basedOn w:val="1"/>
    <w:link w:val="236"/>
    <w:qFormat/>
    <w:uiPriority w:val="0"/>
    <w:pPr>
      <w:widowControl/>
      <w:pBdr>
        <w:left w:val="single" w:color="auto" w:sz="4" w:space="0"/>
        <w:right w:val="single" w:color="auto" w:sz="4" w:space="0"/>
      </w:pBdr>
      <w:spacing w:before="100" w:beforeAutospacing="1" w:after="100" w:afterAutospacing="1"/>
      <w:jc w:val="center"/>
    </w:pPr>
    <w:rPr>
      <w:szCs w:val="21"/>
    </w:rPr>
  </w:style>
  <w:style w:type="character" w:customStyle="1" w:styleId="238">
    <w:name w:val="样式 标题 3 + 四号 Char Char Char Char Char Char Char Char Char Char Char Char Char Char Char Char Char Char Char Char Char Char Char Char Char Char Char Char Char Char Char Char Char Char Char Char Char"/>
    <w:qFormat/>
    <w:uiPriority w:val="0"/>
    <w:rPr>
      <w:rFonts w:eastAsia="仿宋_GB2312"/>
      <w:b/>
      <w:bCs/>
      <w:kern w:val="2"/>
      <w:sz w:val="24"/>
      <w:szCs w:val="24"/>
      <w:lang w:val="en-US" w:eastAsia="zh-CN" w:bidi="ar-SA"/>
    </w:rPr>
  </w:style>
  <w:style w:type="character" w:customStyle="1" w:styleId="239">
    <w:name w:val="纯文本 Char2"/>
    <w:link w:val="26"/>
    <w:qFormat/>
    <w:uiPriority w:val="0"/>
    <w:rPr>
      <w:rFonts w:ascii="宋体" w:hAnsi="Courier New" w:eastAsia="宋体"/>
    </w:rPr>
  </w:style>
  <w:style w:type="character" w:customStyle="1" w:styleId="240">
    <w:name w:val="纯文本 字符1"/>
    <w:basedOn w:val="58"/>
    <w:semiHidden/>
    <w:qFormat/>
    <w:uiPriority w:val="99"/>
    <w:rPr>
      <w:rFonts w:hAnsi="Courier New" w:cs="Courier New" w:asciiTheme="minorEastAsia"/>
    </w:rPr>
  </w:style>
  <w:style w:type="character" w:customStyle="1" w:styleId="241">
    <w:name w:val="正文文本缩进 Char3"/>
    <w:link w:val="21"/>
    <w:qFormat/>
    <w:uiPriority w:val="0"/>
    <w:rPr>
      <w:rFonts w:ascii="宋体"/>
      <w:sz w:val="24"/>
    </w:rPr>
  </w:style>
  <w:style w:type="character" w:customStyle="1" w:styleId="242">
    <w:name w:val="正文文本缩进 字符1"/>
    <w:basedOn w:val="58"/>
    <w:semiHidden/>
    <w:qFormat/>
    <w:uiPriority w:val="99"/>
  </w:style>
  <w:style w:type="character" w:customStyle="1" w:styleId="243">
    <w:name w:val="3zw"/>
    <w:basedOn w:val="58"/>
    <w:qFormat/>
    <w:uiPriority w:val="0"/>
  </w:style>
  <w:style w:type="character" w:customStyle="1" w:styleId="244">
    <w:name w:val="font_14_001"/>
    <w:qFormat/>
    <w:uiPriority w:val="0"/>
    <w:rPr>
      <w:color w:val="000000"/>
      <w:sz w:val="21"/>
      <w:szCs w:val="21"/>
    </w:rPr>
  </w:style>
  <w:style w:type="character" w:customStyle="1" w:styleId="245">
    <w:name w:val="样式 正文001 + 首行缩进:  2 字符1 Char1"/>
    <w:link w:val="246"/>
    <w:qFormat/>
    <w:uiPriority w:val="0"/>
    <w:rPr>
      <w:rFonts w:eastAsia="宋体" w:cs="宋体"/>
      <w:sz w:val="24"/>
    </w:rPr>
  </w:style>
  <w:style w:type="paragraph" w:customStyle="1" w:styleId="246">
    <w:name w:val="样式 正文001 + 首行缩进:  2 字符1"/>
    <w:basedOn w:val="235"/>
    <w:link w:val="245"/>
    <w:qFormat/>
    <w:uiPriority w:val="0"/>
    <w:pPr>
      <w:ind w:firstLine="480" w:firstLineChars="200"/>
    </w:pPr>
    <w:rPr>
      <w:rFonts w:cs="宋体"/>
    </w:rPr>
  </w:style>
  <w:style w:type="character" w:customStyle="1" w:styleId="247">
    <w:name w:val="p111"/>
    <w:qFormat/>
    <w:uiPriority w:val="0"/>
    <w:rPr>
      <w:color w:val="000000"/>
      <w:sz w:val="18"/>
      <w:szCs w:val="18"/>
    </w:rPr>
  </w:style>
  <w:style w:type="character" w:customStyle="1" w:styleId="248">
    <w:name w:val="apple-style-span"/>
    <w:qFormat/>
    <w:uiPriority w:val="0"/>
  </w:style>
  <w:style w:type="character" w:customStyle="1" w:styleId="249">
    <w:name w:val="表格正文 Char Char"/>
    <w:qFormat/>
    <w:uiPriority w:val="0"/>
    <w:rPr>
      <w:rFonts w:ascii="Arial" w:hAnsi="Arial" w:eastAsia="宋体"/>
      <w:color w:val="000000"/>
      <w:kern w:val="2"/>
      <w:sz w:val="21"/>
      <w:szCs w:val="24"/>
      <w:lang w:val="en-US" w:eastAsia="zh-CN" w:bidi="ar-SA"/>
    </w:rPr>
  </w:style>
  <w:style w:type="character" w:customStyle="1" w:styleId="250">
    <w:name w:val="large1"/>
    <w:qFormat/>
    <w:uiPriority w:val="0"/>
    <w:rPr>
      <w:rFonts w:hint="eastAsia" w:ascii="宋体" w:hAnsi="宋体" w:eastAsia="宋体"/>
      <w:sz w:val="26"/>
      <w:szCs w:val="26"/>
    </w:rPr>
  </w:style>
  <w:style w:type="character" w:customStyle="1" w:styleId="251">
    <w:name w:val="middle1"/>
    <w:qFormat/>
    <w:uiPriority w:val="0"/>
    <w:rPr>
      <w:sz w:val="25"/>
      <w:szCs w:val="25"/>
      <w:u w:val="none"/>
    </w:rPr>
  </w:style>
  <w:style w:type="character" w:customStyle="1" w:styleId="252">
    <w:name w:val="Char8 Char Char"/>
    <w:qFormat/>
    <w:locked/>
    <w:uiPriority w:val="0"/>
    <w:rPr>
      <w:rFonts w:eastAsia="仿宋_GB2312"/>
      <w:kern w:val="2"/>
      <w:sz w:val="28"/>
      <w:lang w:val="en-US" w:eastAsia="zh-CN" w:bidi="ar-SA"/>
    </w:rPr>
  </w:style>
  <w:style w:type="character" w:customStyle="1" w:styleId="253">
    <w:name w:val="11p"/>
    <w:basedOn w:val="58"/>
    <w:qFormat/>
    <w:uiPriority w:val="0"/>
  </w:style>
  <w:style w:type="character" w:customStyle="1" w:styleId="254">
    <w:name w:val="正文B Char"/>
    <w:link w:val="255"/>
    <w:qFormat/>
    <w:uiPriority w:val="0"/>
    <w:rPr>
      <w:rFonts w:ascii="宋体" w:hAnsi="宋体" w:eastAsia="宋体" w:cs="宋体"/>
      <w:sz w:val="24"/>
    </w:rPr>
  </w:style>
  <w:style w:type="paragraph" w:customStyle="1" w:styleId="255">
    <w:name w:val="正文B"/>
    <w:basedOn w:val="256"/>
    <w:link w:val="254"/>
    <w:qFormat/>
    <w:uiPriority w:val="0"/>
    <w:pPr>
      <w:ind w:firstLine="480" w:firstLineChars="200"/>
    </w:pPr>
    <w:rPr>
      <w:szCs w:val="22"/>
    </w:rPr>
  </w:style>
  <w:style w:type="paragraph" w:customStyle="1" w:styleId="256">
    <w:name w:val="正文A"/>
    <w:basedOn w:val="1"/>
    <w:link w:val="257"/>
    <w:qFormat/>
    <w:uiPriority w:val="0"/>
    <w:pPr>
      <w:spacing w:line="540" w:lineRule="exact"/>
    </w:pPr>
    <w:rPr>
      <w:rFonts w:ascii="宋体" w:hAnsi="宋体" w:eastAsia="宋体" w:cs="宋体"/>
      <w:sz w:val="24"/>
      <w:szCs w:val="20"/>
    </w:rPr>
  </w:style>
  <w:style w:type="character" w:customStyle="1" w:styleId="257">
    <w:name w:val="正文A Char"/>
    <w:link w:val="256"/>
    <w:qFormat/>
    <w:uiPriority w:val="0"/>
    <w:rPr>
      <w:rFonts w:ascii="宋体" w:hAnsi="宋体" w:eastAsia="宋体" w:cs="宋体"/>
      <w:sz w:val="24"/>
      <w:szCs w:val="20"/>
    </w:rPr>
  </w:style>
  <w:style w:type="character" w:customStyle="1" w:styleId="258">
    <w:name w:val="标题c Char"/>
    <w:link w:val="259"/>
    <w:qFormat/>
    <w:uiPriority w:val="0"/>
    <w:rPr>
      <w:rFonts w:cs="宋体"/>
      <w:b/>
      <w:bCs/>
      <w:sz w:val="24"/>
      <w:szCs w:val="32"/>
    </w:rPr>
  </w:style>
  <w:style w:type="paragraph" w:customStyle="1" w:styleId="259">
    <w:name w:val="标题c"/>
    <w:basedOn w:val="4"/>
    <w:link w:val="258"/>
    <w:qFormat/>
    <w:uiPriority w:val="0"/>
    <w:pPr>
      <w:spacing w:before="0" w:after="0" w:line="360" w:lineRule="auto"/>
    </w:pPr>
    <w:rPr>
      <w:rFonts w:cs="宋体" w:asciiTheme="minorHAnsi" w:hAnsiTheme="minorHAnsi" w:eastAsiaTheme="minorEastAsia"/>
      <w:sz w:val="24"/>
    </w:rPr>
  </w:style>
  <w:style w:type="character" w:customStyle="1" w:styleId="260">
    <w:name w:val="纯文本 Char"/>
    <w:qFormat/>
    <w:uiPriority w:val="0"/>
    <w:rPr>
      <w:rFonts w:ascii="宋体" w:hAnsi="Courier New" w:eastAsia="宋体"/>
      <w:kern w:val="2"/>
      <w:sz w:val="21"/>
      <w:lang w:val="en-US" w:eastAsia="zh-CN" w:bidi="ar-SA"/>
    </w:rPr>
  </w:style>
  <w:style w:type="character" w:customStyle="1" w:styleId="261">
    <w:name w:val="style451"/>
    <w:qFormat/>
    <w:uiPriority w:val="0"/>
    <w:rPr>
      <w:b/>
      <w:bCs/>
      <w:color w:val="000000"/>
      <w:sz w:val="19"/>
      <w:szCs w:val="19"/>
    </w:rPr>
  </w:style>
  <w:style w:type="character" w:customStyle="1" w:styleId="262">
    <w:name w:val="text_edit editable-title"/>
    <w:qFormat/>
    <w:uiPriority w:val="0"/>
  </w:style>
  <w:style w:type="character" w:customStyle="1" w:styleId="263">
    <w:name w:val="表格下方正文 Char1"/>
    <w:link w:val="264"/>
    <w:qFormat/>
    <w:locked/>
    <w:uiPriority w:val="0"/>
    <w:rPr>
      <w:rFonts w:eastAsia="宋体"/>
      <w:sz w:val="24"/>
    </w:rPr>
  </w:style>
  <w:style w:type="paragraph" w:customStyle="1" w:styleId="264">
    <w:name w:val="表格下方正文"/>
    <w:basedOn w:val="1"/>
    <w:link w:val="263"/>
    <w:qFormat/>
    <w:uiPriority w:val="0"/>
    <w:pPr>
      <w:spacing w:before="300" w:line="460" w:lineRule="exact"/>
      <w:ind w:firstLine="200" w:firstLineChars="200"/>
    </w:pPr>
    <w:rPr>
      <w:rFonts w:eastAsia="宋体"/>
      <w:sz w:val="24"/>
    </w:rPr>
  </w:style>
  <w:style w:type="character" w:customStyle="1" w:styleId="265">
    <w:name w:val="正文首行缩进 2 Char"/>
    <w:link w:val="51"/>
    <w:qFormat/>
    <w:uiPriority w:val="0"/>
    <w:rPr>
      <w:rFonts w:ascii="宋体"/>
      <w:szCs w:val="24"/>
    </w:rPr>
  </w:style>
  <w:style w:type="character" w:customStyle="1" w:styleId="266">
    <w:name w:val="正文文本首行缩进 2 字符1"/>
    <w:basedOn w:val="242"/>
    <w:semiHidden/>
    <w:qFormat/>
    <w:uiPriority w:val="99"/>
  </w:style>
  <w:style w:type="character" w:customStyle="1" w:styleId="267">
    <w:name w:val="标题 5 Char1"/>
    <w:semiHidden/>
    <w:qFormat/>
    <w:uiPriority w:val="0"/>
    <w:rPr>
      <w:rFonts w:eastAsia="宋体" w:cs="Times New Roman"/>
      <w:b/>
      <w:bCs/>
      <w:kern w:val="2"/>
      <w:sz w:val="28"/>
      <w:szCs w:val="28"/>
    </w:rPr>
  </w:style>
  <w:style w:type="character" w:customStyle="1" w:styleId="268">
    <w:name w:val="fh1"/>
    <w:qFormat/>
    <w:uiPriority w:val="0"/>
    <w:rPr>
      <w:rFonts w:hint="default"/>
      <w:b/>
      <w:bCs/>
      <w:color w:val="000000"/>
      <w:sz w:val="22"/>
      <w:szCs w:val="22"/>
    </w:rPr>
  </w:style>
  <w:style w:type="character" w:customStyle="1" w:styleId="269">
    <w:name w:val="font-blue1"/>
    <w:qFormat/>
    <w:uiPriority w:val="0"/>
    <w:rPr>
      <w:color w:val="246CBD"/>
      <w:sz w:val="21"/>
      <w:szCs w:val="21"/>
    </w:rPr>
  </w:style>
  <w:style w:type="character" w:customStyle="1" w:styleId="270">
    <w:name w:val="样式 正文001 + 首行缩进:  2 字符 Char"/>
    <w:link w:val="271"/>
    <w:qFormat/>
    <w:uiPriority w:val="0"/>
    <w:rPr>
      <w:sz w:val="24"/>
    </w:rPr>
  </w:style>
  <w:style w:type="paragraph" w:customStyle="1" w:styleId="271">
    <w:name w:val="样式 正文001 + 首行缩进:  2 字符"/>
    <w:basedOn w:val="1"/>
    <w:link w:val="270"/>
    <w:qFormat/>
    <w:uiPriority w:val="0"/>
    <w:pPr>
      <w:spacing w:line="500" w:lineRule="atLeast"/>
      <w:ind w:firstLine="480" w:firstLineChars="200"/>
    </w:pPr>
    <w:rPr>
      <w:sz w:val="24"/>
    </w:rPr>
  </w:style>
  <w:style w:type="character" w:customStyle="1" w:styleId="272">
    <w:name w:val="no42"/>
    <w:basedOn w:val="58"/>
    <w:qFormat/>
    <w:uiPriority w:val="0"/>
  </w:style>
  <w:style w:type="character" w:customStyle="1" w:styleId="273">
    <w:name w:val="标题1"/>
    <w:basedOn w:val="58"/>
    <w:qFormat/>
    <w:uiPriority w:val="0"/>
  </w:style>
  <w:style w:type="character" w:customStyle="1" w:styleId="274">
    <w:name w:val="top_bt1"/>
    <w:qFormat/>
    <w:uiPriority w:val="0"/>
    <w:rPr>
      <w:b/>
      <w:bCs/>
      <w:color w:val="000000"/>
      <w:sz w:val="21"/>
      <w:szCs w:val="21"/>
    </w:rPr>
  </w:style>
  <w:style w:type="character" w:customStyle="1" w:styleId="275">
    <w:name w:val="正文文本 Char"/>
    <w:qFormat/>
    <w:uiPriority w:val="0"/>
    <w:rPr>
      <w:rFonts w:eastAsia="宋体"/>
      <w:kern w:val="2"/>
      <w:sz w:val="21"/>
      <w:szCs w:val="24"/>
      <w:lang w:val="en-US" w:eastAsia="zh-CN" w:bidi="ar-SA"/>
    </w:rPr>
  </w:style>
  <w:style w:type="character" w:customStyle="1" w:styleId="276">
    <w:name w:val="正文01 Char1"/>
    <w:qFormat/>
    <w:uiPriority w:val="0"/>
    <w:rPr>
      <w:rFonts w:eastAsia="宋体"/>
      <w:kern w:val="2"/>
      <w:sz w:val="24"/>
      <w:szCs w:val="24"/>
      <w:lang w:val="en-US" w:eastAsia="zh-CN" w:bidi="ar-SA"/>
    </w:rPr>
  </w:style>
  <w:style w:type="character" w:customStyle="1" w:styleId="277">
    <w:name w:val="样式 样式 仿宋_GB2312 四号 黑色 首行缩进:  0.99 厘米 行距: 1.5 倍行距 + 首行缩进:  2 字符 Char Char"/>
    <w:qFormat/>
    <w:uiPriority w:val="0"/>
    <w:rPr>
      <w:rFonts w:ascii="仿宋_GB2312" w:eastAsia="仿宋_GB2312" w:cs="宋体"/>
      <w:color w:val="000000"/>
      <w:kern w:val="2"/>
      <w:sz w:val="24"/>
      <w:lang w:val="en-US" w:eastAsia="zh-CN" w:bidi="ar-SA"/>
    </w:rPr>
  </w:style>
  <w:style w:type="character" w:customStyle="1" w:styleId="278">
    <w:name w:val="普通文字 Char2"/>
    <w:qFormat/>
    <w:uiPriority w:val="0"/>
    <w:rPr>
      <w:rFonts w:eastAsia="宋体"/>
      <w:spacing w:val="8"/>
      <w:kern w:val="2"/>
      <w:sz w:val="24"/>
      <w:lang w:val="en-US" w:eastAsia="zh-CN" w:bidi="ar-SA"/>
    </w:rPr>
  </w:style>
  <w:style w:type="character" w:customStyle="1" w:styleId="279">
    <w:name w:val="正文AAA Char"/>
    <w:link w:val="280"/>
    <w:qFormat/>
    <w:uiPriority w:val="0"/>
    <w:rPr>
      <w:rFonts w:ascii="宋体" w:hAnsi="宋体" w:eastAsia="宋体" w:cs="宋体"/>
      <w:sz w:val="24"/>
    </w:rPr>
  </w:style>
  <w:style w:type="paragraph" w:customStyle="1" w:styleId="280">
    <w:name w:val="正文AAA"/>
    <w:basedOn w:val="1"/>
    <w:link w:val="279"/>
    <w:qFormat/>
    <w:uiPriority w:val="0"/>
    <w:pPr>
      <w:spacing w:line="500" w:lineRule="exact"/>
      <w:ind w:firstLine="480" w:firstLineChars="200"/>
    </w:pPr>
    <w:rPr>
      <w:rFonts w:ascii="宋体" w:hAnsi="宋体" w:eastAsia="宋体" w:cs="宋体"/>
      <w:sz w:val="24"/>
    </w:rPr>
  </w:style>
  <w:style w:type="character" w:customStyle="1" w:styleId="281">
    <w:name w:val="样式 普通(网站) + 加粗 Char"/>
    <w:link w:val="282"/>
    <w:qFormat/>
    <w:uiPriority w:val="0"/>
    <w:rPr>
      <w:rFonts w:ascii="宋体" w:hAnsi="宋体" w:eastAsia="宋体"/>
      <w:b/>
      <w:bCs/>
      <w:color w:val="000000"/>
      <w:sz w:val="24"/>
      <w:szCs w:val="24"/>
    </w:rPr>
  </w:style>
  <w:style w:type="paragraph" w:customStyle="1" w:styleId="282">
    <w:name w:val="样式 普通(网站) + 加粗"/>
    <w:basedOn w:val="47"/>
    <w:link w:val="281"/>
    <w:qFormat/>
    <w:uiPriority w:val="0"/>
    <w:pPr>
      <w:spacing w:before="0" w:beforeAutospacing="0" w:after="0" w:afterAutospacing="0"/>
    </w:pPr>
    <w:rPr>
      <w:b/>
      <w:bCs/>
      <w:color w:val="000000"/>
      <w:szCs w:val="24"/>
    </w:rPr>
  </w:style>
  <w:style w:type="character" w:customStyle="1" w:styleId="283">
    <w:name w:val="text_style1"/>
    <w:qFormat/>
    <w:uiPriority w:val="0"/>
    <w:rPr>
      <w:sz w:val="22"/>
      <w:szCs w:val="22"/>
      <w:u w:val="none"/>
    </w:rPr>
  </w:style>
  <w:style w:type="character" w:customStyle="1" w:styleId="284">
    <w:name w:val="正文01 Char Char"/>
    <w:qFormat/>
    <w:uiPriority w:val="0"/>
    <w:rPr>
      <w:rFonts w:eastAsia="宋体"/>
      <w:kern w:val="2"/>
      <w:sz w:val="24"/>
      <w:szCs w:val="24"/>
      <w:lang w:val="en-US" w:eastAsia="zh-CN" w:bidi="ar-SA"/>
    </w:rPr>
  </w:style>
  <w:style w:type="character" w:customStyle="1" w:styleId="285">
    <w:name w:val="ui-bz-bg-hover1"/>
    <w:basedOn w:val="58"/>
    <w:qFormat/>
    <w:uiPriority w:val="0"/>
  </w:style>
  <w:style w:type="character" w:customStyle="1" w:styleId="286">
    <w:name w:val="org_name2"/>
    <w:basedOn w:val="58"/>
    <w:qFormat/>
    <w:uiPriority w:val="0"/>
  </w:style>
  <w:style w:type="character" w:customStyle="1" w:styleId="287">
    <w:name w:val="正文_01 Char"/>
    <w:link w:val="288"/>
    <w:qFormat/>
    <w:uiPriority w:val="0"/>
    <w:rPr>
      <w:rFonts w:ascii="宋体" w:hAnsi="宋体" w:eastAsia="Times New Roman"/>
      <w:sz w:val="28"/>
      <w:szCs w:val="28"/>
    </w:rPr>
  </w:style>
  <w:style w:type="paragraph" w:customStyle="1" w:styleId="288">
    <w:name w:val="正文_01"/>
    <w:link w:val="287"/>
    <w:qFormat/>
    <w:uiPriority w:val="0"/>
    <w:pPr>
      <w:widowControl w:val="0"/>
      <w:snapToGrid w:val="0"/>
      <w:spacing w:line="560" w:lineRule="exact"/>
      <w:ind w:firstLine="560" w:firstLineChars="200"/>
      <w:jc w:val="both"/>
    </w:pPr>
    <w:rPr>
      <w:rFonts w:ascii="宋体" w:hAnsi="宋体" w:eastAsia="Times New Roman" w:cstheme="minorBidi"/>
      <w:kern w:val="2"/>
      <w:sz w:val="28"/>
      <w:szCs w:val="28"/>
      <w:lang w:val="en-US" w:eastAsia="zh-CN" w:bidi="ar-SA"/>
    </w:rPr>
  </w:style>
  <w:style w:type="character" w:customStyle="1" w:styleId="289">
    <w:name w:val="st1"/>
    <w:basedOn w:val="58"/>
    <w:qFormat/>
    <w:uiPriority w:val="0"/>
  </w:style>
  <w:style w:type="character" w:customStyle="1" w:styleId="290">
    <w:name w:val="no52"/>
    <w:basedOn w:val="58"/>
    <w:qFormat/>
    <w:uiPriority w:val="0"/>
  </w:style>
  <w:style w:type="character" w:customStyle="1" w:styleId="291">
    <w:name w:val="tip13"/>
    <w:qFormat/>
    <w:uiPriority w:val="0"/>
    <w:rPr>
      <w:vanish/>
      <w:color w:val="FF0000"/>
      <w:sz w:val="18"/>
      <w:szCs w:val="18"/>
    </w:rPr>
  </w:style>
  <w:style w:type="character" w:customStyle="1" w:styleId="292">
    <w:name w:val="表格正文 Char"/>
    <w:qFormat/>
    <w:uiPriority w:val="0"/>
    <w:rPr>
      <w:rFonts w:eastAsia="宋体"/>
      <w:kern w:val="2"/>
      <w:sz w:val="21"/>
      <w:szCs w:val="24"/>
      <w:lang w:val="en-US" w:eastAsia="zh-CN" w:bidi="ar-SA"/>
    </w:rPr>
  </w:style>
  <w:style w:type="character" w:customStyle="1" w:styleId="293">
    <w:name w:val="正文(首行缩进) Char"/>
    <w:link w:val="294"/>
    <w:qFormat/>
    <w:uiPriority w:val="0"/>
    <w:rPr>
      <w:rFonts w:ascii="宋体" w:hAnsi="宋体" w:eastAsia="宋体"/>
      <w:snapToGrid w:val="0"/>
      <w:sz w:val="24"/>
      <w:szCs w:val="24"/>
    </w:rPr>
  </w:style>
  <w:style w:type="paragraph" w:customStyle="1" w:styleId="294">
    <w:name w:val="正文(首行缩进)"/>
    <w:basedOn w:val="1"/>
    <w:link w:val="293"/>
    <w:qFormat/>
    <w:uiPriority w:val="0"/>
    <w:pPr>
      <w:spacing w:line="360" w:lineRule="auto"/>
      <w:ind w:firstLine="510"/>
    </w:pPr>
    <w:rPr>
      <w:rFonts w:ascii="宋体" w:hAnsi="宋体" w:eastAsia="宋体"/>
      <w:snapToGrid w:val="0"/>
      <w:sz w:val="24"/>
      <w:szCs w:val="24"/>
    </w:rPr>
  </w:style>
  <w:style w:type="character" w:customStyle="1" w:styleId="295">
    <w:name w:val="Char Char21"/>
    <w:qFormat/>
    <w:uiPriority w:val="0"/>
    <w:rPr>
      <w:rFonts w:eastAsia="宋体"/>
      <w:kern w:val="2"/>
      <w:sz w:val="21"/>
      <w:szCs w:val="24"/>
      <w:lang w:val="en-US" w:eastAsia="zh-CN" w:bidi="ar-SA"/>
    </w:rPr>
  </w:style>
  <w:style w:type="character" w:customStyle="1" w:styleId="296">
    <w:name w:val="dl1"/>
    <w:qFormat/>
    <w:uiPriority w:val="0"/>
    <w:rPr>
      <w:color w:val="000000"/>
      <w:sz w:val="20"/>
      <w:szCs w:val="20"/>
    </w:rPr>
  </w:style>
  <w:style w:type="character" w:customStyle="1" w:styleId="297">
    <w:name w:val="表头1 Char"/>
    <w:link w:val="298"/>
    <w:qFormat/>
    <w:uiPriority w:val="0"/>
    <w:rPr>
      <w:rFonts w:eastAsia="黑体"/>
      <w:szCs w:val="28"/>
    </w:rPr>
  </w:style>
  <w:style w:type="paragraph" w:customStyle="1" w:styleId="298">
    <w:name w:val="表头1"/>
    <w:basedOn w:val="1"/>
    <w:next w:val="1"/>
    <w:link w:val="297"/>
    <w:qFormat/>
    <w:uiPriority w:val="0"/>
    <w:pPr>
      <w:tabs>
        <w:tab w:val="left" w:pos="605"/>
      </w:tabs>
      <w:adjustRightInd w:val="0"/>
      <w:snapToGrid w:val="0"/>
      <w:jc w:val="center"/>
    </w:pPr>
    <w:rPr>
      <w:rFonts w:eastAsia="黑体"/>
      <w:szCs w:val="28"/>
    </w:rPr>
  </w:style>
  <w:style w:type="character" w:customStyle="1" w:styleId="299">
    <w:name w:val="tpc_content1"/>
    <w:qFormat/>
    <w:uiPriority w:val="0"/>
    <w:rPr>
      <w:sz w:val="23"/>
      <w:szCs w:val="23"/>
    </w:rPr>
  </w:style>
  <w:style w:type="character" w:customStyle="1" w:styleId="300">
    <w:name w:val="Char Char1 Char Char Char Char Char Char Char Char Char Char Char Char Char Char Char Char Char Char Char Char1 Char Char1"/>
    <w:link w:val="301"/>
    <w:qFormat/>
    <w:uiPriority w:val="0"/>
    <w:rPr>
      <w:rFonts w:ascii="宋体" w:hAnsi="宋体" w:eastAsia="宋体" w:cs="宋体"/>
      <w:sz w:val="24"/>
      <w:szCs w:val="24"/>
    </w:rPr>
  </w:style>
  <w:style w:type="paragraph" w:customStyle="1" w:styleId="301">
    <w:name w:val="Char Char1 Char Char Char Char Char Char Char Char Char Char Char Char Char Char Char Char Char Char Char Char1 Char2"/>
    <w:basedOn w:val="1"/>
    <w:link w:val="300"/>
    <w:qFormat/>
    <w:uiPriority w:val="0"/>
    <w:pPr>
      <w:spacing w:line="360" w:lineRule="auto"/>
      <w:ind w:firstLine="200" w:firstLineChars="200"/>
    </w:pPr>
    <w:rPr>
      <w:rFonts w:ascii="宋体" w:hAnsi="宋体" w:eastAsia="宋体" w:cs="宋体"/>
      <w:sz w:val="24"/>
      <w:szCs w:val="24"/>
    </w:rPr>
  </w:style>
  <w:style w:type="character" w:customStyle="1" w:styleId="302">
    <w:name w:val="Char Char Char5"/>
    <w:qFormat/>
    <w:uiPriority w:val="0"/>
    <w:rPr>
      <w:rFonts w:ascii="宋体" w:hAnsi="Courier New" w:eastAsia="宋体" w:cs="Courier New"/>
      <w:kern w:val="2"/>
      <w:sz w:val="21"/>
      <w:szCs w:val="21"/>
      <w:lang w:val="en-US" w:eastAsia="zh-CN" w:bidi="ar-SA"/>
    </w:rPr>
  </w:style>
  <w:style w:type="character" w:customStyle="1" w:styleId="303">
    <w:name w:val="特点 Char"/>
    <w:qFormat/>
    <w:uiPriority w:val="0"/>
    <w:rPr>
      <w:rFonts w:eastAsia="宋体"/>
      <w:kern w:val="2"/>
      <w:sz w:val="24"/>
      <w:lang w:val="en-US" w:eastAsia="zh-CN" w:bidi="ar-SA"/>
    </w:rPr>
  </w:style>
  <w:style w:type="character" w:customStyle="1" w:styleId="304">
    <w:name w:val="text31"/>
    <w:qFormat/>
    <w:uiPriority w:val="0"/>
    <w:rPr>
      <w:rFonts w:hint="eastAsia" w:ascii="宋体" w:hAnsi="宋体" w:eastAsia="宋体"/>
      <w:color w:val="673434"/>
      <w:sz w:val="22"/>
      <w:szCs w:val="22"/>
      <w:u w:val="none"/>
    </w:rPr>
  </w:style>
  <w:style w:type="character" w:customStyle="1" w:styleId="305">
    <w:name w:val="a1"/>
    <w:qFormat/>
    <w:uiPriority w:val="0"/>
  </w:style>
  <w:style w:type="character" w:customStyle="1" w:styleId="306">
    <w:name w:val="样式 正文文本缩进 + 四号1 Char"/>
    <w:link w:val="307"/>
    <w:qFormat/>
    <w:uiPriority w:val="0"/>
    <w:rPr>
      <w:sz w:val="24"/>
      <w:szCs w:val="24"/>
    </w:rPr>
  </w:style>
  <w:style w:type="paragraph" w:customStyle="1" w:styleId="307">
    <w:name w:val="样式 正文文本缩进 + 四号1"/>
    <w:basedOn w:val="21"/>
    <w:link w:val="306"/>
    <w:qFormat/>
    <w:uiPriority w:val="0"/>
    <w:pPr>
      <w:spacing w:before="50" w:beforeLines="50" w:after="50" w:afterLines="50" w:line="360" w:lineRule="auto"/>
      <w:ind w:left="202" w:leftChars="202" w:firstLine="200" w:firstLineChars="200"/>
    </w:pPr>
    <w:rPr>
      <w:rFonts w:asciiTheme="minorHAnsi"/>
      <w:szCs w:val="24"/>
    </w:rPr>
  </w:style>
  <w:style w:type="character" w:customStyle="1" w:styleId="308">
    <w:name w:val="正文文本 3 Char"/>
    <w:link w:val="19"/>
    <w:qFormat/>
    <w:uiPriority w:val="0"/>
    <w:rPr>
      <w:sz w:val="16"/>
      <w:szCs w:val="16"/>
    </w:rPr>
  </w:style>
  <w:style w:type="character" w:customStyle="1" w:styleId="309">
    <w:name w:val="正文文本 3 字符1"/>
    <w:basedOn w:val="58"/>
    <w:semiHidden/>
    <w:qFormat/>
    <w:uiPriority w:val="99"/>
    <w:rPr>
      <w:sz w:val="16"/>
      <w:szCs w:val="16"/>
    </w:rPr>
  </w:style>
  <w:style w:type="character" w:customStyle="1" w:styleId="310">
    <w:name w:val="text081"/>
    <w:qFormat/>
    <w:uiPriority w:val="0"/>
    <w:rPr>
      <w:rFonts w:hint="default"/>
      <w:color w:val="525052"/>
      <w:sz w:val="21"/>
      <w:szCs w:val="21"/>
      <w:u w:val="none"/>
    </w:rPr>
  </w:style>
  <w:style w:type="character" w:customStyle="1" w:styleId="311">
    <w:name w:val="样式 正文001 + 首行缩进:  2 字符 Char Char Char"/>
    <w:qFormat/>
    <w:uiPriority w:val="0"/>
    <w:rPr>
      <w:rFonts w:eastAsia="宋体" w:cs="宋体"/>
      <w:kern w:val="2"/>
      <w:sz w:val="24"/>
      <w:szCs w:val="24"/>
      <w:lang w:val="en-US" w:eastAsia="zh-CN" w:bidi="ar-SA"/>
    </w:rPr>
  </w:style>
  <w:style w:type="character" w:customStyle="1" w:styleId="312">
    <w:name w:val="ctitle3"/>
    <w:qFormat/>
    <w:uiPriority w:val="0"/>
    <w:rPr>
      <w:rFonts w:hint="default" w:ascii="ˎ̥" w:hAnsi="ˎ̥"/>
      <w:b/>
      <w:bCs/>
      <w:color w:val="525052"/>
      <w:sz w:val="24"/>
      <w:szCs w:val="24"/>
    </w:rPr>
  </w:style>
  <w:style w:type="character" w:customStyle="1" w:styleId="313">
    <w:name w:val="wenzi02neirong"/>
    <w:qFormat/>
    <w:uiPriority w:val="0"/>
  </w:style>
  <w:style w:type="character" w:customStyle="1" w:styleId="314">
    <w:name w:val="text"/>
    <w:qFormat/>
    <w:uiPriority w:val="0"/>
  </w:style>
  <w:style w:type="character" w:customStyle="1" w:styleId="315">
    <w:name w:val="样式 3级标题 + 非加粗 Char"/>
    <w:link w:val="316"/>
    <w:qFormat/>
    <w:uiPriority w:val="0"/>
    <w:rPr>
      <w:sz w:val="24"/>
      <w:szCs w:val="24"/>
    </w:rPr>
  </w:style>
  <w:style w:type="paragraph" w:customStyle="1" w:styleId="316">
    <w:name w:val="样式 3级标题 + 非加粗"/>
    <w:basedOn w:val="217"/>
    <w:link w:val="315"/>
    <w:qFormat/>
    <w:uiPriority w:val="0"/>
    <w:pPr>
      <w:spacing w:before="300"/>
    </w:pPr>
    <w:rPr>
      <w:b w:val="0"/>
    </w:rPr>
  </w:style>
  <w:style w:type="character" w:customStyle="1" w:styleId="317">
    <w:name w:val="样式 正文001 + 首行缩进:  2 字符 行距: 固定值 22.5 磅 Char"/>
    <w:link w:val="318"/>
    <w:qFormat/>
    <w:uiPriority w:val="0"/>
    <w:rPr>
      <w:rFonts w:cs="宋体"/>
      <w:bCs/>
      <w:iCs/>
      <w:sz w:val="24"/>
      <w:szCs w:val="24"/>
    </w:rPr>
  </w:style>
  <w:style w:type="paragraph" w:customStyle="1" w:styleId="318">
    <w:name w:val="样式 正文001 + 首行缩进:  2 字符 行距: 固定值 22.5 磅"/>
    <w:basedOn w:val="235"/>
    <w:link w:val="317"/>
    <w:qFormat/>
    <w:uiPriority w:val="0"/>
    <w:pPr>
      <w:spacing w:line="450" w:lineRule="exact"/>
      <w:ind w:firstLine="480" w:firstLineChars="200"/>
    </w:pPr>
    <w:rPr>
      <w:rFonts w:cs="宋体" w:eastAsiaTheme="minorEastAsia"/>
      <w:bCs/>
      <w:iCs/>
      <w:szCs w:val="24"/>
    </w:rPr>
  </w:style>
  <w:style w:type="character" w:customStyle="1" w:styleId="319">
    <w:name w:val="样式 正文文本缩进 + 宋体 13 磅 Char"/>
    <w:qFormat/>
    <w:uiPriority w:val="0"/>
    <w:rPr>
      <w:rFonts w:ascii="宋体" w:hAnsi="宋体" w:eastAsia="宋体"/>
      <w:kern w:val="2"/>
      <w:sz w:val="28"/>
      <w:szCs w:val="28"/>
      <w:lang w:val="en-US" w:eastAsia="zh-CN" w:bidi="ar-SA"/>
    </w:rPr>
  </w:style>
  <w:style w:type="character" w:customStyle="1" w:styleId="320">
    <w:name w:val="Char2"/>
    <w:qFormat/>
    <w:uiPriority w:val="0"/>
    <w:rPr>
      <w:rFonts w:ascii="Arial" w:hAnsi="Arial" w:eastAsia="黑体"/>
      <w:b/>
      <w:bCs/>
      <w:kern w:val="2"/>
      <w:sz w:val="28"/>
      <w:szCs w:val="28"/>
      <w:lang w:val="en-US" w:eastAsia="zh-CN" w:bidi="ar-SA"/>
    </w:rPr>
  </w:style>
  <w:style w:type="character" w:customStyle="1" w:styleId="321">
    <w:name w:val="燕山正文 Char"/>
    <w:qFormat/>
    <w:uiPriority w:val="0"/>
    <w:rPr>
      <w:rFonts w:ascii="宋体" w:hAnsi="宋体" w:eastAsia="宋体"/>
      <w:color w:val="000000"/>
      <w:kern w:val="2"/>
      <w:sz w:val="28"/>
      <w:szCs w:val="28"/>
      <w:lang w:val="en-US" w:eastAsia="zh-CN" w:bidi="ar-SA"/>
    </w:rPr>
  </w:style>
  <w:style w:type="character" w:customStyle="1" w:styleId="322">
    <w:name w:val="文本条款 Char Char Char Char Char"/>
    <w:qFormat/>
    <w:uiPriority w:val="0"/>
    <w:rPr>
      <w:rFonts w:eastAsia="宋体"/>
      <w:color w:val="000000"/>
      <w:kern w:val="2"/>
      <w:sz w:val="24"/>
      <w:szCs w:val="24"/>
      <w:lang w:val="en-US" w:eastAsia="zh-CN" w:bidi="ar-SA"/>
    </w:rPr>
  </w:style>
  <w:style w:type="character" w:customStyle="1" w:styleId="323">
    <w:name w:val="正文001 Char Char Char Char"/>
    <w:qFormat/>
    <w:uiPriority w:val="0"/>
    <w:rPr>
      <w:rFonts w:eastAsia="宋体"/>
      <w:color w:val="000000"/>
      <w:kern w:val="2"/>
      <w:sz w:val="24"/>
      <w:szCs w:val="24"/>
      <w:lang w:val="en-US" w:eastAsia="zh-CN" w:bidi="ar-SA"/>
    </w:rPr>
  </w:style>
  <w:style w:type="character" w:customStyle="1" w:styleId="324">
    <w:name w:val="样式 正文001 + Times New Roman Char Char Char Char"/>
    <w:qFormat/>
    <w:uiPriority w:val="0"/>
  </w:style>
  <w:style w:type="character" w:customStyle="1" w:styleId="325">
    <w:name w:val="样式 正文1 + 段前: 0.1 行 Char Char"/>
    <w:qFormat/>
    <w:uiPriority w:val="0"/>
    <w:rPr>
      <w:rFonts w:eastAsia="宋体" w:cs="宋体"/>
      <w:kern w:val="2"/>
      <w:sz w:val="24"/>
      <w:szCs w:val="24"/>
      <w:lang w:val="en-US" w:eastAsia="zh-CN" w:bidi="ar-SA"/>
    </w:rPr>
  </w:style>
  <w:style w:type="character" w:customStyle="1" w:styleId="326">
    <w:name w:val="hei1"/>
    <w:qFormat/>
    <w:uiPriority w:val="0"/>
    <w:rPr>
      <w:color w:val="000000"/>
      <w:sz w:val="23"/>
      <w:szCs w:val="23"/>
      <w:u w:val="none"/>
    </w:rPr>
  </w:style>
  <w:style w:type="character" w:customStyle="1" w:styleId="327">
    <w:name w:val="big"/>
    <w:qFormat/>
    <w:uiPriority w:val="0"/>
  </w:style>
  <w:style w:type="character" w:customStyle="1" w:styleId="328">
    <w:name w:val="title1"/>
    <w:qFormat/>
    <w:uiPriority w:val="0"/>
    <w:rPr>
      <w:rFonts w:hint="default" w:ascii="Arial" w:hAnsi="Arial" w:cs="Arial"/>
      <w:b/>
      <w:bCs/>
      <w:color w:val="3366CC"/>
      <w:sz w:val="24"/>
      <w:szCs w:val="24"/>
    </w:rPr>
  </w:style>
  <w:style w:type="character" w:customStyle="1" w:styleId="329">
    <w:name w:val="ww1"/>
    <w:qFormat/>
    <w:uiPriority w:val="0"/>
    <w:rPr>
      <w:sz w:val="18"/>
      <w:szCs w:val="18"/>
    </w:rPr>
  </w:style>
  <w:style w:type="character" w:customStyle="1" w:styleId="330">
    <w:name w:val="jq1"/>
    <w:qFormat/>
    <w:uiPriority w:val="0"/>
    <w:rPr>
      <w:rFonts w:hint="eastAsia" w:ascii="宋体" w:hAnsi="宋体" w:eastAsia="宋体"/>
      <w:sz w:val="18"/>
      <w:szCs w:val="18"/>
    </w:rPr>
  </w:style>
  <w:style w:type="character" w:customStyle="1" w:styleId="331">
    <w:name w:val="highlight1"/>
    <w:qFormat/>
    <w:uiPriority w:val="0"/>
    <w:rPr>
      <w:sz w:val="21"/>
      <w:szCs w:val="21"/>
    </w:rPr>
  </w:style>
  <w:style w:type="character" w:customStyle="1" w:styleId="332">
    <w:name w:val="lh151"/>
    <w:qFormat/>
    <w:uiPriority w:val="0"/>
  </w:style>
  <w:style w:type="character" w:customStyle="1" w:styleId="333">
    <w:name w:val="blue1"/>
    <w:qFormat/>
    <w:uiPriority w:val="0"/>
    <w:rPr>
      <w:color w:val="3366FF"/>
    </w:rPr>
  </w:style>
  <w:style w:type="character" w:customStyle="1" w:styleId="334">
    <w:name w:val="标题节 Char Char"/>
    <w:qFormat/>
    <w:uiPriority w:val="0"/>
    <w:rPr>
      <w:rFonts w:ascii="Arial" w:hAnsi="Arial" w:eastAsia="黑体"/>
      <w:b/>
      <w:bCs/>
      <w:kern w:val="2"/>
      <w:sz w:val="32"/>
      <w:szCs w:val="32"/>
      <w:lang w:val="en-US" w:eastAsia="zh-CN" w:bidi="ar-SA"/>
    </w:rPr>
  </w:style>
  <w:style w:type="character" w:customStyle="1" w:styleId="335">
    <w:name w:val="Char Char32"/>
    <w:qFormat/>
    <w:uiPriority w:val="0"/>
    <w:rPr>
      <w:kern w:val="2"/>
      <w:sz w:val="21"/>
      <w:szCs w:val="24"/>
    </w:rPr>
  </w:style>
  <w:style w:type="character" w:customStyle="1" w:styleId="336">
    <w:name w:val="z-窗体顶端 Char"/>
    <w:link w:val="337"/>
    <w:qFormat/>
    <w:uiPriority w:val="0"/>
    <w:rPr>
      <w:rFonts w:ascii="Arial" w:hAnsi="Arial" w:cs="Arial"/>
      <w:vanish/>
      <w:color w:val="000000"/>
      <w:sz w:val="16"/>
      <w:szCs w:val="16"/>
    </w:rPr>
  </w:style>
  <w:style w:type="paragraph" w:customStyle="1" w:styleId="337">
    <w:name w:val="HTML Top of Form"/>
    <w:basedOn w:val="1"/>
    <w:next w:val="1"/>
    <w:link w:val="336"/>
    <w:qFormat/>
    <w:uiPriority w:val="0"/>
    <w:pPr>
      <w:widowControl/>
      <w:pBdr>
        <w:bottom w:val="single" w:color="auto" w:sz="6" w:space="1"/>
      </w:pBdr>
      <w:jc w:val="center"/>
    </w:pPr>
    <w:rPr>
      <w:rFonts w:ascii="Arial" w:hAnsi="Arial" w:cs="Arial"/>
      <w:vanish/>
      <w:color w:val="000000"/>
      <w:sz w:val="16"/>
      <w:szCs w:val="16"/>
    </w:rPr>
  </w:style>
  <w:style w:type="character" w:customStyle="1" w:styleId="338">
    <w:name w:val="z-窗体顶端 字符1"/>
    <w:basedOn w:val="58"/>
    <w:semiHidden/>
    <w:qFormat/>
    <w:uiPriority w:val="99"/>
    <w:rPr>
      <w:rFonts w:ascii="Arial" w:hAnsi="Arial" w:cs="Arial"/>
      <w:vanish/>
      <w:sz w:val="16"/>
      <w:szCs w:val="16"/>
    </w:rPr>
  </w:style>
  <w:style w:type="character" w:customStyle="1" w:styleId="339">
    <w:name w:val="z-窗体底端 Char"/>
    <w:link w:val="340"/>
    <w:qFormat/>
    <w:uiPriority w:val="0"/>
    <w:rPr>
      <w:rFonts w:ascii="Arial" w:hAnsi="Arial" w:cs="Arial"/>
      <w:vanish/>
      <w:color w:val="000000"/>
      <w:sz w:val="16"/>
      <w:szCs w:val="16"/>
    </w:rPr>
  </w:style>
  <w:style w:type="paragraph" w:customStyle="1" w:styleId="340">
    <w:name w:val="HTML Bottom of Form"/>
    <w:basedOn w:val="1"/>
    <w:next w:val="1"/>
    <w:link w:val="339"/>
    <w:qFormat/>
    <w:uiPriority w:val="0"/>
    <w:pPr>
      <w:widowControl/>
      <w:pBdr>
        <w:top w:val="single" w:color="auto" w:sz="6" w:space="1"/>
      </w:pBdr>
      <w:jc w:val="center"/>
    </w:pPr>
    <w:rPr>
      <w:rFonts w:ascii="Arial" w:hAnsi="Arial" w:cs="Arial"/>
      <w:vanish/>
      <w:color w:val="000000"/>
      <w:sz w:val="16"/>
      <w:szCs w:val="16"/>
    </w:rPr>
  </w:style>
  <w:style w:type="character" w:customStyle="1" w:styleId="341">
    <w:name w:val="z-窗体底端 字符1"/>
    <w:basedOn w:val="58"/>
    <w:semiHidden/>
    <w:qFormat/>
    <w:uiPriority w:val="99"/>
    <w:rPr>
      <w:rFonts w:ascii="Arial" w:hAnsi="Arial" w:cs="Arial"/>
      <w:vanish/>
      <w:sz w:val="16"/>
      <w:szCs w:val="16"/>
    </w:rPr>
  </w:style>
  <w:style w:type="character" w:customStyle="1" w:styleId="342">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宋体"/>
      <w:kern w:val="2"/>
      <w:sz w:val="24"/>
      <w:lang w:val="en-US" w:eastAsia="zh-CN" w:bidi="ar-SA"/>
    </w:rPr>
  </w:style>
  <w:style w:type="character" w:customStyle="1" w:styleId="343">
    <w:name w:val="txt221"/>
    <w:qFormat/>
    <w:uiPriority w:val="0"/>
    <w:rPr>
      <w:color w:val="333333"/>
      <w:sz w:val="18"/>
      <w:szCs w:val="18"/>
      <w:u w:val="none"/>
    </w:rPr>
  </w:style>
  <w:style w:type="character" w:customStyle="1" w:styleId="344">
    <w:name w:val="promo1"/>
    <w:qFormat/>
    <w:uiPriority w:val="0"/>
    <w:rPr>
      <w:sz w:val="24"/>
      <w:szCs w:val="24"/>
    </w:rPr>
  </w:style>
  <w:style w:type="character" w:customStyle="1" w:styleId="345">
    <w:name w:val="样式4 Char"/>
    <w:qFormat/>
    <w:uiPriority w:val="0"/>
    <w:rPr>
      <w:rFonts w:eastAsia="宋体"/>
      <w:bCs/>
      <w:color w:val="000000"/>
      <w:sz w:val="24"/>
      <w:szCs w:val="24"/>
      <w:lang w:val="en-US" w:eastAsia="zh-CN" w:bidi="ar-SA"/>
    </w:rPr>
  </w:style>
  <w:style w:type="character" w:customStyle="1" w:styleId="346">
    <w:name w:val="f14b1"/>
    <w:qFormat/>
    <w:uiPriority w:val="0"/>
    <w:rPr>
      <w:b/>
      <w:bCs/>
      <w:sz w:val="21"/>
      <w:szCs w:val="21"/>
    </w:rPr>
  </w:style>
  <w:style w:type="character" w:customStyle="1" w:styleId="347">
    <w:name w:val="f121"/>
    <w:qFormat/>
    <w:uiPriority w:val="0"/>
    <w:rPr>
      <w:sz w:val="18"/>
      <w:szCs w:val="18"/>
      <w:u w:val="none"/>
    </w:rPr>
  </w:style>
  <w:style w:type="character" w:customStyle="1" w:styleId="348">
    <w:name w:val="style441"/>
    <w:qFormat/>
    <w:uiPriority w:val="0"/>
    <w:rPr>
      <w:sz w:val="20"/>
      <w:szCs w:val="20"/>
    </w:rPr>
  </w:style>
  <w:style w:type="character" w:customStyle="1" w:styleId="349">
    <w:name w:val="样式1 Char"/>
    <w:link w:val="350"/>
    <w:qFormat/>
    <w:uiPriority w:val="0"/>
    <w:rPr>
      <w:sz w:val="24"/>
      <w:szCs w:val="24"/>
    </w:rPr>
  </w:style>
  <w:style w:type="paragraph" w:customStyle="1" w:styleId="350">
    <w:name w:val="样式1"/>
    <w:basedOn w:val="1"/>
    <w:link w:val="349"/>
    <w:qFormat/>
    <w:uiPriority w:val="0"/>
    <w:pPr>
      <w:snapToGrid w:val="0"/>
      <w:spacing w:before="60" w:line="460" w:lineRule="exact"/>
      <w:ind w:firstLine="480" w:firstLineChars="200"/>
    </w:pPr>
    <w:rPr>
      <w:sz w:val="24"/>
      <w:szCs w:val="24"/>
    </w:rPr>
  </w:style>
  <w:style w:type="character" w:customStyle="1" w:styleId="351">
    <w:name w:val="3级标题 Char Char"/>
    <w:qFormat/>
    <w:uiPriority w:val="0"/>
    <w:rPr>
      <w:rFonts w:eastAsia="宋体"/>
      <w:b/>
      <w:kern w:val="2"/>
      <w:sz w:val="24"/>
      <w:szCs w:val="24"/>
      <w:lang w:val="en-US" w:eastAsia="zh-CN" w:bidi="ar-SA"/>
    </w:rPr>
  </w:style>
  <w:style w:type="character" w:customStyle="1" w:styleId="352">
    <w:name w:val="isellp"/>
    <w:qFormat/>
    <w:uiPriority w:val="0"/>
  </w:style>
  <w:style w:type="character" w:customStyle="1" w:styleId="353">
    <w:name w:val="标题 2 Char"/>
    <w:qFormat/>
    <w:uiPriority w:val="0"/>
    <w:rPr>
      <w:rFonts w:ascii="Arial" w:hAnsi="Arial" w:eastAsia="黑体"/>
      <w:b/>
      <w:bCs/>
      <w:kern w:val="2"/>
      <w:sz w:val="32"/>
      <w:szCs w:val="32"/>
      <w:lang w:val="en-US" w:eastAsia="zh-CN" w:bidi="ar-SA"/>
    </w:rPr>
  </w:style>
  <w:style w:type="character" w:customStyle="1" w:styleId="354">
    <w:name w:val="Char Char10"/>
    <w:semiHidden/>
    <w:qFormat/>
    <w:uiPriority w:val="0"/>
    <w:rPr>
      <w:rFonts w:eastAsia="宋体"/>
      <w:kern w:val="2"/>
      <w:sz w:val="18"/>
      <w:szCs w:val="18"/>
      <w:lang w:val="en-US" w:eastAsia="zh-CN" w:bidi="ar-SA"/>
    </w:rPr>
  </w:style>
  <w:style w:type="character" w:customStyle="1" w:styleId="355">
    <w:name w:val="apple-converted-space"/>
    <w:basedOn w:val="58"/>
    <w:qFormat/>
    <w:uiPriority w:val="0"/>
  </w:style>
  <w:style w:type="character" w:customStyle="1" w:styleId="356">
    <w:name w:val="content1"/>
    <w:qFormat/>
    <w:uiPriority w:val="0"/>
    <w:rPr>
      <w:rFonts w:hint="eastAsia" w:ascii="宋体" w:hAnsi="宋体" w:eastAsia="宋体"/>
      <w:color w:val="333333"/>
      <w:sz w:val="21"/>
      <w:szCs w:val="21"/>
    </w:rPr>
  </w:style>
  <w:style w:type="character" w:customStyle="1" w:styleId="357">
    <w:name w:val="bititle"/>
    <w:basedOn w:val="58"/>
    <w:qFormat/>
    <w:uiPriority w:val="0"/>
  </w:style>
  <w:style w:type="character" w:customStyle="1" w:styleId="358">
    <w:name w:val="Char Char13"/>
    <w:qFormat/>
    <w:uiPriority w:val="0"/>
    <w:rPr>
      <w:rFonts w:eastAsia="宋体"/>
      <w:kern w:val="2"/>
      <w:sz w:val="21"/>
      <w:szCs w:val="24"/>
      <w:lang w:val="en-US" w:eastAsia="zh-CN" w:bidi="ar-SA"/>
    </w:rPr>
  </w:style>
  <w:style w:type="character" w:customStyle="1" w:styleId="359">
    <w:name w:val="Char Char16"/>
    <w:qFormat/>
    <w:uiPriority w:val="0"/>
    <w:rPr>
      <w:rFonts w:ascii="Times New Roman" w:hAnsi="Times New Roman"/>
      <w:kern w:val="2"/>
      <w:sz w:val="21"/>
      <w:szCs w:val="24"/>
    </w:rPr>
  </w:style>
  <w:style w:type="character" w:customStyle="1" w:styleId="360">
    <w:name w:val="Char Char15"/>
    <w:qFormat/>
    <w:uiPriority w:val="0"/>
    <w:rPr>
      <w:rFonts w:ascii="Times New Roman" w:hAnsi="Times New Roman"/>
      <w:kern w:val="2"/>
      <w:sz w:val="18"/>
      <w:szCs w:val="18"/>
    </w:rPr>
  </w:style>
  <w:style w:type="character" w:customStyle="1" w:styleId="361">
    <w:name w:val="主体 Char"/>
    <w:link w:val="362"/>
    <w:qFormat/>
    <w:uiPriority w:val="0"/>
    <w:rPr>
      <w:rFonts w:eastAsia="仿宋_GB2312"/>
      <w:bCs/>
      <w:sz w:val="24"/>
      <w:szCs w:val="24"/>
    </w:rPr>
  </w:style>
  <w:style w:type="paragraph" w:customStyle="1" w:styleId="362">
    <w:name w:val="主体"/>
    <w:link w:val="361"/>
    <w:qFormat/>
    <w:uiPriority w:val="0"/>
    <w:pPr>
      <w:widowControl w:val="0"/>
      <w:autoSpaceDE w:val="0"/>
      <w:autoSpaceDN w:val="0"/>
      <w:spacing w:line="440" w:lineRule="exact"/>
      <w:ind w:firstLine="480" w:firstLineChars="200"/>
      <w:jc w:val="both"/>
    </w:pPr>
    <w:rPr>
      <w:rFonts w:eastAsia="仿宋_GB2312" w:asciiTheme="minorHAnsi" w:hAnsiTheme="minorHAnsi" w:cstheme="minorBidi"/>
      <w:bCs/>
      <w:kern w:val="2"/>
      <w:sz w:val="24"/>
      <w:szCs w:val="24"/>
      <w:lang w:val="en-US" w:eastAsia="zh-CN" w:bidi="ar-SA"/>
    </w:rPr>
  </w:style>
  <w:style w:type="character" w:customStyle="1" w:styleId="363">
    <w:name w:val="表格内容 Char"/>
    <w:link w:val="364"/>
    <w:qFormat/>
    <w:uiPriority w:val="0"/>
    <w:rPr>
      <w:rFonts w:ascii="Arial" w:hAnsi="Arial" w:eastAsia="宋体"/>
      <w:color w:val="000000"/>
      <w:szCs w:val="24"/>
    </w:rPr>
  </w:style>
  <w:style w:type="paragraph" w:customStyle="1" w:styleId="364">
    <w:name w:val="表格内容"/>
    <w:basedOn w:val="1"/>
    <w:link w:val="363"/>
    <w:qFormat/>
    <w:uiPriority w:val="0"/>
    <w:pPr>
      <w:spacing w:line="360" w:lineRule="exact"/>
      <w:jc w:val="center"/>
    </w:pPr>
    <w:rPr>
      <w:rFonts w:ascii="Arial" w:hAnsi="Arial" w:eastAsia="宋体"/>
      <w:color w:val="000000"/>
      <w:szCs w:val="24"/>
    </w:rPr>
  </w:style>
  <w:style w:type="character" w:customStyle="1" w:styleId="365">
    <w:name w:val="样式 标题 4 + 小四 Char"/>
    <w:link w:val="366"/>
    <w:qFormat/>
    <w:uiPriority w:val="0"/>
    <w:rPr>
      <w:rFonts w:ascii="宋体" w:hAnsi="Courier New"/>
      <w:b/>
      <w:sz w:val="24"/>
    </w:rPr>
  </w:style>
  <w:style w:type="paragraph" w:customStyle="1" w:styleId="366">
    <w:name w:val="样式 标题 4 + 小四"/>
    <w:basedOn w:val="5"/>
    <w:link w:val="365"/>
    <w:qFormat/>
    <w:uiPriority w:val="0"/>
    <w:pPr>
      <w:tabs>
        <w:tab w:val="clear" w:pos="864"/>
      </w:tabs>
      <w:spacing w:before="0" w:line="360" w:lineRule="auto"/>
      <w:ind w:left="0" w:firstLine="0"/>
    </w:pPr>
    <w:rPr>
      <w:rFonts w:ascii="宋体" w:hAnsi="Courier New" w:eastAsiaTheme="minorEastAsia" w:cstheme="minorBidi"/>
      <w:szCs w:val="22"/>
    </w:rPr>
  </w:style>
  <w:style w:type="character" w:customStyle="1" w:styleId="367">
    <w:name w:val="页脚 Char1"/>
    <w:semiHidden/>
    <w:qFormat/>
    <w:uiPriority w:val="0"/>
    <w:rPr>
      <w:kern w:val="2"/>
      <w:sz w:val="18"/>
      <w:szCs w:val="18"/>
    </w:rPr>
  </w:style>
  <w:style w:type="character" w:customStyle="1" w:styleId="368">
    <w:name w:val="批注文字 Char1"/>
    <w:semiHidden/>
    <w:qFormat/>
    <w:uiPriority w:val="0"/>
    <w:rPr>
      <w:kern w:val="2"/>
      <w:sz w:val="21"/>
      <w:szCs w:val="24"/>
    </w:rPr>
  </w:style>
  <w:style w:type="character" w:customStyle="1" w:styleId="369">
    <w:name w:val="普通(网站) Char"/>
    <w:semiHidden/>
    <w:qFormat/>
    <w:locked/>
    <w:uiPriority w:val="0"/>
    <w:rPr>
      <w:sz w:val="18"/>
      <w:szCs w:val="18"/>
    </w:rPr>
  </w:style>
  <w:style w:type="character" w:customStyle="1" w:styleId="370">
    <w:name w:val="正文文本 3 Char1"/>
    <w:semiHidden/>
    <w:qFormat/>
    <w:uiPriority w:val="0"/>
    <w:rPr>
      <w:kern w:val="2"/>
      <w:sz w:val="16"/>
      <w:szCs w:val="16"/>
    </w:rPr>
  </w:style>
  <w:style w:type="character" w:customStyle="1" w:styleId="371">
    <w:name w:val="文档结构图 Char1"/>
    <w:semiHidden/>
    <w:qFormat/>
    <w:uiPriority w:val="0"/>
    <w:rPr>
      <w:rFonts w:ascii="宋体"/>
      <w:kern w:val="2"/>
      <w:sz w:val="18"/>
      <w:szCs w:val="18"/>
    </w:rPr>
  </w:style>
  <w:style w:type="character" w:customStyle="1" w:styleId="372">
    <w:name w:val="批注主题 Char1"/>
    <w:semiHidden/>
    <w:qFormat/>
    <w:uiPriority w:val="0"/>
    <w:rPr>
      <w:b/>
      <w:bCs/>
      <w:kern w:val="2"/>
      <w:sz w:val="21"/>
      <w:szCs w:val="24"/>
    </w:rPr>
  </w:style>
  <w:style w:type="character" w:customStyle="1" w:styleId="373">
    <w:name w:val="正文文本 2 Char1"/>
    <w:semiHidden/>
    <w:qFormat/>
    <w:uiPriority w:val="0"/>
    <w:rPr>
      <w:kern w:val="2"/>
      <w:sz w:val="21"/>
      <w:szCs w:val="24"/>
    </w:rPr>
  </w:style>
  <w:style w:type="character" w:customStyle="1" w:styleId="374">
    <w:name w:val="Char21"/>
    <w:qFormat/>
    <w:uiPriority w:val="0"/>
    <w:rPr>
      <w:rFonts w:hint="default" w:ascii="Arial" w:hAnsi="Arial" w:eastAsia="黑体" w:cs="Arial"/>
      <w:b/>
      <w:bCs/>
      <w:kern w:val="2"/>
      <w:sz w:val="28"/>
      <w:szCs w:val="28"/>
      <w:lang w:val="en-US" w:eastAsia="zh-CN" w:bidi="ar-SA"/>
    </w:rPr>
  </w:style>
  <w:style w:type="character" w:customStyle="1" w:styleId="375">
    <w:name w:val="表格下方正文 Char"/>
    <w:qFormat/>
    <w:uiPriority w:val="0"/>
    <w:rPr>
      <w:rFonts w:eastAsia="宋体"/>
      <w:bCs/>
      <w:kern w:val="2"/>
      <w:sz w:val="24"/>
      <w:szCs w:val="24"/>
      <w:lang w:val="en-US" w:eastAsia="zh-CN" w:bidi="ar-SA"/>
    </w:rPr>
  </w:style>
  <w:style w:type="character" w:customStyle="1" w:styleId="376">
    <w:name w:val="fontstrikethrough"/>
    <w:qFormat/>
    <w:uiPriority w:val="0"/>
    <w:rPr>
      <w:strike/>
    </w:rPr>
  </w:style>
  <w:style w:type="character" w:customStyle="1" w:styleId="377">
    <w:name w:val="ui-bz-bg-hover"/>
    <w:qFormat/>
    <w:uiPriority w:val="0"/>
    <w:rPr>
      <w:shd w:val="clear" w:color="auto" w:fill="000000"/>
    </w:rPr>
  </w:style>
  <w:style w:type="character" w:customStyle="1" w:styleId="378">
    <w:name w:val="top-icon"/>
    <w:basedOn w:val="58"/>
    <w:qFormat/>
    <w:uiPriority w:val="0"/>
  </w:style>
  <w:style w:type="character" w:customStyle="1" w:styleId="379">
    <w:name w:val="bds_nopic"/>
    <w:basedOn w:val="58"/>
    <w:qFormat/>
    <w:uiPriority w:val="0"/>
  </w:style>
  <w:style w:type="character" w:customStyle="1" w:styleId="380">
    <w:name w:val="bds_nopic2"/>
    <w:basedOn w:val="58"/>
    <w:qFormat/>
    <w:uiPriority w:val="0"/>
  </w:style>
  <w:style w:type="character" w:customStyle="1" w:styleId="381">
    <w:name w:val="t-tag"/>
    <w:qFormat/>
    <w:uiPriority w:val="0"/>
    <w:rPr>
      <w:color w:val="FFFFFF"/>
      <w:sz w:val="18"/>
      <w:szCs w:val="18"/>
      <w:shd w:val="clear" w:color="auto" w:fill="FE8833"/>
    </w:rPr>
  </w:style>
  <w:style w:type="character" w:customStyle="1" w:styleId="382">
    <w:name w:val="orange"/>
    <w:qFormat/>
    <w:uiPriority w:val="0"/>
    <w:rPr>
      <w:color w:val="3FB58F"/>
    </w:rPr>
  </w:style>
  <w:style w:type="character" w:customStyle="1" w:styleId="383">
    <w:name w:val="正文文本缩进 3 Char"/>
    <w:link w:val="42"/>
    <w:qFormat/>
    <w:uiPriority w:val="0"/>
    <w:rPr>
      <w:sz w:val="16"/>
      <w:szCs w:val="16"/>
    </w:rPr>
  </w:style>
  <w:style w:type="character" w:customStyle="1" w:styleId="384">
    <w:name w:val="正文文本缩进 3 字符1"/>
    <w:basedOn w:val="58"/>
    <w:semiHidden/>
    <w:qFormat/>
    <w:uiPriority w:val="99"/>
    <w:rPr>
      <w:sz w:val="16"/>
      <w:szCs w:val="16"/>
    </w:rPr>
  </w:style>
  <w:style w:type="character" w:customStyle="1" w:styleId="385">
    <w:name w:val="居中正文 Char"/>
    <w:link w:val="386"/>
    <w:qFormat/>
    <w:uiPriority w:val="0"/>
    <w:rPr>
      <w:rFonts w:ascii="宋体"/>
      <w:kern w:val="28"/>
      <w:sz w:val="24"/>
    </w:rPr>
  </w:style>
  <w:style w:type="paragraph" w:customStyle="1" w:styleId="386">
    <w:name w:val="居中正文"/>
    <w:basedOn w:val="50"/>
    <w:link w:val="385"/>
    <w:qFormat/>
    <w:uiPriority w:val="0"/>
    <w:pPr>
      <w:adjustRightInd w:val="0"/>
      <w:spacing w:after="0" w:line="360" w:lineRule="auto"/>
      <w:ind w:firstLine="0" w:firstLineChars="0"/>
      <w:jc w:val="center"/>
      <w:textAlignment w:val="baseline"/>
    </w:pPr>
    <w:rPr>
      <w:rFonts w:ascii="宋体" w:hAnsiTheme="minorHAnsi" w:eastAsiaTheme="minorEastAsia"/>
      <w:kern w:val="28"/>
      <w:szCs w:val="22"/>
    </w:rPr>
  </w:style>
  <w:style w:type="character" w:customStyle="1" w:styleId="387">
    <w:name w:val="正文首行缩进2个字 Char Char"/>
    <w:link w:val="388"/>
    <w:qFormat/>
    <w:uiPriority w:val="0"/>
    <w:rPr>
      <w:rFonts w:eastAsia="楷体"/>
      <w:sz w:val="24"/>
      <w:szCs w:val="24"/>
    </w:rPr>
  </w:style>
  <w:style w:type="paragraph" w:customStyle="1" w:styleId="388">
    <w:name w:val="正文首行缩进2个字 Char"/>
    <w:basedOn w:val="1"/>
    <w:link w:val="387"/>
    <w:qFormat/>
    <w:uiPriority w:val="0"/>
    <w:pPr>
      <w:ind w:firstLine="480" w:firstLineChars="200"/>
    </w:pPr>
    <w:rPr>
      <w:rFonts w:eastAsia="楷体"/>
      <w:sz w:val="24"/>
      <w:szCs w:val="24"/>
    </w:rPr>
  </w:style>
  <w:style w:type="character" w:customStyle="1" w:styleId="389">
    <w:name w:val="正 Char"/>
    <w:link w:val="390"/>
    <w:qFormat/>
    <w:uiPriority w:val="0"/>
    <w:rPr>
      <w:sz w:val="24"/>
    </w:rPr>
  </w:style>
  <w:style w:type="paragraph" w:customStyle="1" w:styleId="390">
    <w:name w:val="正"/>
    <w:basedOn w:val="1"/>
    <w:link w:val="389"/>
    <w:qFormat/>
    <w:uiPriority w:val="0"/>
    <w:pPr>
      <w:spacing w:line="360" w:lineRule="auto"/>
      <w:ind w:firstLine="200" w:firstLineChars="200"/>
    </w:pPr>
    <w:rPr>
      <w:sz w:val="24"/>
    </w:rPr>
  </w:style>
  <w:style w:type="character" w:customStyle="1" w:styleId="391">
    <w:name w:val="书表格内 Char"/>
    <w:link w:val="392"/>
    <w:qFormat/>
    <w:uiPriority w:val="0"/>
    <w:rPr>
      <w:rFonts w:ascii="宋体" w:hAnsi="宋体"/>
      <w:szCs w:val="21"/>
    </w:rPr>
  </w:style>
  <w:style w:type="paragraph" w:customStyle="1" w:styleId="392">
    <w:name w:val="书表格内"/>
    <w:basedOn w:val="1"/>
    <w:link w:val="391"/>
    <w:qFormat/>
    <w:uiPriority w:val="0"/>
    <w:pPr>
      <w:framePr w:hSpace="180" w:wrap="around" w:vAnchor="text" w:hAnchor="text" w:xAlign="center" w:y="1"/>
      <w:spacing w:line="240" w:lineRule="exact"/>
      <w:jc w:val="center"/>
    </w:pPr>
    <w:rPr>
      <w:rFonts w:ascii="宋体" w:hAnsi="宋体"/>
      <w:szCs w:val="21"/>
    </w:rPr>
  </w:style>
  <w:style w:type="character" w:customStyle="1" w:styleId="393">
    <w:name w:val="hps"/>
    <w:qFormat/>
    <w:uiPriority w:val="99"/>
    <w:rPr>
      <w:rFonts w:cs="Times New Roman"/>
    </w:rPr>
  </w:style>
  <w:style w:type="character" w:customStyle="1" w:styleId="394">
    <w:name w:val="Char Char1 Char Char"/>
    <w:link w:val="395"/>
    <w:qFormat/>
    <w:uiPriority w:val="0"/>
    <w:rPr>
      <w:rFonts w:ascii="宋体" w:hAnsi="宋体" w:cs="宋体"/>
      <w:sz w:val="24"/>
      <w:szCs w:val="24"/>
    </w:rPr>
  </w:style>
  <w:style w:type="paragraph" w:customStyle="1" w:styleId="395">
    <w:name w:val="Char Char1"/>
    <w:basedOn w:val="1"/>
    <w:link w:val="394"/>
    <w:qFormat/>
    <w:uiPriority w:val="0"/>
    <w:pPr>
      <w:spacing w:line="360" w:lineRule="auto"/>
      <w:ind w:firstLine="200" w:firstLineChars="200"/>
    </w:pPr>
    <w:rPr>
      <w:rFonts w:ascii="宋体" w:hAnsi="宋体" w:cs="宋体"/>
      <w:sz w:val="24"/>
      <w:szCs w:val="24"/>
    </w:rPr>
  </w:style>
  <w:style w:type="character" w:customStyle="1" w:styleId="396">
    <w:name w:val="Char Char Char Char Char"/>
    <w:qFormat/>
    <w:uiPriority w:val="0"/>
    <w:rPr>
      <w:rFonts w:eastAsia="宋体"/>
      <w:b/>
      <w:sz w:val="24"/>
      <w:lang w:val="en-US" w:eastAsia="zh-CN" w:bidi="ar-SA"/>
    </w:rPr>
  </w:style>
  <w:style w:type="character" w:customStyle="1" w:styleId="397">
    <w:name w:val="样式 (符号) 宋体 小四"/>
    <w:qFormat/>
    <w:uiPriority w:val="0"/>
    <w:rPr>
      <w:rFonts w:ascii="Times New Roman" w:hAnsi="Times New Roman"/>
      <w:sz w:val="24"/>
      <w:szCs w:val="24"/>
    </w:rPr>
  </w:style>
  <w:style w:type="character" w:customStyle="1" w:styleId="398">
    <w:name w:val="表格下方正文 Char Char"/>
    <w:qFormat/>
    <w:uiPriority w:val="0"/>
    <w:rPr>
      <w:rFonts w:eastAsia="宋体"/>
      <w:kern w:val="2"/>
      <w:sz w:val="24"/>
      <w:lang w:val="en-US" w:eastAsia="zh-CN" w:bidi="ar-SA"/>
    </w:rPr>
  </w:style>
  <w:style w:type="character" w:customStyle="1" w:styleId="399">
    <w:name w:val="样式 正文文本 + 小四 Char Char"/>
    <w:link w:val="400"/>
    <w:qFormat/>
    <w:uiPriority w:val="0"/>
    <w:rPr>
      <w:sz w:val="24"/>
      <w:szCs w:val="24"/>
    </w:rPr>
  </w:style>
  <w:style w:type="paragraph" w:customStyle="1" w:styleId="400">
    <w:name w:val="样式 正文文本 + 小四"/>
    <w:basedOn w:val="20"/>
    <w:link w:val="399"/>
    <w:qFormat/>
    <w:uiPriority w:val="0"/>
    <w:rPr>
      <w:rFonts w:asciiTheme="minorHAnsi" w:hAnsiTheme="minorHAnsi" w:eastAsiaTheme="minorEastAsia" w:cstheme="minorBidi"/>
      <w:sz w:val="24"/>
      <w:szCs w:val="24"/>
    </w:rPr>
  </w:style>
  <w:style w:type="character" w:customStyle="1" w:styleId="401">
    <w:name w:val="black141"/>
    <w:qFormat/>
    <w:uiPriority w:val="0"/>
    <w:rPr>
      <w:rFonts w:ascii="宋体" w:hAnsi="宋体" w:eastAsia="宋体" w:cs="宋体"/>
      <w:color w:val="000000"/>
      <w:kern w:val="2"/>
      <w:sz w:val="28"/>
      <w:szCs w:val="28"/>
      <w:lang w:val="en-US" w:eastAsia="zh-CN" w:bidi="ar-SA"/>
    </w:rPr>
  </w:style>
  <w:style w:type="character" w:customStyle="1" w:styleId="402">
    <w:name w:val="a21"/>
    <w:qFormat/>
    <w:uiPriority w:val="0"/>
    <w:rPr>
      <w:rFonts w:hint="default" w:ascii="Geneva" w:hAnsi="Geneva"/>
      <w:color w:val="000000"/>
      <w:sz w:val="23"/>
      <w:szCs w:val="23"/>
      <w:u w:val="none"/>
    </w:rPr>
  </w:style>
  <w:style w:type="character" w:customStyle="1" w:styleId="403">
    <w:name w:val="正文00000 Char"/>
    <w:link w:val="404"/>
    <w:qFormat/>
    <w:uiPriority w:val="0"/>
    <w:rPr>
      <w:sz w:val="24"/>
    </w:rPr>
  </w:style>
  <w:style w:type="paragraph" w:customStyle="1" w:styleId="404">
    <w:name w:val="正文00000"/>
    <w:basedOn w:val="1"/>
    <w:link w:val="403"/>
    <w:qFormat/>
    <w:uiPriority w:val="0"/>
    <w:pPr>
      <w:adjustRightInd w:val="0"/>
      <w:snapToGrid w:val="0"/>
      <w:spacing w:line="440" w:lineRule="atLeast"/>
      <w:ind w:firstLine="482"/>
    </w:pPr>
    <w:rPr>
      <w:sz w:val="24"/>
    </w:rPr>
  </w:style>
  <w:style w:type="character" w:customStyle="1" w:styleId="405">
    <w:name w:val="正文000000000000000 宋体 小四 黑色 首行缩进:  0.85 厘米 行距: 固定值 22 磅 Char"/>
    <w:link w:val="406"/>
    <w:qFormat/>
    <w:uiPriority w:val="0"/>
    <w:rPr>
      <w:color w:val="000000"/>
      <w:sz w:val="24"/>
      <w:szCs w:val="24"/>
    </w:rPr>
  </w:style>
  <w:style w:type="paragraph" w:customStyle="1" w:styleId="406">
    <w:name w:val="正文000000000000000 宋体 小四 黑色 首行缩进:  0.85 厘米 行距: 固定值 22 磅"/>
    <w:basedOn w:val="1"/>
    <w:link w:val="405"/>
    <w:qFormat/>
    <w:uiPriority w:val="0"/>
    <w:pPr>
      <w:spacing w:line="460" w:lineRule="exact"/>
      <w:ind w:firstLine="200" w:firstLineChars="200"/>
    </w:pPr>
    <w:rPr>
      <w:color w:val="000000"/>
      <w:sz w:val="24"/>
      <w:szCs w:val="24"/>
    </w:rPr>
  </w:style>
  <w:style w:type="character" w:customStyle="1" w:styleId="407">
    <w:name w:val="font41"/>
    <w:qFormat/>
    <w:uiPriority w:val="0"/>
    <w:rPr>
      <w:rFonts w:hint="eastAsia" w:ascii="宋体" w:hAnsi="宋体" w:eastAsia="宋体" w:cs="宋体"/>
      <w:color w:val="000000"/>
      <w:sz w:val="20"/>
      <w:szCs w:val="20"/>
      <w:u w:val="none"/>
    </w:rPr>
  </w:style>
  <w:style w:type="character" w:customStyle="1" w:styleId="408">
    <w:name w:val="font51"/>
    <w:qFormat/>
    <w:uiPriority w:val="0"/>
    <w:rPr>
      <w:rFonts w:hint="eastAsia" w:ascii="宋体" w:hAnsi="宋体" w:eastAsia="宋体" w:cs="宋体"/>
      <w:color w:val="000000"/>
      <w:sz w:val="20"/>
      <w:szCs w:val="20"/>
      <w:u w:val="none"/>
    </w:rPr>
  </w:style>
  <w:style w:type="character" w:customStyle="1" w:styleId="409">
    <w:name w:val="@@@@@ Char"/>
    <w:link w:val="410"/>
    <w:qFormat/>
    <w:uiPriority w:val="0"/>
    <w:rPr>
      <w:rFonts w:ascii="宋体" w:hAnsi="宋体"/>
      <w:sz w:val="24"/>
    </w:rPr>
  </w:style>
  <w:style w:type="paragraph" w:customStyle="1" w:styleId="410">
    <w:name w:val="@@@@@"/>
    <w:basedOn w:val="26"/>
    <w:link w:val="409"/>
    <w:qFormat/>
    <w:uiPriority w:val="0"/>
    <w:pPr>
      <w:adjustRightInd w:val="0"/>
      <w:snapToGrid w:val="0"/>
      <w:ind w:left="-16" w:leftChars="-51" w:right="-143" w:rightChars="-68" w:hanging="91" w:hangingChars="38"/>
      <w:jc w:val="center"/>
    </w:pPr>
    <w:rPr>
      <w:rFonts w:hAnsi="宋体" w:eastAsiaTheme="minorEastAsia"/>
      <w:sz w:val="24"/>
    </w:rPr>
  </w:style>
  <w:style w:type="character" w:customStyle="1" w:styleId="411">
    <w:name w:val="样式15 Char"/>
    <w:link w:val="412"/>
    <w:qFormat/>
    <w:uiPriority w:val="0"/>
    <w:rPr>
      <w:rFonts w:ascii="Arial" w:hAnsi="宋体" w:cs="Arial"/>
      <w:spacing w:val="10"/>
      <w:sz w:val="24"/>
      <w:szCs w:val="24"/>
    </w:rPr>
  </w:style>
  <w:style w:type="paragraph" w:customStyle="1" w:styleId="412">
    <w:name w:val="样式15"/>
    <w:basedOn w:val="6"/>
    <w:link w:val="411"/>
    <w:qFormat/>
    <w:uiPriority w:val="0"/>
    <w:pPr>
      <w:spacing w:line="264" w:lineRule="auto"/>
      <w:ind w:firstLine="476" w:firstLineChars="0"/>
      <w:jc w:val="left"/>
    </w:pPr>
    <w:rPr>
      <w:rFonts w:ascii="Arial" w:hAnsi="宋体" w:cs="Arial"/>
      <w:spacing w:val="10"/>
      <w:sz w:val="24"/>
      <w:szCs w:val="24"/>
    </w:rPr>
  </w:style>
  <w:style w:type="character" w:customStyle="1" w:styleId="413">
    <w:name w:val="表头（倪） Char"/>
    <w:link w:val="414"/>
    <w:qFormat/>
    <w:uiPriority w:val="0"/>
    <w:rPr>
      <w:b/>
      <w:bCs/>
      <w:sz w:val="24"/>
      <w:szCs w:val="28"/>
    </w:rPr>
  </w:style>
  <w:style w:type="paragraph" w:customStyle="1" w:styleId="414">
    <w:name w:val="表头（倪）"/>
    <w:basedOn w:val="1"/>
    <w:link w:val="413"/>
    <w:qFormat/>
    <w:uiPriority w:val="0"/>
    <w:pPr>
      <w:keepNext/>
      <w:keepLines/>
      <w:spacing w:line="360" w:lineRule="auto"/>
      <w:ind w:left="426"/>
      <w:jc w:val="center"/>
      <w:outlineLvl w:val="3"/>
    </w:pPr>
    <w:rPr>
      <w:b/>
      <w:bCs/>
      <w:sz w:val="24"/>
      <w:szCs w:val="28"/>
    </w:rPr>
  </w:style>
  <w:style w:type="character" w:customStyle="1" w:styleId="415">
    <w:name w:val="标题 Char"/>
    <w:basedOn w:val="58"/>
    <w:link w:val="48"/>
    <w:qFormat/>
    <w:uiPriority w:val="0"/>
    <w:rPr>
      <w:rFonts w:ascii="宋体" w:hAnsi="宋体" w:eastAsia="宋体" w:cs="Times New Roman"/>
      <w:b/>
      <w:sz w:val="30"/>
      <w:szCs w:val="20"/>
    </w:rPr>
  </w:style>
  <w:style w:type="character" w:customStyle="1" w:styleId="416">
    <w:name w:val="正文文本 2 Char"/>
    <w:basedOn w:val="58"/>
    <w:link w:val="45"/>
    <w:qFormat/>
    <w:uiPriority w:val="0"/>
    <w:rPr>
      <w:rFonts w:ascii="Times New Roman" w:hAnsi="Times New Roman" w:eastAsia="宋体" w:cs="Times New Roman"/>
      <w:szCs w:val="24"/>
    </w:rPr>
  </w:style>
  <w:style w:type="character" w:customStyle="1" w:styleId="417">
    <w:name w:val="副标题 Char"/>
    <w:basedOn w:val="58"/>
    <w:link w:val="40"/>
    <w:qFormat/>
    <w:uiPriority w:val="0"/>
    <w:rPr>
      <w:rFonts w:ascii="Cambria" w:hAnsi="Cambria" w:eastAsia="宋体" w:cs="Times New Roman"/>
      <w:b/>
      <w:bCs/>
      <w:kern w:val="28"/>
      <w:sz w:val="32"/>
      <w:szCs w:val="32"/>
      <w:lang w:val="zh-CN" w:eastAsia="zh-CN"/>
    </w:rPr>
  </w:style>
  <w:style w:type="paragraph" w:customStyle="1" w:styleId="418">
    <w:name w:val="（空格行"/>
    <w:basedOn w:val="1"/>
    <w:qFormat/>
    <w:uiPriority w:val="0"/>
    <w:pPr>
      <w:ind w:firstLine="480" w:firstLineChars="200"/>
    </w:pPr>
    <w:rPr>
      <w:rFonts w:ascii="Times New Roman" w:hAnsi="Times New Roman" w:eastAsia="仿宋_GB2312" w:cs="Times New Roman"/>
      <w:sz w:val="24"/>
      <w:szCs w:val="24"/>
    </w:rPr>
  </w:style>
  <w:style w:type="paragraph" w:customStyle="1" w:styleId="419">
    <w:name w:val="标题b"/>
    <w:basedOn w:val="3"/>
    <w:qFormat/>
    <w:uiPriority w:val="0"/>
    <w:pPr>
      <w:spacing w:before="0" w:after="0" w:line="360" w:lineRule="auto"/>
    </w:pPr>
    <w:rPr>
      <w:rFonts w:ascii="Times New Roman" w:hAnsi="Times New Roman" w:eastAsia="宋体" w:cs="宋体"/>
      <w:sz w:val="28"/>
      <w:szCs w:val="20"/>
    </w:rPr>
  </w:style>
  <w:style w:type="paragraph" w:customStyle="1" w:styleId="420">
    <w:name w:val="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421">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422">
    <w:name w:val="Char Char Char1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423">
    <w:name w:val="表格头"/>
    <w:basedOn w:val="1"/>
    <w:qFormat/>
    <w:uiPriority w:val="0"/>
    <w:pPr>
      <w:jc w:val="center"/>
    </w:pPr>
    <w:rPr>
      <w:rFonts w:ascii="Times New Roman" w:hAnsi="Times New Roman" w:eastAsia="宋体" w:cs="Times New Roman"/>
      <w:sz w:val="24"/>
      <w:szCs w:val="24"/>
    </w:rPr>
  </w:style>
  <w:style w:type="paragraph" w:customStyle="1" w:styleId="424">
    <w:name w:val="样式 小四 首行缩进:  24 磅 行距: 多倍行距 1.25 字行"/>
    <w:basedOn w:val="1"/>
    <w:qFormat/>
    <w:uiPriority w:val="0"/>
    <w:pPr>
      <w:adjustRightInd w:val="0"/>
      <w:spacing w:line="440" w:lineRule="exact"/>
      <w:ind w:firstLine="480"/>
      <w:textAlignment w:val="baseline"/>
    </w:pPr>
    <w:rPr>
      <w:rFonts w:ascii="Times New Roman" w:hAnsi="Times New Roman" w:eastAsia="宋体" w:cs="Times New Roman"/>
      <w:kern w:val="0"/>
      <w:sz w:val="24"/>
      <w:szCs w:val="20"/>
    </w:rPr>
  </w:style>
  <w:style w:type="paragraph" w:customStyle="1" w:styleId="425">
    <w:name w:val="样式 正文1 + 段前: 0.1 行"/>
    <w:basedOn w:val="1"/>
    <w:qFormat/>
    <w:uiPriority w:val="0"/>
    <w:pPr>
      <w:snapToGrid w:val="0"/>
      <w:spacing w:beforeLines="10" w:line="440" w:lineRule="atLeast"/>
      <w:ind w:firstLine="567"/>
    </w:pPr>
    <w:rPr>
      <w:rFonts w:ascii="Times New Roman" w:hAnsi="Times New Roman" w:eastAsia="宋体" w:cs="宋体"/>
      <w:sz w:val="24"/>
      <w:szCs w:val="20"/>
    </w:rPr>
  </w:style>
  <w:style w:type="paragraph" w:customStyle="1" w:styleId="426">
    <w:name w:val="默认段落字体 Para Char"/>
    <w:basedOn w:val="1"/>
    <w:next w:val="1"/>
    <w:qFormat/>
    <w:uiPriority w:val="0"/>
    <w:pPr>
      <w:spacing w:line="360" w:lineRule="auto"/>
      <w:ind w:left="150" w:leftChars="150" w:firstLine="200" w:firstLineChars="200"/>
    </w:pPr>
    <w:rPr>
      <w:rFonts w:ascii="宋体" w:hAnsi="宋体" w:eastAsia="宋体" w:cs="宋体"/>
      <w:sz w:val="24"/>
      <w:szCs w:val="24"/>
    </w:rPr>
  </w:style>
  <w:style w:type="paragraph" w:customStyle="1" w:styleId="427">
    <w:name w:val="Char Char Char1 Char Char Char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428">
    <w:name w:val="正文文本 31"/>
    <w:basedOn w:val="1"/>
    <w:semiHidden/>
    <w:qFormat/>
    <w:uiPriority w:val="0"/>
    <w:pPr>
      <w:adjustRightInd w:val="0"/>
      <w:spacing w:line="360" w:lineRule="atLeast"/>
      <w:jc w:val="center"/>
      <w:textAlignment w:val="baseline"/>
    </w:pPr>
    <w:rPr>
      <w:rFonts w:ascii="仿宋体" w:hAnsi="Times New Roman" w:eastAsia="仿宋体" w:cs="Times New Roman"/>
      <w:kern w:val="0"/>
      <w:sz w:val="24"/>
      <w:szCs w:val="20"/>
    </w:rPr>
  </w:style>
  <w:style w:type="paragraph" w:customStyle="1" w:styleId="429">
    <w:name w:val="Char Char5 Char Char"/>
    <w:basedOn w:val="31"/>
    <w:next w:val="1"/>
    <w:qFormat/>
    <w:uiPriority w:val="0"/>
    <w:pPr>
      <w:spacing w:before="60" w:after="0" w:line="460" w:lineRule="exact"/>
      <w:ind w:left="0" w:leftChars="0" w:firstLine="480" w:firstLineChars="200"/>
    </w:pPr>
    <w:rPr>
      <w:bCs/>
      <w:sz w:val="24"/>
    </w:rPr>
  </w:style>
  <w:style w:type="paragraph" w:customStyle="1" w:styleId="430">
    <w:name w:val="编号正文"/>
    <w:basedOn w:val="1"/>
    <w:qFormat/>
    <w:uiPriority w:val="0"/>
    <w:pPr>
      <w:tabs>
        <w:tab w:val="left" w:pos="1200"/>
      </w:tabs>
      <w:ind w:left="1200" w:hanging="720"/>
    </w:pPr>
    <w:rPr>
      <w:rFonts w:ascii="Times New Roman" w:hAnsi="Times New Roman" w:eastAsia="仿宋_GB2312" w:cs="Times New Roman"/>
      <w:sz w:val="28"/>
      <w:szCs w:val="20"/>
    </w:rPr>
  </w:style>
  <w:style w:type="paragraph" w:customStyle="1" w:styleId="431">
    <w:name w:val="表格下方文字"/>
    <w:basedOn w:val="1"/>
    <w:qFormat/>
    <w:uiPriority w:val="0"/>
    <w:pPr>
      <w:adjustRightInd w:val="0"/>
      <w:snapToGrid w:val="0"/>
      <w:spacing w:before="400" w:line="460" w:lineRule="exact"/>
      <w:ind w:firstLine="200" w:firstLineChars="200"/>
    </w:pPr>
    <w:rPr>
      <w:rFonts w:ascii="Times New Roman" w:hAnsi="Times New Roman" w:eastAsia="宋体" w:cs="Times New Roman"/>
      <w:sz w:val="24"/>
      <w:szCs w:val="24"/>
    </w:rPr>
  </w:style>
  <w:style w:type="paragraph" w:customStyle="1" w:styleId="432">
    <w:name w:val="Char Char Char Char Char Char Char"/>
    <w:basedOn w:val="1"/>
    <w:qFormat/>
    <w:uiPriority w:val="0"/>
    <w:rPr>
      <w:rFonts w:ascii="Times New Roman" w:hAnsi="Times New Roman" w:eastAsia="宋体" w:cs="Times New Roman"/>
      <w:szCs w:val="24"/>
    </w:rPr>
  </w:style>
  <w:style w:type="paragraph" w:customStyle="1" w:styleId="433">
    <w:name w:val="aaa"/>
    <w:basedOn w:val="1"/>
    <w:qFormat/>
    <w:uiPriority w:val="0"/>
    <w:pPr>
      <w:spacing w:line="360" w:lineRule="auto"/>
      <w:ind w:firstLine="200" w:firstLineChars="200"/>
    </w:pPr>
    <w:rPr>
      <w:rFonts w:ascii="Times New Roman" w:hAnsi="Times New Roman" w:eastAsia="宋体" w:cs="Times New Roman"/>
      <w:b/>
      <w:sz w:val="24"/>
      <w:szCs w:val="24"/>
    </w:rPr>
  </w:style>
  <w:style w:type="paragraph" w:customStyle="1" w:styleId="434">
    <w:name w:val="zhang正文"/>
    <w:basedOn w:val="21"/>
    <w:qFormat/>
    <w:uiPriority w:val="0"/>
    <w:pPr>
      <w:spacing w:before="60" w:after="0" w:line="460" w:lineRule="exact"/>
      <w:ind w:left="0" w:leftChars="0" w:firstLine="480" w:firstLineChars="200"/>
    </w:pPr>
    <w:rPr>
      <w:rFonts w:ascii="Times New Roman"/>
      <w:szCs w:val="24"/>
    </w:rPr>
  </w:style>
  <w:style w:type="paragraph" w:customStyle="1" w:styleId="435">
    <w:name w:val="表格内文字"/>
    <w:basedOn w:val="20"/>
    <w:qFormat/>
    <w:uiPriority w:val="0"/>
    <w:pPr>
      <w:spacing w:after="0" w:line="320" w:lineRule="exact"/>
      <w:jc w:val="center"/>
    </w:pPr>
    <w:rPr>
      <w:spacing w:val="10"/>
      <w:sz w:val="24"/>
    </w:rPr>
  </w:style>
  <w:style w:type="paragraph" w:customStyle="1" w:styleId="436">
    <w:name w:val="样式 标题 + 黑体 小三 两端对齐 左侧:  0 厘米 首行缩进:  0 厘米 段前: 0 磅 段后: 0 磅 ...2"/>
    <w:basedOn w:val="48"/>
    <w:qFormat/>
    <w:uiPriority w:val="0"/>
    <w:pPr>
      <w:pageBreakBefore/>
      <w:tabs>
        <w:tab w:val="left" w:pos="432"/>
      </w:tabs>
      <w:spacing w:before="100" w:beforeAutospacing="1" w:after="150" w:afterLines="150" w:line="360" w:lineRule="auto"/>
      <w:ind w:left="432" w:hanging="432"/>
      <w:jc w:val="both"/>
    </w:pPr>
    <w:rPr>
      <w:rFonts w:ascii="黑体" w:hAnsi="Arial" w:eastAsia="黑体"/>
      <w:bCs/>
      <w:sz w:val="36"/>
    </w:rPr>
  </w:style>
  <w:style w:type="paragraph" w:customStyle="1" w:styleId="437">
    <w:name w:val="cssh"/>
    <w:basedOn w:val="1"/>
    <w:qFormat/>
    <w:uiPriority w:val="0"/>
    <w:pPr>
      <w:widowControl/>
      <w:spacing w:before="100" w:beforeAutospacing="1" w:after="100" w:afterAutospacing="1" w:line="300" w:lineRule="atLeast"/>
      <w:jc w:val="left"/>
    </w:pPr>
    <w:rPr>
      <w:rFonts w:ascii="Times New Roman" w:hAnsi="Times New Roman" w:eastAsia="宋体" w:cs="Times New Roman"/>
      <w:color w:val="8D0B0B"/>
      <w:kern w:val="0"/>
      <w:sz w:val="18"/>
      <w:szCs w:val="18"/>
    </w:rPr>
  </w:style>
  <w:style w:type="paragraph" w:customStyle="1" w:styleId="438">
    <w:name w:val="表格小五号正文"/>
    <w:basedOn w:val="98"/>
    <w:qFormat/>
    <w:uiPriority w:val="0"/>
    <w:pPr>
      <w:spacing w:line="320" w:lineRule="exact"/>
    </w:pPr>
    <w:rPr>
      <w:snapToGrid w:val="0"/>
      <w:kern w:val="0"/>
      <w:sz w:val="18"/>
      <w:szCs w:val="24"/>
    </w:rPr>
  </w:style>
  <w:style w:type="paragraph" w:customStyle="1" w:styleId="439">
    <w:name w:val="正文3"/>
    <w:basedOn w:val="1"/>
    <w:semiHidden/>
    <w:qFormat/>
    <w:uiPriority w:val="0"/>
    <w:pPr>
      <w:keepNext/>
      <w:adjustRightInd w:val="0"/>
      <w:jc w:val="center"/>
      <w:textAlignment w:val="baseline"/>
    </w:pPr>
    <w:rPr>
      <w:rFonts w:ascii="Times New Roman" w:hAnsi="Times New Roman" w:eastAsia="宋体" w:cs="Times New Roman"/>
      <w:kern w:val="0"/>
      <w:sz w:val="28"/>
      <w:szCs w:val="20"/>
    </w:rPr>
  </w:style>
  <w:style w:type="paragraph" w:customStyle="1" w:styleId="440">
    <w:name w:val="Char Char Char Char Char Char Char Char Char Char Char"/>
    <w:basedOn w:val="1"/>
    <w:qFormat/>
    <w:uiPriority w:val="0"/>
    <w:rPr>
      <w:rFonts w:ascii="Times New Roman" w:hAnsi="Times New Roman" w:eastAsia="宋体" w:cs="Times New Roman"/>
      <w:sz w:val="24"/>
      <w:szCs w:val="24"/>
    </w:rPr>
  </w:style>
  <w:style w:type="paragraph" w:customStyle="1" w:styleId="441">
    <w:name w:val="表格2"/>
    <w:basedOn w:val="1"/>
    <w:qFormat/>
    <w:uiPriority w:val="0"/>
    <w:pPr>
      <w:spacing w:line="400" w:lineRule="exact"/>
      <w:jc w:val="center"/>
    </w:pPr>
    <w:rPr>
      <w:rFonts w:ascii="Times New Roman" w:hAnsi="Times New Roman" w:eastAsia="宋体" w:cs="Times New Roman"/>
      <w:szCs w:val="21"/>
    </w:rPr>
  </w:style>
  <w:style w:type="paragraph" w:customStyle="1" w:styleId="442">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43">
    <w:name w:val="样式3"/>
    <w:basedOn w:val="1"/>
    <w:qFormat/>
    <w:uiPriority w:val="0"/>
    <w:pPr>
      <w:spacing w:before="300" w:line="460" w:lineRule="exact"/>
      <w:outlineLvl w:val="2"/>
    </w:pPr>
    <w:rPr>
      <w:rFonts w:ascii="Arial" w:hAnsi="Arial" w:eastAsia="宋体" w:cs="Times New Roman"/>
      <w:b/>
      <w:sz w:val="24"/>
      <w:szCs w:val="24"/>
    </w:rPr>
  </w:style>
  <w:style w:type="paragraph" w:customStyle="1" w:styleId="444">
    <w:name w:val="样式 3级标题 + 非加粗 段前: 3 磅"/>
    <w:basedOn w:val="217"/>
    <w:qFormat/>
    <w:uiPriority w:val="0"/>
    <w:pPr>
      <w:adjustRightInd w:val="0"/>
      <w:snapToGrid w:val="0"/>
      <w:spacing w:before="60"/>
      <w:ind w:firstLine="200" w:firstLineChars="200"/>
      <w:outlineLvl w:val="9"/>
    </w:pPr>
    <w:rPr>
      <w:rFonts w:cs="宋体"/>
      <w:b w:val="0"/>
      <w:szCs w:val="20"/>
    </w:rPr>
  </w:style>
  <w:style w:type="paragraph" w:customStyle="1" w:styleId="445">
    <w:name w:val="样式10"/>
    <w:basedOn w:val="1"/>
    <w:qFormat/>
    <w:uiPriority w:val="0"/>
    <w:pPr>
      <w:keepNext/>
      <w:keepLines/>
      <w:tabs>
        <w:tab w:val="left" w:pos="2940"/>
      </w:tabs>
      <w:spacing w:before="120"/>
      <w:ind w:left="2940" w:hanging="420"/>
      <w:jc w:val="center"/>
      <w:outlineLvl w:val="3"/>
    </w:pPr>
    <w:rPr>
      <w:rFonts w:ascii="Arial" w:hAnsi="Arial" w:eastAsia="仿宋_GB2312" w:cs="Times New Roman"/>
      <w:b/>
      <w:kern w:val="0"/>
      <w:sz w:val="24"/>
      <w:szCs w:val="20"/>
    </w:rPr>
  </w:style>
  <w:style w:type="paragraph" w:customStyle="1" w:styleId="446">
    <w:name w:val="标题a"/>
    <w:basedOn w:val="2"/>
    <w:qFormat/>
    <w:uiPriority w:val="0"/>
    <w:pPr>
      <w:spacing w:before="0" w:after="0" w:line="360" w:lineRule="auto"/>
    </w:pPr>
    <w:rPr>
      <w:rFonts w:cs="宋体"/>
      <w:sz w:val="32"/>
      <w:szCs w:val="20"/>
    </w:rPr>
  </w:style>
  <w:style w:type="paragraph" w:customStyle="1" w:styleId="447">
    <w:name w:val="样式 标题 2 + 小三 非加粗 段前: 0 磅 段后: 0 磅 行距: 1.5 倍行距"/>
    <w:basedOn w:val="3"/>
    <w:qFormat/>
    <w:uiPriority w:val="0"/>
  </w:style>
  <w:style w:type="paragraph" w:customStyle="1" w:styleId="448">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z w:val="24"/>
      <w:szCs w:val="24"/>
    </w:rPr>
  </w:style>
  <w:style w:type="paragraph" w:customStyle="1" w:styleId="449">
    <w:name w:val="f&lt;4&gt;23.5"/>
    <w:qFormat/>
    <w:uiPriority w:val="0"/>
    <w:pPr>
      <w:widowControl w:val="0"/>
      <w:adjustRightInd w:val="0"/>
      <w:spacing w:line="470" w:lineRule="atLeast"/>
      <w:textAlignment w:val="baseline"/>
    </w:pPr>
    <w:rPr>
      <w:rFonts w:ascii="仿宋体" w:hAnsi="Times New Roman" w:eastAsia="仿宋体" w:cs="Times New Roman"/>
      <w:kern w:val="24"/>
      <w:sz w:val="24"/>
      <w:szCs w:val="20"/>
      <w:lang w:val="en-US" w:eastAsia="zh-CN" w:bidi="ar-SA"/>
    </w:rPr>
  </w:style>
  <w:style w:type="paragraph" w:customStyle="1" w:styleId="450">
    <w:name w:val="xl35"/>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451">
    <w:name w:val="注解"/>
    <w:basedOn w:val="6"/>
    <w:qFormat/>
    <w:uiPriority w:val="0"/>
    <w:pPr>
      <w:spacing w:before="60" w:line="360" w:lineRule="exact"/>
      <w:ind w:firstLine="200"/>
    </w:pPr>
    <w:rPr>
      <w:rFonts w:ascii="Times New Roman" w:hAnsi="Times New Roman" w:eastAsia="宋体" w:cs="Times New Roman"/>
      <w:bCs/>
      <w:szCs w:val="28"/>
    </w:rPr>
  </w:style>
  <w:style w:type="paragraph" w:customStyle="1" w:styleId="452">
    <w:name w:val="正文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3">
    <w:name w:val="一级标题-1"/>
    <w:basedOn w:val="454"/>
    <w:qFormat/>
    <w:uiPriority w:val="0"/>
    <w:pPr>
      <w:outlineLvl w:val="0"/>
    </w:pPr>
    <w:rPr>
      <w:bCs w:val="0"/>
      <w:snapToGrid w:val="0"/>
      <w:color w:val="000000"/>
      <w:kern w:val="0"/>
      <w:sz w:val="32"/>
    </w:rPr>
  </w:style>
  <w:style w:type="paragraph" w:customStyle="1" w:styleId="454">
    <w:name w:val="二级标题"/>
    <w:basedOn w:val="1"/>
    <w:qFormat/>
    <w:uiPriority w:val="0"/>
    <w:pPr>
      <w:spacing w:before="60" w:line="460" w:lineRule="exact"/>
      <w:outlineLvl w:val="1"/>
    </w:pPr>
    <w:rPr>
      <w:rFonts w:ascii="Times New Roman" w:hAnsi="Times New Roman" w:eastAsia="宋体" w:cs="Times New Roman"/>
      <w:b/>
      <w:bCs/>
      <w:sz w:val="28"/>
      <w:szCs w:val="24"/>
    </w:rPr>
  </w:style>
  <w:style w:type="paragraph" w:customStyle="1" w:styleId="455">
    <w:name w:val="三级"/>
    <w:basedOn w:val="31"/>
    <w:next w:val="1"/>
    <w:qFormat/>
    <w:uiPriority w:val="0"/>
    <w:pPr>
      <w:spacing w:before="60" w:after="0" w:line="460" w:lineRule="exact"/>
      <w:ind w:left="0" w:leftChars="0" w:firstLine="480" w:firstLineChars="200"/>
    </w:pPr>
    <w:rPr>
      <w:bCs/>
      <w:sz w:val="24"/>
    </w:rPr>
  </w:style>
  <w:style w:type="paragraph" w:customStyle="1" w:styleId="456">
    <w:name w:val="font12"/>
    <w:basedOn w:val="1"/>
    <w:qFormat/>
    <w:uiPriority w:val="0"/>
    <w:pPr>
      <w:widowControl/>
      <w:spacing w:before="100" w:beforeAutospacing="1" w:after="100" w:afterAutospacing="1"/>
      <w:jc w:val="left"/>
    </w:pPr>
    <w:rPr>
      <w:rFonts w:ascii="Times New Roman" w:hAnsi="Times New Roman" w:eastAsia="Arial Unicode MS" w:cs="Times New Roman"/>
      <w:kern w:val="0"/>
      <w:sz w:val="16"/>
      <w:szCs w:val="16"/>
    </w:rPr>
  </w:style>
  <w:style w:type="paragraph" w:customStyle="1" w:styleId="457">
    <w:name w:val="Char Char Char Char Char Char Char3"/>
    <w:basedOn w:val="1"/>
    <w:qFormat/>
    <w:uiPriority w:val="0"/>
    <w:rPr>
      <w:rFonts w:ascii="Times New Roman" w:hAnsi="Times New Roman" w:eastAsia="宋体" w:cs="Times New Roman"/>
      <w:szCs w:val="24"/>
    </w:rPr>
  </w:style>
  <w:style w:type="paragraph" w:customStyle="1" w:styleId="458">
    <w:name w:val="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59">
    <w:name w:val="样式 四号 首行缩进:  2 字符"/>
    <w:basedOn w:val="1"/>
    <w:qFormat/>
    <w:uiPriority w:val="0"/>
    <w:pPr>
      <w:spacing w:line="480" w:lineRule="atLeast"/>
      <w:ind w:firstLine="200" w:firstLineChars="200"/>
    </w:pPr>
    <w:rPr>
      <w:rFonts w:ascii="Times New Roman" w:hAnsi="Times New Roman" w:eastAsia="宋体" w:cs="Times New Roman"/>
      <w:sz w:val="24"/>
      <w:szCs w:val="20"/>
    </w:rPr>
  </w:style>
  <w:style w:type="paragraph" w:customStyle="1" w:styleId="460">
    <w:name w:val="Char Char Char2 Char Char Char Char Char Char Char Char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461">
    <w:name w:val="五号表格"/>
    <w:basedOn w:val="1"/>
    <w:qFormat/>
    <w:uiPriority w:val="0"/>
    <w:pPr>
      <w:jc w:val="center"/>
    </w:pPr>
    <w:rPr>
      <w:rFonts w:ascii="Times New Roman" w:hAnsi="Times New Roman" w:eastAsia="宋体" w:cs="Times New Roman"/>
      <w:kern w:val="0"/>
      <w:szCs w:val="20"/>
    </w:rPr>
  </w:style>
  <w:style w:type="paragraph" w:customStyle="1" w:styleId="462">
    <w:name w:val="样式 标题 1 + 段前: 2 行"/>
    <w:basedOn w:val="2"/>
    <w:qFormat/>
    <w:uiPriority w:val="0"/>
    <w:pPr>
      <w:widowControl/>
      <w:spacing w:before="0" w:after="0" w:line="312" w:lineRule="auto"/>
      <w:ind w:left="0" w:firstLine="0"/>
      <w:jc w:val="center"/>
    </w:pPr>
    <w:rPr>
      <w:rFonts w:ascii="黑体" w:eastAsia="黑体"/>
      <w:bCs w:val="0"/>
      <w:spacing w:val="10"/>
      <w:kern w:val="0"/>
      <w:sz w:val="32"/>
      <w:szCs w:val="20"/>
    </w:rPr>
  </w:style>
  <w:style w:type="paragraph" w:customStyle="1" w:styleId="463">
    <w:name w:val="title2"/>
    <w:basedOn w:val="1"/>
    <w:qFormat/>
    <w:uiPriority w:val="0"/>
    <w:pPr>
      <w:widowControl/>
      <w:spacing w:before="100" w:beforeAutospacing="1" w:after="100" w:afterAutospacing="1" w:line="312" w:lineRule="auto"/>
      <w:jc w:val="left"/>
    </w:pPr>
    <w:rPr>
      <w:rFonts w:ascii="Times New Roman" w:hAnsi="Times New Roman" w:eastAsia="宋体" w:cs="Times New Roman"/>
      <w:kern w:val="0"/>
      <w:szCs w:val="21"/>
    </w:rPr>
  </w:style>
  <w:style w:type="paragraph" w:customStyle="1" w:styleId="464">
    <w:name w:val="reader-word-layer reader-word-s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65">
    <w:name w:val="正文样式1"/>
    <w:basedOn w:val="1"/>
    <w:qFormat/>
    <w:uiPriority w:val="0"/>
    <w:pPr>
      <w:spacing w:before="60" w:line="460" w:lineRule="exact"/>
      <w:ind w:firstLine="480" w:firstLineChars="200"/>
    </w:pPr>
    <w:rPr>
      <w:rFonts w:ascii="Times New Roman" w:hAnsi="Times New Roman" w:eastAsia="宋体" w:cs="Times New Roman"/>
      <w:kern w:val="0"/>
      <w:sz w:val="24"/>
      <w:szCs w:val="24"/>
    </w:rPr>
  </w:style>
  <w:style w:type="paragraph" w:customStyle="1" w:styleId="466">
    <w:name w:val="样式 正文001 + 首行缩进:  2 字符 Char Char"/>
    <w:basedOn w:val="1"/>
    <w:qFormat/>
    <w:uiPriority w:val="0"/>
    <w:pPr>
      <w:spacing w:line="500" w:lineRule="atLeast"/>
      <w:ind w:firstLine="480" w:firstLineChars="200"/>
    </w:pPr>
    <w:rPr>
      <w:rFonts w:ascii="Times New Roman" w:hAnsi="Times New Roman" w:eastAsia="宋体" w:cs="宋体"/>
      <w:sz w:val="24"/>
      <w:szCs w:val="24"/>
    </w:rPr>
  </w:style>
  <w:style w:type="paragraph" w:customStyle="1" w:styleId="467">
    <w:name w:val="样式 3级标题 + 段前: 3 磅"/>
    <w:basedOn w:val="217"/>
    <w:qFormat/>
    <w:uiPriority w:val="0"/>
    <w:pPr>
      <w:spacing w:before="60"/>
    </w:pPr>
    <w:rPr>
      <w:rFonts w:cs="宋体"/>
      <w:bCs/>
      <w:szCs w:val="20"/>
    </w:rPr>
  </w:style>
  <w:style w:type="paragraph" w:customStyle="1" w:styleId="468">
    <w:name w:val="表文"/>
    <w:basedOn w:val="20"/>
    <w:next w:val="6"/>
    <w:qFormat/>
    <w:uiPriority w:val="0"/>
    <w:pPr>
      <w:jc w:val="center"/>
    </w:pPr>
    <w:rPr>
      <w:szCs w:val="24"/>
    </w:rPr>
  </w:style>
  <w:style w:type="paragraph" w:customStyle="1" w:styleId="469">
    <w:name w:val="表格式"/>
    <w:basedOn w:val="15"/>
    <w:semiHidden/>
    <w:qFormat/>
    <w:uiPriority w:val="0"/>
    <w:pPr>
      <w:adjustRightInd/>
      <w:spacing w:before="156" w:beforeLines="50" w:after="156" w:afterLines="50" w:line="240" w:lineRule="exact"/>
      <w:ind w:left="0" w:firstLine="0"/>
      <w:jc w:val="center"/>
      <w:textAlignment w:val="auto"/>
    </w:pPr>
    <w:rPr>
      <w:rFonts w:ascii="宋体"/>
      <w:sz w:val="21"/>
      <w:szCs w:val="20"/>
    </w:rPr>
  </w:style>
  <w:style w:type="paragraph" w:customStyle="1" w:styleId="470">
    <w:name w:val="表格下文正文"/>
    <w:basedOn w:val="1"/>
    <w:qFormat/>
    <w:uiPriority w:val="0"/>
    <w:pPr>
      <w:spacing w:before="300" w:line="420" w:lineRule="exact"/>
      <w:ind w:firstLine="200" w:firstLineChars="200"/>
    </w:pPr>
    <w:rPr>
      <w:rFonts w:ascii="Times New Roman" w:hAnsi="Times New Roman" w:eastAsia="宋体" w:cs="Times New Roman"/>
      <w:bCs/>
      <w:color w:val="000000"/>
      <w:sz w:val="24"/>
      <w:szCs w:val="20"/>
    </w:rPr>
  </w:style>
  <w:style w:type="paragraph" w:customStyle="1" w:styleId="471">
    <w:name w:val="my1"/>
    <w:basedOn w:val="220"/>
    <w:qFormat/>
    <w:uiPriority w:val="0"/>
  </w:style>
  <w:style w:type="paragraph" w:customStyle="1" w:styleId="472">
    <w:name w:val="Char Char Char Char Char Char Char Char Char"/>
    <w:basedOn w:val="1"/>
    <w:qFormat/>
    <w:uiPriority w:val="0"/>
    <w:pPr>
      <w:spacing w:line="360" w:lineRule="auto"/>
      <w:ind w:firstLine="200" w:firstLineChars="200"/>
    </w:pPr>
    <w:rPr>
      <w:rFonts w:ascii="宋体" w:hAnsi="宋体" w:eastAsia="宋体" w:cs="Times New Roman"/>
      <w:sz w:val="24"/>
      <w:szCs w:val="20"/>
    </w:rPr>
  </w:style>
  <w:style w:type="paragraph" w:customStyle="1" w:styleId="473">
    <w:name w:val="注释"/>
    <w:basedOn w:val="92"/>
    <w:link w:val="474"/>
    <w:qFormat/>
    <w:uiPriority w:val="0"/>
    <w:pPr>
      <w:spacing w:before="0" w:line="360" w:lineRule="exact"/>
    </w:pPr>
    <w:rPr>
      <w:rFonts w:ascii="Times New Roman" w:hAnsi="Times New Roman" w:cs="Times New Roman"/>
      <w:sz w:val="21"/>
    </w:rPr>
  </w:style>
  <w:style w:type="character" w:customStyle="1" w:styleId="474">
    <w:name w:val="注释 Char"/>
    <w:link w:val="473"/>
    <w:qFormat/>
    <w:uiPriority w:val="0"/>
    <w:rPr>
      <w:rFonts w:ascii="Times New Roman" w:hAnsi="Times New Roman" w:eastAsia="宋体" w:cs="Times New Roman"/>
      <w:szCs w:val="24"/>
    </w:rPr>
  </w:style>
  <w:style w:type="paragraph" w:customStyle="1" w:styleId="475">
    <w:name w:val="样式5"/>
    <w:basedOn w:val="1"/>
    <w:qFormat/>
    <w:uiPriority w:val="0"/>
    <w:pPr>
      <w:spacing w:line="500" w:lineRule="exact"/>
      <w:ind w:firstLine="480" w:firstLineChars="200"/>
    </w:pPr>
    <w:rPr>
      <w:rFonts w:ascii="宋体" w:hAnsi="宋体" w:eastAsia="宋体" w:cs="Times New Roman"/>
      <w:color w:val="000000"/>
      <w:sz w:val="24"/>
      <w:szCs w:val="24"/>
    </w:rPr>
  </w:style>
  <w:style w:type="paragraph" w:customStyle="1" w:styleId="476">
    <w:name w:val="font8"/>
    <w:basedOn w:val="1"/>
    <w:qFormat/>
    <w:uiPriority w:val="0"/>
    <w:pPr>
      <w:widowControl/>
      <w:spacing w:before="100" w:beforeAutospacing="1" w:after="100" w:afterAutospacing="1"/>
      <w:jc w:val="left"/>
    </w:pPr>
    <w:rPr>
      <w:rFonts w:hint="eastAsia" w:ascii="宋体" w:hAnsi="宋体" w:eastAsia="宋体" w:cs="Arial Unicode MS"/>
      <w:kern w:val="0"/>
      <w:sz w:val="20"/>
      <w:szCs w:val="20"/>
    </w:rPr>
  </w:style>
  <w:style w:type="paragraph" w:customStyle="1" w:styleId="477">
    <w:name w:val="Char Char Char Char Char Char Char Char Char Char Char Char Char Char Char Char Char Char Char Char Char Char Char Char Char"/>
    <w:basedOn w:val="1"/>
    <w:next w:val="1"/>
    <w:qFormat/>
    <w:uiPriority w:val="0"/>
    <w:rPr>
      <w:rFonts w:ascii="Times New Roman" w:hAnsi="Times New Roman" w:eastAsia="宋体" w:cs="Times New Roman"/>
      <w:szCs w:val="24"/>
    </w:rPr>
  </w:style>
  <w:style w:type="paragraph" w:customStyle="1" w:styleId="478">
    <w:name w:val="Char Char Char Char Char Char Char Char Char Char Char Char Char1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79">
    <w:name w:val="样式 样式 首行缩进:  2 字符1 + 首行缩进:  2 字符"/>
    <w:basedOn w:val="1"/>
    <w:qFormat/>
    <w:uiPriority w:val="0"/>
    <w:pPr>
      <w:widowControl/>
      <w:spacing w:line="360" w:lineRule="auto"/>
      <w:ind w:firstLine="200" w:firstLineChars="200"/>
      <w:jc w:val="left"/>
    </w:pPr>
    <w:rPr>
      <w:rFonts w:ascii="Times New Roman" w:hAnsi="Times New Roman" w:eastAsia="宋体" w:cs="宋体"/>
      <w:kern w:val="0"/>
      <w:sz w:val="24"/>
      <w:szCs w:val="20"/>
    </w:rPr>
  </w:style>
  <w:style w:type="paragraph" w:customStyle="1" w:styleId="480">
    <w:name w:val="标题B"/>
    <w:basedOn w:val="1"/>
    <w:qFormat/>
    <w:uiPriority w:val="0"/>
    <w:pPr>
      <w:spacing w:line="360" w:lineRule="auto"/>
      <w:outlineLvl w:val="1"/>
    </w:pPr>
    <w:rPr>
      <w:rFonts w:ascii="Times New Roman" w:hAnsi="Times New Roman" w:eastAsia="宋体" w:cs="宋体"/>
      <w:b/>
      <w:bCs/>
      <w:sz w:val="28"/>
      <w:szCs w:val="20"/>
    </w:rPr>
  </w:style>
  <w:style w:type="paragraph" w:customStyle="1" w:styleId="481">
    <w:name w:val="Char Char Char2"/>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482">
    <w:name w:val="正文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3">
    <w:name w:val="Report Text"/>
    <w:basedOn w:val="1"/>
    <w:semiHidden/>
    <w:qFormat/>
    <w:uiPriority w:val="0"/>
    <w:pPr>
      <w:widowControl/>
      <w:tabs>
        <w:tab w:val="left" w:pos="1134"/>
      </w:tabs>
      <w:spacing w:before="138" w:line="360" w:lineRule="auto"/>
      <w:ind w:left="1134" w:firstLine="200" w:firstLineChars="200"/>
      <w:jc w:val="left"/>
    </w:pPr>
    <w:rPr>
      <w:rFonts w:ascii="Times New Roman" w:hAnsi="Times New Roman" w:eastAsia="PMingLiU" w:cs="Times New Roman"/>
      <w:kern w:val="0"/>
      <w:sz w:val="22"/>
      <w:szCs w:val="20"/>
      <w:lang w:val="en-GB" w:eastAsia="zh-TW"/>
    </w:rPr>
  </w:style>
  <w:style w:type="paragraph" w:customStyle="1" w:styleId="484">
    <w:name w:val="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85">
    <w:name w:val="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6">
    <w:name w:val="T表格"/>
    <w:basedOn w:val="1"/>
    <w:next w:val="1"/>
    <w:qFormat/>
    <w:uiPriority w:val="0"/>
    <w:pPr>
      <w:autoSpaceDE w:val="0"/>
      <w:autoSpaceDN w:val="0"/>
      <w:adjustRightInd w:val="0"/>
      <w:jc w:val="left"/>
    </w:pPr>
    <w:rPr>
      <w:rFonts w:ascii="宋体" w:hAnsi="Times New Roman" w:eastAsia="宋体" w:cs="Times New Roman"/>
      <w:kern w:val="0"/>
      <w:sz w:val="24"/>
      <w:szCs w:val="24"/>
    </w:rPr>
  </w:style>
  <w:style w:type="paragraph" w:customStyle="1" w:styleId="487">
    <w:name w:val="标题4 Char Char Char Char"/>
    <w:basedOn w:val="1"/>
    <w:next w:val="26"/>
    <w:qFormat/>
    <w:uiPriority w:val="0"/>
    <w:rPr>
      <w:rFonts w:ascii="宋体" w:hAnsi="Courier New" w:eastAsia="宋体" w:cs="Courier New"/>
      <w:szCs w:val="21"/>
    </w:rPr>
  </w:style>
  <w:style w:type="paragraph" w:customStyle="1" w:styleId="488">
    <w:name w:val="Char Char Char Char Char Char Char Char Char Char Char Char Char1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89">
    <w:name w:val="环评正文格式"/>
    <w:basedOn w:val="1"/>
    <w:qFormat/>
    <w:uiPriority w:val="0"/>
    <w:pPr>
      <w:spacing w:before="60" w:line="460" w:lineRule="exact"/>
      <w:ind w:firstLine="200" w:firstLineChars="200"/>
    </w:pPr>
    <w:rPr>
      <w:rFonts w:ascii="Times New Roman" w:hAnsi="Times New Roman" w:eastAsia="宋体" w:cs="Times New Roman"/>
      <w:snapToGrid w:val="0"/>
      <w:sz w:val="24"/>
      <w:szCs w:val="24"/>
      <w:shd w:val="clear" w:color="auto" w:fill="FFFFFF"/>
    </w:rPr>
  </w:style>
  <w:style w:type="paragraph" w:customStyle="1" w:styleId="490">
    <w:name w:val="7"/>
    <w:basedOn w:val="1"/>
    <w:next w:val="21"/>
    <w:qFormat/>
    <w:uiPriority w:val="0"/>
    <w:pPr>
      <w:spacing w:before="60" w:line="460" w:lineRule="exact"/>
      <w:ind w:firstLine="480" w:firstLineChars="200"/>
    </w:pPr>
    <w:rPr>
      <w:rFonts w:ascii="Times New Roman" w:hAnsi="Times New Roman" w:eastAsia="宋体" w:cs="Times New Roman"/>
      <w:sz w:val="24"/>
      <w:szCs w:val="24"/>
    </w:rPr>
  </w:style>
  <w:style w:type="paragraph" w:customStyle="1" w:styleId="491">
    <w:name w:val="CM100"/>
    <w:basedOn w:val="492"/>
    <w:next w:val="492"/>
    <w:qFormat/>
    <w:uiPriority w:val="0"/>
    <w:pPr>
      <w:spacing w:after="73"/>
    </w:pPr>
    <w:rPr>
      <w:rFonts w:ascii="宋体" w:hAnsi="Times New Roman" w:cs="宋体"/>
      <w:color w:val="auto"/>
    </w:rPr>
  </w:style>
  <w:style w:type="paragraph" w:customStyle="1" w:styleId="492">
    <w:name w:val="Default"/>
    <w:qFormat/>
    <w:uiPriority w:val="0"/>
    <w:pPr>
      <w:widowControl w:val="0"/>
      <w:autoSpaceDE w:val="0"/>
      <w:autoSpaceDN w:val="0"/>
      <w:adjustRightInd w:val="0"/>
    </w:pPr>
    <w:rPr>
      <w:rFonts w:ascii="o¨²¨¬." w:hAnsi="o¨²¨¬." w:eastAsia="宋体" w:cs="o¨²¨¬."/>
      <w:color w:val="000000"/>
      <w:kern w:val="0"/>
      <w:sz w:val="24"/>
      <w:szCs w:val="24"/>
      <w:lang w:val="en-US" w:eastAsia="zh-CN" w:bidi="ar-SA"/>
    </w:rPr>
  </w:style>
  <w:style w:type="paragraph" w:customStyle="1" w:styleId="493">
    <w:name w:val="样式 (中文) 仿宋_GB2312 四号 首行缩进:  1.01 厘米 行距: 固定值 22 磅1"/>
    <w:basedOn w:val="1"/>
    <w:qFormat/>
    <w:uiPriority w:val="0"/>
    <w:pPr>
      <w:spacing w:line="440" w:lineRule="exact"/>
      <w:ind w:firstLine="573"/>
    </w:pPr>
    <w:rPr>
      <w:rFonts w:ascii="Times New Roman" w:hAnsi="Times New Roman" w:eastAsia="仿宋_GB2312" w:cs="Times New Roman"/>
      <w:sz w:val="24"/>
      <w:szCs w:val="20"/>
    </w:rPr>
  </w:style>
  <w:style w:type="paragraph" w:customStyle="1" w:styleId="494">
    <w:name w:val="Char Char Char Char Char Char Char Char Char Char Char Char Char1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495">
    <w:name w:val="Char Char Char2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496">
    <w:name w:val="表格字体"/>
    <w:basedOn w:val="1"/>
    <w:semiHidden/>
    <w:qFormat/>
    <w:uiPriority w:val="0"/>
    <w:pPr>
      <w:spacing w:line="360" w:lineRule="auto"/>
      <w:jc w:val="center"/>
    </w:pPr>
    <w:rPr>
      <w:rFonts w:ascii="楷体_GB2312" w:hAnsi="Times New Roman" w:eastAsia="楷体_GB2312" w:cs="宋体"/>
      <w:szCs w:val="20"/>
    </w:rPr>
  </w:style>
  <w:style w:type="paragraph" w:customStyle="1" w:styleId="497">
    <w:name w:val="font10"/>
    <w:basedOn w:val="1"/>
    <w:qFormat/>
    <w:uiPriority w:val="0"/>
    <w:pPr>
      <w:widowControl/>
      <w:spacing w:before="100" w:beforeAutospacing="1" w:after="100" w:afterAutospacing="1"/>
      <w:jc w:val="left"/>
    </w:pPr>
    <w:rPr>
      <w:rFonts w:ascii="Times New Roman" w:hAnsi="Times New Roman" w:eastAsia="Arial Unicode MS" w:cs="Times New Roman"/>
      <w:kern w:val="0"/>
      <w:sz w:val="18"/>
      <w:szCs w:val="18"/>
    </w:rPr>
  </w:style>
  <w:style w:type="paragraph" w:customStyle="1" w:styleId="498">
    <w:name w:val="正文1"/>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499">
    <w:name w:val="Char1 Char Char Char Char Char"/>
    <w:basedOn w:val="1"/>
    <w:qFormat/>
    <w:uiPriority w:val="0"/>
    <w:rPr>
      <w:rFonts w:ascii="Times New Roman" w:hAnsi="Times New Roman" w:eastAsia="宋体" w:cs="Times New Roman"/>
      <w:sz w:val="24"/>
      <w:szCs w:val="24"/>
    </w:rPr>
  </w:style>
  <w:style w:type="paragraph" w:customStyle="1" w:styleId="500">
    <w:name w:val="reader-word-layer reader-word-s4-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01">
    <w:name w:val="xl30"/>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502">
    <w:name w:val="CM27"/>
    <w:basedOn w:val="1"/>
    <w:next w:val="1"/>
    <w:qFormat/>
    <w:uiPriority w:val="0"/>
    <w:pPr>
      <w:autoSpaceDE w:val="0"/>
      <w:autoSpaceDN w:val="0"/>
      <w:adjustRightInd w:val="0"/>
      <w:spacing w:line="463" w:lineRule="atLeast"/>
      <w:jc w:val="left"/>
    </w:pPr>
    <w:rPr>
      <w:rFonts w:ascii="o¨²¨¬." w:hAnsi="o¨²¨¬." w:eastAsia="宋体" w:cs="Times New Roman"/>
      <w:kern w:val="0"/>
      <w:sz w:val="24"/>
      <w:szCs w:val="24"/>
    </w:rPr>
  </w:style>
  <w:style w:type="paragraph" w:customStyle="1" w:styleId="503">
    <w:name w:val="正文文本缩进 22"/>
    <w:basedOn w:val="1"/>
    <w:qFormat/>
    <w:uiPriority w:val="0"/>
    <w:pPr>
      <w:widowControl/>
      <w:spacing w:after="120" w:line="480" w:lineRule="auto"/>
      <w:ind w:left="200" w:leftChars="200"/>
      <w:jc w:val="left"/>
    </w:pPr>
    <w:rPr>
      <w:rFonts w:ascii="Times New Roman" w:hAnsi="Times New Roman" w:eastAsia="Times New Roman" w:cs="Times New Roman"/>
      <w:kern w:val="0"/>
      <w:sz w:val="20"/>
      <w:szCs w:val="24"/>
    </w:rPr>
  </w:style>
  <w:style w:type="paragraph" w:customStyle="1" w:styleId="504">
    <w:name w:val="Char Char Char2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505">
    <w:name w:val="正文文本 21"/>
    <w:basedOn w:val="1"/>
    <w:qFormat/>
    <w:uiPriority w:val="0"/>
    <w:pPr>
      <w:adjustRightInd w:val="0"/>
      <w:spacing w:line="540" w:lineRule="exact"/>
      <w:ind w:right="-334" w:firstLine="540"/>
      <w:jc w:val="left"/>
      <w:textAlignment w:val="baseline"/>
    </w:pPr>
    <w:rPr>
      <w:rFonts w:ascii="Times New Roman" w:hAnsi="Times New Roman" w:eastAsia="宋体" w:cs="Times New Roman"/>
      <w:color w:val="000000"/>
      <w:sz w:val="28"/>
      <w:szCs w:val="20"/>
    </w:rPr>
  </w:style>
  <w:style w:type="paragraph" w:customStyle="1" w:styleId="506">
    <w:name w:val="Char Char Char2 Char Char Char Char Char Char Char Char Char Char Char Char Char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507">
    <w:name w:val="样式20"/>
    <w:basedOn w:val="1"/>
    <w:qFormat/>
    <w:uiPriority w:val="0"/>
    <w:pPr>
      <w:spacing w:line="500" w:lineRule="exact"/>
      <w:ind w:firstLine="141" w:firstLineChars="50"/>
      <w:outlineLvl w:val="1"/>
    </w:pPr>
    <w:rPr>
      <w:rFonts w:ascii="Times New Roman" w:hAnsi="Times New Roman" w:eastAsia="Times New Roman" w:cs="Times New Roman"/>
      <w:b/>
      <w:sz w:val="28"/>
      <w:szCs w:val="24"/>
    </w:rPr>
  </w:style>
  <w:style w:type="paragraph" w:customStyle="1" w:styleId="508">
    <w:name w:val="font6"/>
    <w:basedOn w:val="1"/>
    <w:qFormat/>
    <w:uiPriority w:val="0"/>
    <w:pPr>
      <w:widowControl/>
      <w:spacing w:before="100" w:beforeAutospacing="1" w:after="100" w:afterAutospacing="1"/>
      <w:jc w:val="left"/>
    </w:pPr>
    <w:rPr>
      <w:rFonts w:hint="eastAsia" w:ascii="宋体" w:hAnsi="宋体" w:eastAsia="宋体" w:cs="Arial Unicode MS"/>
      <w:kern w:val="0"/>
      <w:sz w:val="22"/>
    </w:rPr>
  </w:style>
  <w:style w:type="paragraph" w:customStyle="1" w:styleId="509">
    <w:name w:val="a01"/>
    <w:basedOn w:val="1"/>
    <w:qFormat/>
    <w:uiPriority w:val="0"/>
    <w:pPr>
      <w:widowControl/>
      <w:spacing w:before="100" w:beforeAutospacing="1" w:after="100" w:afterAutospacing="1" w:line="385" w:lineRule="atLeast"/>
      <w:jc w:val="left"/>
    </w:pPr>
    <w:rPr>
      <w:rFonts w:ascii="Arial Unicode MS" w:hAnsi="Arial Unicode MS" w:eastAsia="宋体" w:cs="Times New Roman"/>
      <w:color w:val="000000"/>
      <w:kern w:val="0"/>
      <w:sz w:val="23"/>
      <w:szCs w:val="23"/>
    </w:rPr>
  </w:style>
  <w:style w:type="paragraph" w:customStyle="1" w:styleId="510">
    <w:name w:val="样式 表格后正文 + 首行缩进:  2 字符"/>
    <w:basedOn w:val="1"/>
    <w:qFormat/>
    <w:uiPriority w:val="0"/>
    <w:pPr>
      <w:widowControl/>
      <w:tabs>
        <w:tab w:val="left" w:pos="567"/>
      </w:tabs>
      <w:spacing w:before="200" w:line="360" w:lineRule="auto"/>
      <w:ind w:firstLine="560" w:firstLineChars="200"/>
      <w:jc w:val="left"/>
    </w:pPr>
    <w:rPr>
      <w:rFonts w:ascii="Times New Roman" w:hAnsi="Times New Roman" w:eastAsia="华文中宋" w:cs="宋体"/>
      <w:spacing w:val="20"/>
      <w:kern w:val="0"/>
      <w:sz w:val="24"/>
      <w:szCs w:val="20"/>
    </w:rPr>
  </w:style>
  <w:style w:type="paragraph" w:customStyle="1" w:styleId="511">
    <w:name w:val="（1）名字"/>
    <w:basedOn w:val="1"/>
    <w:qFormat/>
    <w:uiPriority w:val="0"/>
    <w:pPr>
      <w:spacing w:line="480" w:lineRule="auto"/>
    </w:pPr>
    <w:rPr>
      <w:rFonts w:ascii="Times New Roman" w:hAnsi="宋体" w:eastAsia="宋体" w:cs="Times New Roman"/>
      <w:sz w:val="24"/>
      <w:szCs w:val="24"/>
    </w:rPr>
  </w:style>
  <w:style w:type="paragraph" w:customStyle="1" w:styleId="512">
    <w:name w:val="正文楷体"/>
    <w:basedOn w:val="1"/>
    <w:qFormat/>
    <w:uiPriority w:val="0"/>
    <w:rPr>
      <w:rFonts w:ascii="Times New Roman" w:hAnsi="Times New Roman" w:eastAsia="楷体_GB2312" w:cs="Times New Roman"/>
      <w:szCs w:val="21"/>
    </w:rPr>
  </w:style>
  <w:style w:type="paragraph" w:customStyle="1" w:styleId="513">
    <w:name w:val="正文02"/>
    <w:basedOn w:val="6"/>
    <w:qFormat/>
    <w:uiPriority w:val="0"/>
    <w:pPr>
      <w:spacing w:before="300" w:line="460" w:lineRule="exact"/>
      <w:ind w:firstLine="200"/>
    </w:pPr>
    <w:rPr>
      <w:rFonts w:ascii="Times New Roman" w:hAnsi="Times New Roman" w:eastAsia="宋体" w:cs="Times New Roman"/>
      <w:sz w:val="24"/>
      <w:szCs w:val="24"/>
    </w:rPr>
  </w:style>
  <w:style w:type="paragraph" w:customStyle="1" w:styleId="514">
    <w:name w:val="表头字体宋"/>
    <w:basedOn w:val="1"/>
    <w:qFormat/>
    <w:uiPriority w:val="0"/>
    <w:pPr>
      <w:spacing w:line="500" w:lineRule="exact"/>
      <w:jc w:val="center"/>
    </w:pPr>
    <w:rPr>
      <w:rFonts w:ascii="宋体" w:hAnsi="宋体" w:eastAsia="宋体" w:cs="宋体"/>
      <w:b/>
      <w:bCs/>
      <w:sz w:val="24"/>
      <w:szCs w:val="20"/>
    </w:rPr>
  </w:style>
  <w:style w:type="paragraph" w:customStyle="1" w:styleId="515">
    <w:name w:val="Char Char Char Char1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16">
    <w:name w:val="SEK level 1"/>
    <w:basedOn w:val="1"/>
    <w:next w:val="483"/>
    <w:semiHidden/>
    <w:qFormat/>
    <w:uiPriority w:val="0"/>
    <w:pPr>
      <w:keepNext/>
      <w:widowControl/>
      <w:tabs>
        <w:tab w:val="left" w:pos="1080"/>
      </w:tabs>
      <w:spacing w:before="380" w:line="360" w:lineRule="auto"/>
      <w:ind w:left="1080" w:hanging="1080" w:firstLineChars="200"/>
      <w:jc w:val="left"/>
      <w:outlineLvl w:val="0"/>
    </w:pPr>
    <w:rPr>
      <w:rFonts w:ascii="Arial" w:hAnsi="Arial" w:eastAsia="PMingLiU" w:cs="Times New Roman"/>
      <w:b/>
      <w:caps/>
      <w:kern w:val="0"/>
      <w:sz w:val="24"/>
      <w:szCs w:val="20"/>
      <w:lang w:val="en-GB" w:eastAsia="zh-TW"/>
    </w:rPr>
  </w:style>
  <w:style w:type="paragraph" w:customStyle="1" w:styleId="517">
    <w:name w:val="表格正文01"/>
    <w:basedOn w:val="1"/>
    <w:qFormat/>
    <w:uiPriority w:val="0"/>
    <w:pPr>
      <w:snapToGrid w:val="0"/>
      <w:spacing w:line="360" w:lineRule="exact"/>
    </w:pPr>
    <w:rPr>
      <w:rFonts w:ascii="Times New Roman" w:hAnsi="Times New Roman" w:eastAsia="宋体" w:cs="Times New Roman"/>
      <w:szCs w:val="24"/>
    </w:rPr>
  </w:style>
  <w:style w:type="paragraph" w:customStyle="1" w:styleId="518">
    <w:name w:val="样式 正文 首行缩进:  2 字符 + 首行缩进:  2 字符"/>
    <w:basedOn w:val="1"/>
    <w:qFormat/>
    <w:uiPriority w:val="0"/>
    <w:pPr>
      <w:spacing w:before="100" w:line="520" w:lineRule="exact"/>
      <w:ind w:firstLine="562" w:firstLineChars="200"/>
    </w:pPr>
    <w:rPr>
      <w:rFonts w:ascii="仿宋_GB2312" w:hAnsi="Times New Roman" w:eastAsia="仿宋_GB2312" w:cs="Times New Roman"/>
      <w:b/>
      <w:color w:val="000000"/>
      <w:sz w:val="28"/>
      <w:szCs w:val="28"/>
    </w:rPr>
  </w:style>
  <w:style w:type="paragraph" w:customStyle="1" w:styleId="51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0"/>
      <w:szCs w:val="20"/>
    </w:rPr>
  </w:style>
  <w:style w:type="paragraph" w:customStyle="1" w:styleId="520">
    <w:name w:val="表格_正文"/>
    <w:qFormat/>
    <w:uiPriority w:val="0"/>
    <w:pPr>
      <w:snapToGrid w:val="0"/>
      <w:spacing w:before="60" w:after="60"/>
    </w:pPr>
    <w:rPr>
      <w:rFonts w:ascii="Times New Roman" w:hAnsi="Times New Roman" w:eastAsia="宋体" w:cs="Times New Roman"/>
      <w:kern w:val="0"/>
      <w:sz w:val="21"/>
      <w:szCs w:val="20"/>
      <w:lang w:val="en-US" w:eastAsia="zh-CN" w:bidi="ar-SA"/>
    </w:rPr>
  </w:style>
  <w:style w:type="paragraph" w:customStyle="1" w:styleId="521">
    <w:name w:val="Char Char Char Char Char Char Char Char Char Char Char Char Char11"/>
    <w:basedOn w:val="1"/>
    <w:qFormat/>
    <w:uiPriority w:val="0"/>
    <w:pPr>
      <w:spacing w:line="360" w:lineRule="auto"/>
      <w:ind w:firstLine="200" w:firstLineChars="200"/>
    </w:pPr>
    <w:rPr>
      <w:rFonts w:ascii="宋体" w:hAnsi="宋体" w:eastAsia="宋体" w:cs="宋体"/>
      <w:sz w:val="24"/>
      <w:szCs w:val="24"/>
    </w:rPr>
  </w:style>
  <w:style w:type="paragraph" w:customStyle="1" w:styleId="522">
    <w:name w:val="样式 纯文本 + 行距: 1.5 倍行距"/>
    <w:basedOn w:val="26"/>
    <w:qFormat/>
    <w:uiPriority w:val="0"/>
    <w:pPr>
      <w:snapToGrid w:val="0"/>
      <w:spacing w:before="190" w:beforeLines="50" w:line="360" w:lineRule="auto"/>
      <w:ind w:firstLine="480" w:firstLineChars="200"/>
    </w:pPr>
    <w:rPr>
      <w:rFonts w:ascii="Times New Roman" w:hAnsi="Times New Roman"/>
      <w:sz w:val="24"/>
    </w:rPr>
  </w:style>
  <w:style w:type="paragraph" w:customStyle="1" w:styleId="523">
    <w:name w:val="font0"/>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524">
    <w:name w:val="Char Char Char Char Char Char Char1 Char Char Char Char Char Char Char"/>
    <w:basedOn w:val="1"/>
    <w:qFormat/>
    <w:uiPriority w:val="0"/>
    <w:pPr>
      <w:tabs>
        <w:tab w:val="left" w:pos="432"/>
      </w:tabs>
      <w:ind w:left="432" w:hanging="432"/>
    </w:pPr>
    <w:rPr>
      <w:rFonts w:ascii="Tahoma" w:hAnsi="Tahoma" w:eastAsia="宋体" w:cs="Times New Roman"/>
      <w:sz w:val="24"/>
      <w:szCs w:val="20"/>
    </w:rPr>
  </w:style>
  <w:style w:type="paragraph" w:customStyle="1" w:styleId="525">
    <w:name w:val="xl3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526">
    <w:name w:val="Char Char Char Char Char Char Char Char Char Char1"/>
    <w:basedOn w:val="1"/>
    <w:qFormat/>
    <w:uiPriority w:val="0"/>
    <w:rPr>
      <w:rFonts w:ascii="Times New Roman" w:hAnsi="Times New Roman" w:eastAsia="宋体" w:cs="Times New Roman"/>
      <w:sz w:val="24"/>
      <w:szCs w:val="24"/>
    </w:rPr>
  </w:style>
  <w:style w:type="paragraph" w:customStyle="1" w:styleId="527">
    <w:name w:val="表格文字居中"/>
    <w:basedOn w:val="1"/>
    <w:qFormat/>
    <w:uiPriority w:val="0"/>
    <w:pPr>
      <w:adjustRightInd w:val="0"/>
      <w:snapToGrid w:val="0"/>
      <w:ind w:left="-256" w:leftChars="-122" w:firstLine="256" w:firstLineChars="122"/>
      <w:jc w:val="center"/>
    </w:pPr>
    <w:rPr>
      <w:rFonts w:ascii="宋体" w:hAnsi="宋体" w:eastAsia="宋体" w:cs="Times New Roman"/>
      <w:szCs w:val="20"/>
    </w:rPr>
  </w:style>
  <w:style w:type="paragraph" w:customStyle="1" w:styleId="528">
    <w:name w:val="样式 四号 黑色 行距: 1.5 倍行距 首行缩进:  2 字符"/>
    <w:basedOn w:val="1"/>
    <w:qFormat/>
    <w:uiPriority w:val="0"/>
    <w:pPr>
      <w:spacing w:line="360" w:lineRule="auto"/>
      <w:ind w:firstLine="560" w:firstLineChars="200"/>
    </w:pPr>
    <w:rPr>
      <w:rFonts w:ascii="Times New Roman" w:hAnsi="Times New Roman" w:eastAsia="仿宋_GB2312" w:cs="Times New Roman"/>
      <w:color w:val="000000"/>
      <w:sz w:val="28"/>
      <w:szCs w:val="28"/>
    </w:rPr>
  </w:style>
  <w:style w:type="paragraph" w:customStyle="1" w:styleId="52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16"/>
      <w:szCs w:val="16"/>
    </w:rPr>
  </w:style>
  <w:style w:type="paragraph" w:customStyle="1" w:styleId="530">
    <w:name w:val="Char Char Char Char Char Char Char Char Char Char Char Char Char1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531">
    <w:name w:val="Char Char Char2 Char Char Char Char Char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532">
    <w:name w:val="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3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34">
    <w:name w:val="Char1 Char Char Char"/>
    <w:basedOn w:val="1"/>
    <w:qFormat/>
    <w:uiPriority w:val="0"/>
    <w:rPr>
      <w:rFonts w:ascii="Times New Roman" w:hAnsi="Times New Roman" w:eastAsia="宋体" w:cs="Times New Roman"/>
      <w:sz w:val="24"/>
      <w:szCs w:val="24"/>
    </w:rPr>
  </w:style>
  <w:style w:type="paragraph" w:customStyle="1" w:styleId="535">
    <w:name w:val="Char Char Char Char Char Char Char Char Char Char Char1"/>
    <w:basedOn w:val="1"/>
    <w:qFormat/>
    <w:uiPriority w:val="0"/>
    <w:rPr>
      <w:rFonts w:ascii="Times New Roman" w:hAnsi="Times New Roman" w:eastAsia="宋体" w:cs="Times New Roman"/>
      <w:sz w:val="24"/>
      <w:szCs w:val="24"/>
    </w:rPr>
  </w:style>
  <w:style w:type="paragraph" w:customStyle="1" w:styleId="536">
    <w:name w:val="法规列表"/>
    <w:basedOn w:val="1"/>
    <w:semiHidden/>
    <w:qFormat/>
    <w:uiPriority w:val="0"/>
    <w:pPr>
      <w:tabs>
        <w:tab w:val="left" w:pos="420"/>
      </w:tabs>
      <w:spacing w:before="50" w:beforeLines="50"/>
      <w:ind w:left="420" w:hanging="420"/>
    </w:pPr>
    <w:rPr>
      <w:rFonts w:ascii="Times New Roman" w:hAnsi="Times New Roman" w:eastAsia="仿宋_GB2312" w:cs="Times New Roman"/>
      <w:sz w:val="24"/>
      <w:szCs w:val="24"/>
    </w:rPr>
  </w:style>
  <w:style w:type="paragraph" w:customStyle="1" w:styleId="537">
    <w:name w:val="斜体加粗"/>
    <w:basedOn w:val="1"/>
    <w:next w:val="1"/>
    <w:qFormat/>
    <w:uiPriority w:val="0"/>
    <w:pPr>
      <w:widowControl/>
    </w:pPr>
    <w:rPr>
      <w:rFonts w:ascii="Times New Roman" w:hAnsi="Times New Roman" w:eastAsia="宋体" w:cs="Times New Roman"/>
      <w:b/>
      <w:i/>
      <w:iCs/>
      <w:kern w:val="0"/>
      <w:sz w:val="22"/>
      <w:szCs w:val="20"/>
    </w:rPr>
  </w:style>
  <w:style w:type="paragraph" w:customStyle="1" w:styleId="538">
    <w:name w:val="SEK level 2"/>
    <w:basedOn w:val="516"/>
    <w:semiHidden/>
    <w:qFormat/>
    <w:uiPriority w:val="0"/>
    <w:pPr>
      <w:tabs>
        <w:tab w:val="left" w:pos="567"/>
      </w:tabs>
      <w:ind w:left="567" w:hanging="567"/>
      <w:outlineLvl w:val="1"/>
    </w:pPr>
    <w:rPr>
      <w:caps w:val="0"/>
    </w:rPr>
  </w:style>
  <w:style w:type="paragraph" w:customStyle="1" w:styleId="539">
    <w:name w:val="Char Char Char Char Char Char"/>
    <w:basedOn w:val="1"/>
    <w:qFormat/>
    <w:uiPriority w:val="0"/>
    <w:pPr>
      <w:spacing w:line="360" w:lineRule="auto"/>
      <w:ind w:firstLine="200" w:firstLineChars="200"/>
    </w:pPr>
    <w:rPr>
      <w:rFonts w:ascii="宋体" w:hAnsi="宋体" w:eastAsia="宋体" w:cs="Times New Roman"/>
      <w:sz w:val="24"/>
      <w:szCs w:val="24"/>
    </w:rPr>
  </w:style>
  <w:style w:type="paragraph" w:customStyle="1" w:styleId="540">
    <w:name w:val="Char1 Char Char Char Char Char1"/>
    <w:basedOn w:val="1"/>
    <w:qFormat/>
    <w:uiPriority w:val="0"/>
    <w:rPr>
      <w:rFonts w:ascii="Times New Roman" w:hAnsi="Times New Roman" w:eastAsia="宋体" w:cs="Times New Roman"/>
      <w:sz w:val="24"/>
      <w:szCs w:val="24"/>
    </w:rPr>
  </w:style>
  <w:style w:type="paragraph" w:customStyle="1" w:styleId="541">
    <w:name w:val="样式 样式 标题1 + 段前: 0.5 行 + 段前: 0.5 行"/>
    <w:basedOn w:val="1"/>
    <w:qFormat/>
    <w:uiPriority w:val="0"/>
    <w:pPr>
      <w:spacing w:before="120" w:beforeLines="50" w:line="500" w:lineRule="exact"/>
      <w:jc w:val="left"/>
      <w:outlineLvl w:val="0"/>
    </w:pPr>
    <w:rPr>
      <w:rFonts w:ascii="Times New Roman" w:hAnsi="Times New Roman" w:eastAsia="宋体" w:cs="宋体"/>
      <w:b/>
      <w:bCs/>
      <w:sz w:val="32"/>
      <w:szCs w:val="20"/>
    </w:rPr>
  </w:style>
  <w:style w:type="paragraph" w:customStyle="1" w:styleId="542">
    <w:name w:val="Plain Text1"/>
    <w:basedOn w:val="1"/>
    <w:qFormat/>
    <w:uiPriority w:val="0"/>
    <w:pPr>
      <w:autoSpaceDE w:val="0"/>
      <w:autoSpaceDN w:val="0"/>
      <w:adjustRightInd w:val="0"/>
      <w:textAlignment w:val="baseline"/>
    </w:pPr>
    <w:rPr>
      <w:rFonts w:ascii="宋体" w:hAnsi="Tms Rmn" w:eastAsia="宋体" w:cs="Times New Roman"/>
      <w:kern w:val="0"/>
      <w:szCs w:val="20"/>
    </w:rPr>
  </w:style>
  <w:style w:type="paragraph" w:customStyle="1" w:styleId="543">
    <w:name w:val="In Table"/>
    <w:basedOn w:val="1"/>
    <w:qFormat/>
    <w:uiPriority w:val="0"/>
    <w:pPr>
      <w:tabs>
        <w:tab w:val="left" w:pos="2200"/>
        <w:tab w:val="left" w:pos="3960"/>
        <w:tab w:val="left" w:pos="5280"/>
      </w:tabs>
      <w:spacing w:before="96" w:after="96" w:line="0" w:lineRule="atLeast"/>
      <w:jc w:val="center"/>
    </w:pPr>
    <w:rPr>
      <w:rFonts w:hint="eastAsia" w:ascii="Tahoma" w:hAnsi="Tahoma" w:eastAsia="华文中宋" w:cs="Times New Roman"/>
      <w:szCs w:val="20"/>
    </w:rPr>
  </w:style>
  <w:style w:type="paragraph" w:customStyle="1" w:styleId="544">
    <w:name w:val="Char Char Char Char Char Char Char Char Char Char Char Char Char1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45">
    <w:name w:val="批注文字 New"/>
    <w:basedOn w:val="452"/>
    <w:qFormat/>
    <w:uiPriority w:val="0"/>
    <w:pPr>
      <w:jc w:val="left"/>
    </w:pPr>
  </w:style>
  <w:style w:type="paragraph" w:customStyle="1" w:styleId="546">
    <w:name w:val="标题样式"/>
    <w:basedOn w:val="465"/>
    <w:qFormat/>
    <w:uiPriority w:val="0"/>
    <w:pPr>
      <w:keepLines/>
      <w:adjustRightInd w:val="0"/>
      <w:spacing w:before="0" w:line="360" w:lineRule="auto"/>
      <w:ind w:firstLine="0" w:firstLineChars="0"/>
      <w:jc w:val="left"/>
      <w:textAlignment w:val="baseline"/>
    </w:pPr>
    <w:rPr>
      <w:rFonts w:ascii="宋体" w:hAnsi="宋体"/>
      <w:szCs w:val="18"/>
    </w:rPr>
  </w:style>
  <w:style w:type="paragraph" w:customStyle="1" w:styleId="547">
    <w:name w:val="ljx正文1"/>
    <w:basedOn w:val="21"/>
    <w:qFormat/>
    <w:uiPriority w:val="0"/>
    <w:pPr>
      <w:spacing w:after="0"/>
      <w:ind w:left="0" w:leftChars="0"/>
    </w:pPr>
    <w:rPr>
      <w:rFonts w:ascii="Times New Roman"/>
      <w:sz w:val="28"/>
    </w:rPr>
  </w:style>
  <w:style w:type="paragraph" w:customStyle="1" w:styleId="548">
    <w:name w:val="Char Char Char2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549">
    <w:name w:val="图文框"/>
    <w:basedOn w:val="1"/>
    <w:qFormat/>
    <w:uiPriority w:val="0"/>
    <w:pPr>
      <w:autoSpaceDE w:val="0"/>
      <w:autoSpaceDN w:val="0"/>
      <w:adjustRightInd w:val="0"/>
      <w:snapToGrid w:val="0"/>
      <w:jc w:val="center"/>
      <w:textAlignment w:val="baseline"/>
    </w:pPr>
    <w:rPr>
      <w:rFonts w:ascii="Times New Roman" w:hAnsi="Times New Roman" w:eastAsia="宋体" w:cs="Times New Roman"/>
      <w:kern w:val="0"/>
      <w:szCs w:val="21"/>
    </w:rPr>
  </w:style>
  <w:style w:type="paragraph" w:customStyle="1" w:styleId="55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551">
    <w:name w:val="reader-word-layer reader-word-s4-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552">
    <w:name w:val="表格目录"/>
    <w:basedOn w:val="1"/>
    <w:next w:val="1"/>
    <w:qFormat/>
    <w:uiPriority w:val="0"/>
    <w:pPr>
      <w:widowControl/>
      <w:spacing w:line="240" w:lineRule="atLeast"/>
      <w:jc w:val="center"/>
    </w:pPr>
    <w:rPr>
      <w:rFonts w:ascii="Times New Roman" w:hAnsi="Times New Roman" w:eastAsia="宋体" w:cs="Times New Roman"/>
      <w:b/>
      <w:bCs/>
      <w:kern w:val="0"/>
      <w:szCs w:val="20"/>
    </w:rPr>
  </w:style>
  <w:style w:type="paragraph" w:customStyle="1" w:styleId="553">
    <w:name w:val="表格正文-1"/>
    <w:basedOn w:val="1"/>
    <w:qFormat/>
    <w:uiPriority w:val="0"/>
    <w:pPr>
      <w:spacing w:line="360" w:lineRule="exact"/>
      <w:jc w:val="center"/>
    </w:pPr>
    <w:rPr>
      <w:rFonts w:ascii="Times New Roman" w:hAnsi="Times New Roman" w:eastAsia="宋体" w:cs="Times New Roman"/>
      <w:szCs w:val="24"/>
    </w:rPr>
  </w:style>
  <w:style w:type="paragraph" w:customStyle="1" w:styleId="554">
    <w:name w:val="符号_01"/>
    <w:qFormat/>
    <w:uiPriority w:val="0"/>
    <w:pPr>
      <w:tabs>
        <w:tab w:val="left" w:pos="360"/>
        <w:tab w:val="right" w:leader="dot" w:pos="6896"/>
        <w:tab w:val="left" w:pos="7070"/>
      </w:tabs>
      <w:spacing w:after="120" w:afterLines="50" w:line="240" w:lineRule="atLeast"/>
      <w:ind w:left="360" w:right="420" w:rightChars="200" w:hanging="360"/>
      <w:jc w:val="both"/>
    </w:pPr>
    <w:rPr>
      <w:rFonts w:ascii="Garamond" w:hAnsi="Garamond" w:eastAsia="楷体_GB2312" w:cs="Times New Roman"/>
      <w:kern w:val="2"/>
      <w:sz w:val="28"/>
      <w:szCs w:val="28"/>
      <w:lang w:val="en-US" w:eastAsia="zh-CN" w:bidi="ar-SA"/>
    </w:rPr>
  </w:style>
  <w:style w:type="paragraph" w:customStyle="1" w:styleId="555">
    <w:name w:val="_Style 10"/>
    <w:basedOn w:val="1"/>
    <w:qFormat/>
    <w:uiPriority w:val="0"/>
    <w:pPr>
      <w:ind w:firstLine="200" w:firstLineChars="200"/>
    </w:pPr>
    <w:rPr>
      <w:rFonts w:ascii="Times New Roman" w:hAnsi="Times New Roman" w:eastAsia="仿宋_GB2312" w:cs="Times New Roman"/>
      <w:sz w:val="34"/>
      <w:szCs w:val="24"/>
    </w:rPr>
  </w:style>
  <w:style w:type="paragraph" w:customStyle="1" w:styleId="556">
    <w:name w:val="正文表标题"/>
    <w:next w:val="1"/>
    <w:qFormat/>
    <w:uiPriority w:val="0"/>
    <w:pPr>
      <w:tabs>
        <w:tab w:val="left" w:pos="720"/>
      </w:tabs>
      <w:ind w:left="720" w:hanging="720"/>
      <w:jc w:val="center"/>
    </w:pPr>
    <w:rPr>
      <w:rFonts w:ascii="黑体" w:hAnsi="Times New Roman" w:eastAsia="黑体" w:cs="Times New Roman"/>
      <w:kern w:val="0"/>
      <w:sz w:val="21"/>
      <w:szCs w:val="20"/>
      <w:lang w:val="en-US" w:eastAsia="zh-CN" w:bidi="ar-SA"/>
    </w:rPr>
  </w:style>
  <w:style w:type="paragraph" w:customStyle="1" w:styleId="557">
    <w:name w:val="正文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58">
    <w:name w:val="样式 正文001 + Times New Roman"/>
    <w:basedOn w:val="1"/>
    <w:qFormat/>
    <w:uiPriority w:val="0"/>
    <w:pPr>
      <w:spacing w:before="60" w:line="460" w:lineRule="exact"/>
      <w:ind w:firstLine="482"/>
    </w:pPr>
    <w:rPr>
      <w:rFonts w:ascii="Times New Roman" w:hAnsi="Times New Roman" w:eastAsia="宋体" w:cs="Times New Roman"/>
      <w:sz w:val="24"/>
      <w:szCs w:val="20"/>
    </w:rPr>
  </w:style>
  <w:style w:type="paragraph" w:customStyle="1" w:styleId="559">
    <w:name w:val="p01"/>
    <w:basedOn w:val="1"/>
    <w:qFormat/>
    <w:uiPriority w:val="0"/>
    <w:pPr>
      <w:widowControl/>
      <w:spacing w:before="100" w:beforeAutospacing="1" w:after="100" w:afterAutospacing="1"/>
      <w:ind w:firstLine="480"/>
      <w:jc w:val="left"/>
    </w:pPr>
    <w:rPr>
      <w:rFonts w:ascii="宋体" w:hAnsi="宋体" w:eastAsia="宋体" w:cs="宋体"/>
      <w:kern w:val="0"/>
      <w:sz w:val="24"/>
      <w:szCs w:val="24"/>
    </w:rPr>
  </w:style>
  <w:style w:type="paragraph" w:customStyle="1" w:styleId="560">
    <w:name w:val="Char"/>
    <w:basedOn w:val="1"/>
    <w:qFormat/>
    <w:uiPriority w:val="0"/>
    <w:pPr>
      <w:spacing w:line="360" w:lineRule="auto"/>
      <w:ind w:firstLine="200" w:firstLineChars="200"/>
    </w:pPr>
    <w:rPr>
      <w:rFonts w:ascii="宋体" w:hAnsi="宋体" w:eastAsia="宋体" w:cs="宋体"/>
      <w:sz w:val="24"/>
      <w:szCs w:val="24"/>
    </w:rPr>
  </w:style>
  <w:style w:type="paragraph" w:customStyle="1" w:styleId="561">
    <w:name w:val="WPS Plain"/>
    <w:qFormat/>
    <w:uiPriority w:val="0"/>
    <w:rPr>
      <w:rFonts w:ascii="Times New Roman" w:hAnsi="Times New Roman" w:eastAsia="宋体" w:cs="Times New Roman"/>
      <w:kern w:val="0"/>
      <w:sz w:val="20"/>
      <w:szCs w:val="20"/>
      <w:lang w:val="en-US" w:eastAsia="zh-CN" w:bidi="ar-SA"/>
    </w:rPr>
  </w:style>
  <w:style w:type="paragraph" w:customStyle="1" w:styleId="562">
    <w:name w:val="表图题"/>
    <w:basedOn w:val="1"/>
    <w:qFormat/>
    <w:uiPriority w:val="0"/>
    <w:pPr>
      <w:spacing w:line="440" w:lineRule="exact"/>
      <w:jc w:val="center"/>
    </w:pPr>
    <w:rPr>
      <w:rFonts w:ascii="Times New Roman" w:hAnsi="Times New Roman" w:eastAsia="华文细黑" w:cs="Times New Roman"/>
      <w:b/>
      <w:szCs w:val="28"/>
    </w:rPr>
  </w:style>
  <w:style w:type="paragraph" w:customStyle="1" w:styleId="563">
    <w:name w:val="正文文本 311"/>
    <w:basedOn w:val="1"/>
    <w:semiHidden/>
    <w:qFormat/>
    <w:uiPriority w:val="0"/>
    <w:pPr>
      <w:adjustRightInd w:val="0"/>
      <w:spacing w:line="360" w:lineRule="atLeast"/>
      <w:jc w:val="center"/>
    </w:pPr>
    <w:rPr>
      <w:rFonts w:ascii="仿宋体" w:hAnsi="Times New Roman" w:eastAsia="仿宋体" w:cs="Times New Roman"/>
      <w:kern w:val="0"/>
      <w:sz w:val="24"/>
      <w:szCs w:val="20"/>
    </w:rPr>
  </w:style>
  <w:style w:type="paragraph" w:customStyle="1" w:styleId="564">
    <w:name w:val=":("/>
    <w:qFormat/>
    <w:uiPriority w:val="0"/>
    <w:pPr>
      <w:widowControl w:val="0"/>
      <w:adjustRightInd w:val="0"/>
      <w:spacing w:line="312" w:lineRule="atLeast"/>
      <w:jc w:val="both"/>
      <w:textAlignment w:val="baseline"/>
    </w:pPr>
    <w:rPr>
      <w:rFonts w:ascii="Times New Roman" w:hAnsi="Times New Roman" w:eastAsia="·s²Ó©úÅé" w:cs="Times New Roman"/>
      <w:kern w:val="0"/>
      <w:sz w:val="21"/>
      <w:szCs w:val="20"/>
      <w:lang w:val="en-US" w:eastAsia="zh-CN" w:bidi="ar-SA"/>
    </w:rPr>
  </w:style>
  <w:style w:type="paragraph" w:customStyle="1" w:styleId="565">
    <w:name w:val="样式 表格正文 + 黑色 段后: 0.1 行 行距: 最小值 12 磅"/>
    <w:basedOn w:val="98"/>
    <w:qFormat/>
    <w:uiPriority w:val="0"/>
    <w:pPr>
      <w:spacing w:line="360" w:lineRule="atLeast"/>
    </w:pPr>
    <w:rPr>
      <w:rFonts w:hint="eastAsia"/>
      <w:color w:val="000000"/>
      <w:szCs w:val="20"/>
    </w:rPr>
  </w:style>
  <w:style w:type="paragraph" w:customStyle="1" w:styleId="566">
    <w:name w:val="新正文"/>
    <w:basedOn w:val="1"/>
    <w:qFormat/>
    <w:uiPriority w:val="0"/>
    <w:pPr>
      <w:spacing w:before="60" w:line="460" w:lineRule="exact"/>
      <w:ind w:firstLine="200" w:firstLineChars="200"/>
    </w:pPr>
    <w:rPr>
      <w:rFonts w:ascii="Times New Roman" w:hAnsi="Times New Roman" w:eastAsia="宋体" w:cs="Times New Roman"/>
      <w:sz w:val="24"/>
      <w:szCs w:val="20"/>
    </w:rPr>
  </w:style>
  <w:style w:type="paragraph" w:customStyle="1" w:styleId="567">
    <w:name w:val="表中文字1"/>
    <w:qFormat/>
    <w:uiPriority w:val="0"/>
    <w:pPr>
      <w:widowControl w:val="0"/>
      <w:adjustRightInd w:val="0"/>
      <w:snapToGrid w:val="0"/>
      <w:jc w:val="center"/>
    </w:pPr>
    <w:rPr>
      <w:rFonts w:ascii="仿宋_GB2312" w:hAnsi="华文仿宋" w:eastAsia="仿宋_GB2312" w:cs="Times New Roman"/>
      <w:b/>
      <w:kern w:val="2"/>
      <w:sz w:val="21"/>
      <w:szCs w:val="21"/>
      <w:lang w:val="en-US" w:eastAsia="zh-CN" w:bidi="ar-SA"/>
    </w:rPr>
  </w:style>
  <w:style w:type="paragraph" w:customStyle="1" w:styleId="568">
    <w:name w:val="xl40"/>
    <w:basedOn w:val="1"/>
    <w:qFormat/>
    <w:uiPriority w:val="0"/>
    <w:pPr>
      <w:widowControl/>
      <w:spacing w:before="100" w:after="100"/>
      <w:jc w:val="center"/>
    </w:pPr>
    <w:rPr>
      <w:rFonts w:ascii="宋体" w:hAnsi="宋体" w:eastAsia="宋体" w:cs="Times New Roman"/>
      <w:kern w:val="0"/>
      <w:szCs w:val="20"/>
    </w:rPr>
  </w:style>
  <w:style w:type="paragraph" w:customStyle="1" w:styleId="569">
    <w:name w:val="Char Char Char Char Char Char Char Char Char Char Char Char Char1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70">
    <w:name w:val="Char Char Char Char Char Char Char1"/>
    <w:basedOn w:val="1"/>
    <w:qFormat/>
    <w:uiPriority w:val="0"/>
    <w:pPr>
      <w:tabs>
        <w:tab w:val="left" w:pos="360"/>
      </w:tabs>
    </w:pPr>
    <w:rPr>
      <w:rFonts w:ascii="Times New Roman" w:hAnsi="Times New Roman" w:eastAsia="宋体" w:cs="Times New Roman"/>
      <w:szCs w:val="24"/>
    </w:rPr>
  </w:style>
  <w:style w:type="paragraph" w:customStyle="1" w:styleId="571">
    <w:name w:val="表格标题居中"/>
    <w:basedOn w:val="527"/>
    <w:qFormat/>
    <w:uiPriority w:val="0"/>
    <w:pPr>
      <w:tabs>
        <w:tab w:val="left" w:pos="180"/>
        <w:tab w:val="center" w:pos="279"/>
      </w:tabs>
      <w:adjustRightInd/>
      <w:snapToGrid/>
      <w:ind w:left="0" w:leftChars="0" w:firstLine="0" w:firstLineChars="0"/>
    </w:pPr>
    <w:rPr>
      <w:rFonts w:hint="eastAsia" w:ascii="Times New Roman" w:eastAsia="黑体"/>
      <w:color w:val="000000"/>
      <w:szCs w:val="21"/>
    </w:rPr>
  </w:style>
  <w:style w:type="paragraph" w:customStyle="1" w:styleId="572">
    <w:name w:val="文字缩进"/>
    <w:basedOn w:val="6"/>
    <w:qFormat/>
    <w:uiPriority w:val="0"/>
    <w:pPr>
      <w:tabs>
        <w:tab w:val="left" w:pos="840"/>
        <w:tab w:val="left" w:pos="4802"/>
      </w:tabs>
      <w:topLinePunct/>
      <w:adjustRightInd w:val="0"/>
      <w:ind w:left="1134" w:firstLine="200"/>
    </w:pPr>
    <w:rPr>
      <w:rFonts w:ascii="Times New Roman" w:hAnsi="Times New Roman" w:eastAsia="仿宋_GB2312" w:cs="Times New Roman"/>
      <w:sz w:val="24"/>
      <w:szCs w:val="20"/>
      <w:lang w:val="es-ES"/>
    </w:rPr>
  </w:style>
  <w:style w:type="paragraph" w:customStyle="1" w:styleId="573">
    <w:name w:val="font11"/>
    <w:basedOn w:val="1"/>
    <w:qFormat/>
    <w:uiPriority w:val="0"/>
    <w:pPr>
      <w:widowControl/>
      <w:spacing w:before="100" w:beforeAutospacing="1" w:after="100" w:afterAutospacing="1"/>
      <w:jc w:val="left"/>
    </w:pPr>
    <w:rPr>
      <w:rFonts w:hint="eastAsia" w:ascii="宋体" w:hAnsi="宋体" w:eastAsia="宋体" w:cs="Arial Unicode MS"/>
      <w:kern w:val="0"/>
      <w:sz w:val="16"/>
      <w:szCs w:val="16"/>
    </w:rPr>
  </w:style>
  <w:style w:type="paragraph" w:customStyle="1" w:styleId="574">
    <w:name w:val="文本条标题"/>
    <w:basedOn w:val="1"/>
    <w:qFormat/>
    <w:uiPriority w:val="0"/>
    <w:pPr>
      <w:tabs>
        <w:tab w:val="left" w:pos="870"/>
      </w:tabs>
      <w:spacing w:before="312" w:beforeLines="100" w:after="156" w:afterLines="50"/>
      <w:ind w:left="870" w:hanging="390"/>
    </w:pPr>
    <w:rPr>
      <w:rFonts w:ascii="Times New Roman" w:hAnsi="Times New Roman" w:eastAsia="宋体" w:cs="宋体"/>
      <w:sz w:val="24"/>
      <w:szCs w:val="20"/>
    </w:rPr>
  </w:style>
  <w:style w:type="paragraph" w:customStyle="1" w:styleId="575">
    <w:name w:val="字元 字元"/>
    <w:basedOn w:val="1"/>
    <w:qFormat/>
    <w:uiPriority w:val="0"/>
    <w:rPr>
      <w:rFonts w:ascii="Times New Roman" w:hAnsi="Times New Roman" w:eastAsia="宋体" w:cs="Times New Roman"/>
      <w:szCs w:val="21"/>
    </w:rPr>
  </w:style>
  <w:style w:type="paragraph" w:customStyle="1" w:styleId="576">
    <w:name w:val="Filename"/>
    <w:basedOn w:val="34"/>
    <w:semiHidden/>
    <w:qFormat/>
    <w:uiPriority w:val="0"/>
    <w:pPr>
      <w:widowControl/>
      <w:snapToGrid/>
      <w:spacing w:before="72"/>
      <w:ind w:firstLine="200" w:firstLineChars="200"/>
    </w:pPr>
    <w:rPr>
      <w:rFonts w:ascii="Times New Roman" w:hAnsi="Times New Roman" w:eastAsia="PMingLiU" w:cs="Times New Roman"/>
      <w:caps/>
      <w:kern w:val="0"/>
      <w:sz w:val="12"/>
      <w:szCs w:val="20"/>
      <w:lang w:val="en-GB" w:eastAsia="zh-TW"/>
    </w:rPr>
  </w:style>
  <w:style w:type="paragraph" w:customStyle="1" w:styleId="577">
    <w:name w:val="表头文字"/>
    <w:basedOn w:val="1"/>
    <w:qFormat/>
    <w:uiPriority w:val="0"/>
    <w:pPr>
      <w:widowControl/>
      <w:adjustRightInd w:val="0"/>
      <w:snapToGrid w:val="0"/>
      <w:spacing w:line="400" w:lineRule="exact"/>
      <w:jc w:val="center"/>
      <w:textAlignment w:val="baseline"/>
    </w:pPr>
    <w:rPr>
      <w:rFonts w:ascii="Times New Roman" w:hAnsi="Times New Roman" w:eastAsia="宋体" w:cs="Times New Roman"/>
      <w:b/>
      <w:kern w:val="0"/>
      <w:szCs w:val="20"/>
    </w:rPr>
  </w:style>
  <w:style w:type="paragraph" w:customStyle="1" w:styleId="578">
    <w:name w:val="正文b"/>
    <w:basedOn w:val="1"/>
    <w:qFormat/>
    <w:uiPriority w:val="0"/>
    <w:pPr>
      <w:spacing w:line="360" w:lineRule="auto"/>
      <w:ind w:firstLine="200" w:firstLineChars="200"/>
    </w:pPr>
    <w:rPr>
      <w:rFonts w:ascii="Times New Roman" w:hAnsi="Times New Roman" w:eastAsia="宋体" w:cs="宋体"/>
      <w:sz w:val="24"/>
      <w:szCs w:val="20"/>
    </w:rPr>
  </w:style>
  <w:style w:type="paragraph" w:customStyle="1" w:styleId="579">
    <w:name w:val="标题001"/>
    <w:basedOn w:val="1"/>
    <w:qFormat/>
    <w:uiPriority w:val="0"/>
    <w:pPr>
      <w:spacing w:before="60" w:line="460" w:lineRule="exact"/>
      <w:outlineLvl w:val="0"/>
    </w:pPr>
    <w:rPr>
      <w:rFonts w:ascii="Times New Roman" w:hAnsi="Times New Roman" w:eastAsia="宋体" w:cs="Times New Roman"/>
      <w:b/>
      <w:sz w:val="32"/>
      <w:szCs w:val="20"/>
    </w:rPr>
  </w:style>
  <w:style w:type="paragraph" w:customStyle="1" w:styleId="580">
    <w:name w:val="表格一"/>
    <w:basedOn w:val="1"/>
    <w:qFormat/>
    <w:uiPriority w:val="0"/>
    <w:pPr>
      <w:spacing w:line="360" w:lineRule="auto"/>
      <w:jc w:val="center"/>
    </w:pPr>
    <w:rPr>
      <w:rFonts w:ascii="宋体" w:hAnsi="宋体" w:eastAsia="宋体" w:cs="宋体"/>
      <w:szCs w:val="20"/>
    </w:rPr>
  </w:style>
  <w:style w:type="paragraph" w:customStyle="1" w:styleId="581">
    <w:name w:val="正文："/>
    <w:basedOn w:val="1"/>
    <w:qFormat/>
    <w:uiPriority w:val="0"/>
    <w:rPr>
      <w:rFonts w:ascii="Times New Roman" w:hAnsi="Times New Roman" w:eastAsia="宋体" w:cs="Times New Roman"/>
      <w:szCs w:val="24"/>
    </w:rPr>
  </w:style>
  <w:style w:type="paragraph" w:customStyle="1" w:styleId="582">
    <w:name w:val="表题"/>
    <w:qFormat/>
    <w:uiPriority w:val="0"/>
    <w:pPr>
      <w:widowControl w:val="0"/>
      <w:adjustRightInd w:val="0"/>
      <w:snapToGrid w:val="0"/>
      <w:jc w:val="center"/>
    </w:pPr>
    <w:rPr>
      <w:rFonts w:ascii="Times New Roman" w:hAnsi="Times New Roman" w:eastAsia="黑体" w:cs="Times New Roman"/>
      <w:kern w:val="0"/>
      <w:sz w:val="24"/>
      <w:szCs w:val="20"/>
      <w:lang w:val="en-US" w:eastAsia="zh-CN" w:bidi="ar-SA"/>
    </w:rPr>
  </w:style>
  <w:style w:type="paragraph" w:customStyle="1" w:styleId="583">
    <w:name w:val="正文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4">
    <w:name w:val="正文1 Char"/>
    <w:basedOn w:val="1"/>
    <w:qFormat/>
    <w:uiPriority w:val="0"/>
    <w:pPr>
      <w:snapToGrid w:val="0"/>
      <w:spacing w:before="10" w:beforeLines="10" w:line="440" w:lineRule="atLeast"/>
      <w:ind w:firstLine="624"/>
    </w:pPr>
    <w:rPr>
      <w:rFonts w:ascii="Times New Roman" w:hAnsi="Times New Roman" w:eastAsia="宋体" w:cs="Times New Roman"/>
      <w:sz w:val="24"/>
      <w:szCs w:val="24"/>
    </w:rPr>
  </w:style>
  <w:style w:type="paragraph" w:customStyle="1" w:styleId="585">
    <w:name w:val="表格后文"/>
    <w:basedOn w:val="92"/>
    <w:qFormat/>
    <w:uiPriority w:val="0"/>
    <w:pPr>
      <w:spacing w:before="300"/>
    </w:pPr>
    <w:rPr>
      <w:rFonts w:ascii="Times New Roman" w:hAnsi="Times New Roman" w:cs="Times New Roman"/>
    </w:rPr>
  </w:style>
  <w:style w:type="paragraph" w:customStyle="1" w:styleId="586">
    <w:name w:val="标题004"/>
    <w:basedOn w:val="1"/>
    <w:qFormat/>
    <w:uiPriority w:val="0"/>
    <w:pPr>
      <w:spacing w:before="60" w:line="420" w:lineRule="exact"/>
      <w:outlineLvl w:val="3"/>
    </w:pPr>
    <w:rPr>
      <w:rFonts w:ascii="Times New Roman" w:hAnsi="Times New Roman" w:eastAsia="宋体" w:cs="Times New Roman"/>
      <w:b/>
      <w:sz w:val="24"/>
      <w:szCs w:val="20"/>
    </w:rPr>
  </w:style>
  <w:style w:type="paragraph" w:customStyle="1" w:styleId="587">
    <w:name w:val="报告表正文"/>
    <w:basedOn w:val="1"/>
    <w:qFormat/>
    <w:uiPriority w:val="0"/>
    <w:pPr>
      <w:adjustRightInd w:val="0"/>
      <w:spacing w:line="312" w:lineRule="auto"/>
      <w:ind w:left="113" w:right="113" w:firstLine="482"/>
      <w:jc w:val="left"/>
      <w:textAlignment w:val="baseline"/>
    </w:pPr>
    <w:rPr>
      <w:rFonts w:ascii="Times New Roman" w:hAnsi="Times New Roman" w:eastAsia="宋体" w:cs="Times New Roman"/>
      <w:kern w:val="0"/>
      <w:sz w:val="24"/>
      <w:szCs w:val="20"/>
    </w:rPr>
  </w:style>
  <w:style w:type="paragraph" w:customStyle="1" w:styleId="588">
    <w:name w:val="一级标题"/>
    <w:basedOn w:val="1"/>
    <w:qFormat/>
    <w:uiPriority w:val="0"/>
    <w:pPr>
      <w:spacing w:before="60" w:line="460" w:lineRule="exact"/>
      <w:outlineLvl w:val="0"/>
    </w:pPr>
    <w:rPr>
      <w:rFonts w:ascii="Times New Roman" w:hAnsi="Times New Roman" w:eastAsia="宋体" w:cs="Times New Roman"/>
      <w:b/>
      <w:bCs/>
      <w:sz w:val="32"/>
      <w:szCs w:val="24"/>
    </w:rPr>
  </w:style>
  <w:style w:type="paragraph" w:customStyle="1" w:styleId="589">
    <w:name w:val="报批稿"/>
    <w:basedOn w:val="1"/>
    <w:qFormat/>
    <w:uiPriority w:val="0"/>
    <w:pPr>
      <w:spacing w:line="600" w:lineRule="auto"/>
      <w:jc w:val="center"/>
    </w:pPr>
    <w:rPr>
      <w:rFonts w:ascii="Times New Roman" w:hAnsi="Times New Roman" w:eastAsia="隶书" w:cs="Times New Roman"/>
      <w:b/>
      <w:spacing w:val="30"/>
      <w:sz w:val="48"/>
      <w:szCs w:val="20"/>
    </w:rPr>
  </w:style>
  <w:style w:type="paragraph" w:customStyle="1" w:styleId="590">
    <w:name w:val="css"/>
    <w:basedOn w:val="1"/>
    <w:qFormat/>
    <w:uiPriority w:val="0"/>
    <w:pPr>
      <w:widowControl/>
      <w:spacing w:before="100" w:beforeAutospacing="1" w:after="100" w:afterAutospacing="1" w:line="300" w:lineRule="atLeast"/>
      <w:jc w:val="left"/>
    </w:pPr>
    <w:rPr>
      <w:rFonts w:ascii="Times New Roman" w:hAnsi="Times New Roman" w:eastAsia="宋体" w:cs="Times New Roman"/>
      <w:color w:val="000000"/>
      <w:kern w:val="0"/>
      <w:sz w:val="18"/>
      <w:szCs w:val="18"/>
    </w:rPr>
  </w:style>
  <w:style w:type="paragraph" w:customStyle="1" w:styleId="591">
    <w:name w:val="Char Char Char Char Char Char Char Char Char Char Char Char Char1 Char Char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592">
    <w:name w:val="样式 1级标题 + 行距: 单倍行距"/>
    <w:basedOn w:val="593"/>
    <w:qFormat/>
    <w:uiPriority w:val="0"/>
    <w:pPr>
      <w:spacing w:line="480" w:lineRule="exact"/>
    </w:pPr>
    <w:rPr>
      <w:rFonts w:ascii="Arial" w:hAnsi="Arial" w:cs="宋体"/>
      <w:bCs/>
      <w:color w:val="000000"/>
      <w:szCs w:val="20"/>
    </w:rPr>
  </w:style>
  <w:style w:type="paragraph" w:customStyle="1" w:styleId="593">
    <w:name w:val="1级标题"/>
    <w:basedOn w:val="1"/>
    <w:qFormat/>
    <w:uiPriority w:val="0"/>
    <w:pPr>
      <w:spacing w:before="60" w:line="460" w:lineRule="exact"/>
      <w:outlineLvl w:val="0"/>
    </w:pPr>
    <w:rPr>
      <w:rFonts w:ascii="Times New Roman" w:hAnsi="Times New Roman" w:eastAsia="宋体" w:cs="Times New Roman"/>
      <w:b/>
      <w:sz w:val="32"/>
      <w:szCs w:val="24"/>
    </w:rPr>
  </w:style>
  <w:style w:type="paragraph" w:customStyle="1" w:styleId="594">
    <w:name w:val="p0"/>
    <w:basedOn w:val="1"/>
    <w:qFormat/>
    <w:uiPriority w:val="0"/>
    <w:pPr>
      <w:widowControl/>
      <w:jc w:val="left"/>
    </w:pPr>
    <w:rPr>
      <w:rFonts w:ascii="Times New Roman" w:hAnsi="Times New Roman" w:eastAsia="宋体" w:cs="Times New Roman"/>
      <w:kern w:val="0"/>
      <w:szCs w:val="21"/>
    </w:rPr>
  </w:style>
  <w:style w:type="paragraph" w:customStyle="1" w:styleId="595">
    <w:name w:val="表文_L5"/>
    <w:qFormat/>
    <w:uiPriority w:val="0"/>
    <w:rPr>
      <w:rFonts w:ascii="Garamond" w:hAnsi="Garamond" w:eastAsia="楷体_GB2312" w:cs="Times New Roman"/>
      <w:bCs/>
      <w:kern w:val="2"/>
      <w:sz w:val="21"/>
      <w:szCs w:val="21"/>
      <w:lang w:val="en-US" w:eastAsia="zh-CN" w:bidi="ar-SA"/>
    </w:rPr>
  </w:style>
  <w:style w:type="paragraph" w:customStyle="1" w:styleId="596">
    <w:name w:val="Char Char Char2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597">
    <w:name w:val="Char Char2 Char Char Char Char Char Char Char Char Char1 Char Char Char Char Char Char1 Char Char Char Char Char Char Char Char 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598">
    <w:name w:val="Char Char Char Char Char Char Char Char Char Char Char Char Char1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599">
    <w:name w:val="字元 字元1"/>
    <w:basedOn w:val="1"/>
    <w:qFormat/>
    <w:uiPriority w:val="0"/>
    <w:pPr>
      <w:widowControl/>
      <w:jc w:val="left"/>
    </w:pPr>
    <w:rPr>
      <w:rFonts w:ascii="Times New Roman" w:hAnsi="Times New Roman" w:eastAsia="宋体" w:cs="Times New Roman"/>
      <w:kern w:val="0"/>
      <w:sz w:val="20"/>
      <w:szCs w:val="20"/>
    </w:rPr>
  </w:style>
  <w:style w:type="paragraph" w:customStyle="1" w:styleId="600">
    <w:name w:val="Char Char Char2 Char Char Char Char Char Char Char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601">
    <w:name w:val="Char Char Char4"/>
    <w:basedOn w:val="1"/>
    <w:qFormat/>
    <w:uiPriority w:val="0"/>
    <w:pPr>
      <w:spacing w:line="360" w:lineRule="auto"/>
      <w:ind w:firstLine="200" w:firstLineChars="200"/>
    </w:pPr>
    <w:rPr>
      <w:rFonts w:ascii="宋体" w:hAnsi="宋体" w:eastAsia="宋体" w:cs="宋体"/>
      <w:sz w:val="24"/>
      <w:szCs w:val="24"/>
    </w:rPr>
  </w:style>
  <w:style w:type="paragraph" w:customStyle="1" w:styleId="602">
    <w:name w:val="常用表格样式"/>
    <w:basedOn w:val="1"/>
    <w:next w:val="1"/>
    <w:link w:val="603"/>
    <w:qFormat/>
    <w:uiPriority w:val="0"/>
    <w:pPr>
      <w:adjustRightInd w:val="0"/>
      <w:snapToGrid w:val="0"/>
      <w:jc w:val="center"/>
    </w:pPr>
    <w:rPr>
      <w:rFonts w:ascii="宋体" w:hAnsi="宋体" w:eastAsia="宋体" w:cs="宋体"/>
      <w:color w:val="000000"/>
      <w:kern w:val="0"/>
      <w:sz w:val="18"/>
      <w:szCs w:val="18"/>
    </w:rPr>
  </w:style>
  <w:style w:type="character" w:customStyle="1" w:styleId="603">
    <w:name w:val="常用表格样式 Char1"/>
    <w:link w:val="602"/>
    <w:qFormat/>
    <w:uiPriority w:val="0"/>
    <w:rPr>
      <w:rFonts w:ascii="宋体" w:hAnsi="宋体" w:eastAsia="宋体" w:cs="宋体"/>
      <w:color w:val="000000"/>
      <w:kern w:val="0"/>
      <w:sz w:val="18"/>
      <w:szCs w:val="18"/>
    </w:rPr>
  </w:style>
  <w:style w:type="paragraph" w:customStyle="1" w:styleId="604">
    <w:name w:val="Char Char Char Char Char Char Char Char Char Char"/>
    <w:basedOn w:val="1"/>
    <w:qFormat/>
    <w:uiPriority w:val="0"/>
    <w:rPr>
      <w:rFonts w:ascii="Times New Roman" w:hAnsi="Times New Roman" w:eastAsia="宋体" w:cs="Times New Roman"/>
      <w:sz w:val="24"/>
      <w:szCs w:val="24"/>
    </w:rPr>
  </w:style>
  <w:style w:type="paragraph" w:customStyle="1" w:styleId="605">
    <w:name w:val="1"/>
    <w:basedOn w:val="1"/>
    <w:next w:val="26"/>
    <w:link w:val="606"/>
    <w:qFormat/>
    <w:uiPriority w:val="0"/>
    <w:rPr>
      <w:rFonts w:ascii="宋体" w:hAnsi="Courier New" w:eastAsia="宋体" w:cs="Courier New"/>
      <w:szCs w:val="21"/>
    </w:rPr>
  </w:style>
  <w:style w:type="character" w:customStyle="1" w:styleId="606">
    <w:name w:val="1 Char"/>
    <w:link w:val="605"/>
    <w:qFormat/>
    <w:uiPriority w:val="0"/>
    <w:rPr>
      <w:rFonts w:ascii="宋体" w:hAnsi="Courier New" w:eastAsia="宋体" w:cs="Courier New"/>
      <w:szCs w:val="21"/>
    </w:rPr>
  </w:style>
  <w:style w:type="paragraph" w:customStyle="1" w:styleId="607">
    <w:name w:val="正文my"/>
    <w:basedOn w:val="21"/>
    <w:qFormat/>
    <w:uiPriority w:val="0"/>
    <w:pPr>
      <w:spacing w:before="60" w:after="0" w:line="480" w:lineRule="exact"/>
      <w:ind w:left="0" w:leftChars="0" w:firstLine="200" w:firstLineChars="200"/>
    </w:pPr>
    <w:rPr>
      <w:rFonts w:ascii="Times New Roman"/>
      <w:szCs w:val="24"/>
    </w:rPr>
  </w:style>
  <w:style w:type="paragraph" w:customStyle="1" w:styleId="608">
    <w:name w:val="样式 正文1 + 段前: 0.1 行 Char"/>
    <w:basedOn w:val="1"/>
    <w:qFormat/>
    <w:uiPriority w:val="0"/>
    <w:pPr>
      <w:snapToGrid w:val="0"/>
      <w:spacing w:before="31" w:beforeLines="10" w:line="440" w:lineRule="atLeast"/>
      <w:ind w:firstLine="624"/>
    </w:pPr>
    <w:rPr>
      <w:rFonts w:ascii="Times New Roman" w:hAnsi="Times New Roman" w:eastAsia="宋体" w:cs="Times New Roman"/>
      <w:sz w:val="24"/>
      <w:szCs w:val="20"/>
    </w:rPr>
  </w:style>
  <w:style w:type="paragraph" w:customStyle="1" w:styleId="609">
    <w:name w:val="标题一"/>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610">
    <w:name w:val="表头"/>
    <w:basedOn w:val="1"/>
    <w:qFormat/>
    <w:uiPriority w:val="0"/>
    <w:pPr>
      <w:spacing w:line="360" w:lineRule="auto"/>
      <w:jc w:val="center"/>
    </w:pPr>
    <w:rPr>
      <w:rFonts w:ascii="Arial" w:hAnsi="Arial" w:eastAsia="黑体" w:cs="Times New Roman"/>
      <w:b/>
      <w:szCs w:val="21"/>
    </w:rPr>
  </w:style>
  <w:style w:type="paragraph" w:customStyle="1" w:styleId="611">
    <w:name w:val="四级标题"/>
    <w:basedOn w:val="1"/>
    <w:qFormat/>
    <w:uiPriority w:val="0"/>
    <w:pPr>
      <w:spacing w:before="60" w:line="460" w:lineRule="exact"/>
    </w:pPr>
    <w:rPr>
      <w:rFonts w:ascii="Times New Roman" w:hAnsi="Times New Roman" w:eastAsia="宋体" w:cs="Times New Roman"/>
      <w:sz w:val="24"/>
      <w:szCs w:val="24"/>
    </w:rPr>
  </w:style>
  <w:style w:type="paragraph" w:customStyle="1" w:styleId="612">
    <w:name w:val="样式 正文文字 + 首行缩进:  2 字符"/>
    <w:basedOn w:val="20"/>
    <w:qFormat/>
    <w:uiPriority w:val="0"/>
    <w:rPr>
      <w:szCs w:val="24"/>
    </w:rPr>
  </w:style>
  <w:style w:type="paragraph" w:customStyle="1" w:styleId="613">
    <w:name w:val="Char Char Char Char Char Char Char Char Char Char Char Char Char1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14">
    <w:name w:val="font9"/>
    <w:basedOn w:val="1"/>
    <w:qFormat/>
    <w:uiPriority w:val="0"/>
    <w:pPr>
      <w:widowControl/>
      <w:spacing w:before="100" w:beforeAutospacing="1" w:after="100" w:afterAutospacing="1"/>
      <w:jc w:val="left"/>
    </w:pPr>
    <w:rPr>
      <w:rFonts w:ascii="Times New Roman" w:hAnsi="Times New Roman" w:eastAsia="Arial Unicode MS" w:cs="Times New Roman"/>
      <w:kern w:val="0"/>
      <w:sz w:val="18"/>
      <w:szCs w:val="18"/>
    </w:rPr>
  </w:style>
  <w:style w:type="paragraph" w:customStyle="1" w:styleId="615">
    <w:name w:val="图表标题"/>
    <w:basedOn w:val="489"/>
    <w:qFormat/>
    <w:uiPriority w:val="0"/>
    <w:pPr>
      <w:ind w:firstLine="199" w:firstLineChars="199"/>
      <w:jc w:val="center"/>
    </w:pPr>
    <w:rPr>
      <w:b/>
      <w:bCs/>
      <w:sz w:val="21"/>
      <w:szCs w:val="21"/>
    </w:rPr>
  </w:style>
  <w:style w:type="paragraph" w:customStyle="1" w:styleId="616">
    <w:name w:val="xl39"/>
    <w:basedOn w:val="1"/>
    <w:qFormat/>
    <w:uiPriority w:val="0"/>
    <w:pPr>
      <w:widowControl/>
      <w:spacing w:before="100" w:beforeAutospacing="1" w:after="100" w:afterAutospacing="1"/>
      <w:jc w:val="left"/>
    </w:pPr>
    <w:rPr>
      <w:rFonts w:hint="eastAsia" w:ascii="Arial Unicode MS" w:hAnsi="Arial Unicode MS" w:eastAsia="Arial Unicode MS" w:cs="Times New Roman"/>
      <w:szCs w:val="20"/>
    </w:rPr>
  </w:style>
  <w:style w:type="paragraph" w:customStyle="1" w:styleId="617">
    <w:name w:val="样式 样式 正文1 + 段前: 0.1 行 + 段前: 0.1 行"/>
    <w:basedOn w:val="1"/>
    <w:qFormat/>
    <w:uiPriority w:val="0"/>
    <w:pPr>
      <w:snapToGrid w:val="0"/>
      <w:spacing w:before="24" w:beforeLines="10" w:line="440" w:lineRule="atLeast"/>
      <w:ind w:firstLine="567"/>
    </w:pPr>
    <w:rPr>
      <w:rFonts w:ascii="Times New Roman" w:hAnsi="Times New Roman" w:eastAsia="宋体" w:cs="Times New Roman"/>
      <w:sz w:val="24"/>
      <w:szCs w:val="20"/>
    </w:rPr>
  </w:style>
  <w:style w:type="paragraph" w:customStyle="1" w:styleId="618">
    <w:name w:val="样式 (中文) 仿宋_GB2312 四号 行距: 固定值 22 磅"/>
    <w:basedOn w:val="1"/>
    <w:qFormat/>
    <w:uiPriority w:val="0"/>
    <w:pPr>
      <w:spacing w:line="440" w:lineRule="exact"/>
    </w:pPr>
    <w:rPr>
      <w:rFonts w:ascii="Times New Roman" w:hAnsi="Times New Roman" w:eastAsia="仿宋_GB2312" w:cs="Times New Roman"/>
      <w:sz w:val="24"/>
      <w:szCs w:val="20"/>
    </w:rPr>
  </w:style>
  <w:style w:type="paragraph" w:customStyle="1" w:styleId="619">
    <w:name w:val="Char Char Char1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620">
    <w:name w:val="表中正文"/>
    <w:basedOn w:val="1"/>
    <w:semiHidden/>
    <w:qFormat/>
    <w:uiPriority w:val="0"/>
    <w:pPr>
      <w:tabs>
        <w:tab w:val="left" w:pos="958"/>
        <w:tab w:val="left" w:pos="7320"/>
        <w:tab w:val="left" w:pos="8160"/>
      </w:tabs>
      <w:adjustRightInd w:val="0"/>
      <w:spacing w:line="360" w:lineRule="atLeast"/>
      <w:ind w:right="113"/>
      <w:jc w:val="center"/>
      <w:textAlignment w:val="baseline"/>
    </w:pPr>
    <w:rPr>
      <w:rFonts w:ascii="宋体" w:hAnsi="宋体" w:eastAsia="宋体" w:cs="Times New Roman"/>
      <w:spacing w:val="6"/>
      <w:kern w:val="20"/>
      <w:szCs w:val="24"/>
    </w:rPr>
  </w:style>
  <w:style w:type="paragraph" w:customStyle="1" w:styleId="621">
    <w:name w:val="单元格"/>
    <w:basedOn w:val="1"/>
    <w:semiHidden/>
    <w:qFormat/>
    <w:uiPriority w:val="0"/>
    <w:pPr>
      <w:jc w:val="center"/>
    </w:pPr>
    <w:rPr>
      <w:rFonts w:ascii="楷体_GB2312" w:hAnsi="Times New Roman" w:eastAsia="楷体_GB2312" w:cs="Times New Roman"/>
      <w:szCs w:val="20"/>
    </w:rPr>
  </w:style>
  <w:style w:type="paragraph" w:customStyle="1" w:styleId="622">
    <w:name w:val="Char Char Char Char Char Char Char Char Char Char Char Char Char Char"/>
    <w:basedOn w:val="1"/>
    <w:qFormat/>
    <w:uiPriority w:val="0"/>
    <w:rPr>
      <w:rFonts w:ascii="Times New Roman" w:hAnsi="Times New Roman" w:eastAsia="宋体" w:cs="Times New Roman"/>
      <w:sz w:val="24"/>
      <w:szCs w:val="24"/>
    </w:rPr>
  </w:style>
  <w:style w:type="paragraph" w:customStyle="1" w:styleId="623">
    <w:name w:val="样式 首行缩进:  0.77 厘米 段前: 7.8 磅 段后: 0.5 行"/>
    <w:basedOn w:val="1"/>
    <w:qFormat/>
    <w:uiPriority w:val="0"/>
    <w:pPr>
      <w:snapToGrid w:val="0"/>
      <w:spacing w:after="120" w:line="480" w:lineRule="exact"/>
      <w:ind w:firstLine="437"/>
    </w:pPr>
    <w:rPr>
      <w:rFonts w:ascii="Times New Roman" w:hAnsi="Times New Roman" w:eastAsia="仿宋_GB2312" w:cs="Times New Roman"/>
      <w:sz w:val="28"/>
      <w:szCs w:val="20"/>
    </w:rPr>
  </w:style>
  <w:style w:type="paragraph" w:customStyle="1" w:styleId="624">
    <w:name w:val="char"/>
    <w:basedOn w:val="1"/>
    <w:qFormat/>
    <w:uiPriority w:val="0"/>
    <w:pPr>
      <w:widowControl/>
      <w:spacing w:after="160" w:line="240" w:lineRule="exact"/>
      <w:jc w:val="left"/>
    </w:pPr>
    <w:rPr>
      <w:rFonts w:ascii="Verdana" w:hAnsi="Verdana" w:eastAsia="仿宋_GB2312" w:cs="”“Times New Roman”“"/>
      <w:kern w:val="0"/>
      <w:sz w:val="36"/>
      <w:szCs w:val="36"/>
      <w:lang w:eastAsia="en-US"/>
    </w:rPr>
  </w:style>
  <w:style w:type="paragraph" w:customStyle="1" w:styleId="625">
    <w:name w:val="Char Char Char2 Char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626">
    <w:name w:val="标题5"/>
    <w:next w:val="6"/>
    <w:qFormat/>
    <w:uiPriority w:val="0"/>
    <w:pPr>
      <w:spacing w:line="360" w:lineRule="auto"/>
    </w:pPr>
    <w:rPr>
      <w:rFonts w:ascii="宋体" w:hAnsi="宋体" w:eastAsia="宋体" w:cs="Times New Roman"/>
      <w:b/>
      <w:bCs/>
      <w:kern w:val="2"/>
      <w:sz w:val="24"/>
      <w:szCs w:val="24"/>
      <w:lang w:val="en-US" w:eastAsia="zh-CN" w:bidi="ar-SA"/>
    </w:rPr>
  </w:style>
  <w:style w:type="paragraph" w:customStyle="1" w:styleId="627">
    <w:name w:val="表中正文居中"/>
    <w:semiHidden/>
    <w:qFormat/>
    <w:uiPriority w:val="0"/>
    <w:pPr>
      <w:spacing w:before="120" w:after="120" w:line="240" w:lineRule="atLeast"/>
      <w:jc w:val="center"/>
    </w:pPr>
    <w:rPr>
      <w:rFonts w:ascii="宋体" w:hAnsi="Times New Roman" w:eastAsia="宋体" w:cs="Times New Roman"/>
      <w:kern w:val="2"/>
      <w:sz w:val="21"/>
      <w:szCs w:val="20"/>
      <w:lang w:val="en-US" w:eastAsia="zh-CN" w:bidi="ar-SA"/>
    </w:rPr>
  </w:style>
  <w:style w:type="paragraph" w:customStyle="1" w:styleId="628">
    <w:name w:val="3级标题-"/>
    <w:basedOn w:val="233"/>
    <w:qFormat/>
    <w:uiPriority w:val="0"/>
    <w:rPr>
      <w:snapToGrid w:val="0"/>
      <w:color w:val="000000"/>
      <w:kern w:val="0"/>
      <w:szCs w:val="24"/>
    </w:rPr>
  </w:style>
  <w:style w:type="paragraph" w:customStyle="1" w:styleId="629">
    <w:name w:val="报告表格"/>
    <w:basedOn w:val="1"/>
    <w:qFormat/>
    <w:uiPriority w:val="0"/>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paragraph" w:customStyle="1" w:styleId="630">
    <w:name w:val="封面标准文稿编辑信息"/>
    <w:qFormat/>
    <w:uiPriority w:val="0"/>
    <w:pPr>
      <w:tabs>
        <w:tab w:val="left" w:pos="4500"/>
      </w:tabs>
      <w:spacing w:before="180" w:line="180" w:lineRule="exact"/>
      <w:ind w:firstLine="231"/>
      <w:jc w:val="center"/>
    </w:pPr>
    <w:rPr>
      <w:rFonts w:ascii="宋体" w:hAnsi="Times New Roman" w:eastAsia="宋体" w:cs="Times New Roman"/>
      <w:kern w:val="0"/>
      <w:sz w:val="21"/>
      <w:szCs w:val="20"/>
      <w:lang w:val="en-US" w:eastAsia="zh-CN" w:bidi="ar-SA"/>
    </w:rPr>
  </w:style>
  <w:style w:type="paragraph" w:customStyle="1" w:styleId="631">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632">
    <w:name w:val="样式 正文格式 + 首行缩进:  2 字符"/>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633">
    <w:name w:val="正文31"/>
    <w:basedOn w:val="1"/>
    <w:semiHidden/>
    <w:qFormat/>
    <w:uiPriority w:val="0"/>
    <w:pPr>
      <w:keepNext/>
      <w:adjustRightInd w:val="0"/>
      <w:jc w:val="center"/>
    </w:pPr>
    <w:rPr>
      <w:rFonts w:ascii="Times New Roman" w:hAnsi="Times New Roman" w:eastAsia="宋体" w:cs="Times New Roman"/>
      <w:kern w:val="0"/>
      <w:sz w:val="28"/>
      <w:szCs w:val="20"/>
    </w:rPr>
  </w:style>
  <w:style w:type="paragraph" w:customStyle="1" w:styleId="63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635">
    <w:name w:val="表内字"/>
    <w:qFormat/>
    <w:uiPriority w:val="0"/>
    <w:pPr>
      <w:tabs>
        <w:tab w:val="left" w:pos="360"/>
      </w:tabs>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636">
    <w:name w:val="c"/>
    <w:qFormat/>
    <w:uiPriority w:val="0"/>
    <w:pPr>
      <w:widowControl w:val="0"/>
      <w:autoSpaceDE w:val="0"/>
      <w:autoSpaceDN w:val="0"/>
      <w:adjustRightInd w:val="0"/>
      <w:jc w:val="both"/>
    </w:pPr>
    <w:rPr>
      <w:rFonts w:hint="eastAsia" w:ascii="Arial" w:hAnsi="Arial" w:eastAsia="宋体" w:cs="Times New Roman"/>
      <w:kern w:val="0"/>
      <w:sz w:val="24"/>
      <w:szCs w:val="20"/>
      <w:lang w:val="en-US" w:eastAsia="zh-CN" w:bidi="ar-SA"/>
    </w:rPr>
  </w:style>
  <w:style w:type="paragraph" w:customStyle="1" w:styleId="637">
    <w:name w:val="样式 普通(网站) + 首行缩进:  0.74 厘米 行距: 1.5 倍行距"/>
    <w:basedOn w:val="47"/>
    <w:qFormat/>
    <w:uiPriority w:val="0"/>
    <w:pPr>
      <w:spacing w:line="360" w:lineRule="auto"/>
      <w:ind w:firstLine="420"/>
    </w:pPr>
    <w:rPr>
      <w:rFonts w:hint="eastAsia" w:cs="宋体"/>
      <w:color w:val="000000"/>
      <w:kern w:val="0"/>
      <w:szCs w:val="20"/>
    </w:rPr>
  </w:style>
  <w:style w:type="paragraph" w:customStyle="1" w:styleId="638">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paragraph" w:customStyle="1" w:styleId="639">
    <w:name w:val="标1"/>
    <w:basedOn w:val="1"/>
    <w:qFormat/>
    <w:uiPriority w:val="0"/>
    <w:pPr>
      <w:spacing w:before="60" w:line="460" w:lineRule="exact"/>
      <w:outlineLvl w:val="0"/>
    </w:pPr>
    <w:rPr>
      <w:rFonts w:ascii="Times New Roman" w:hAnsi="Times New Roman" w:eastAsia="宋体" w:cs="Times New Roman"/>
      <w:b/>
      <w:sz w:val="32"/>
      <w:szCs w:val="24"/>
    </w:rPr>
  </w:style>
  <w:style w:type="paragraph" w:customStyle="1" w:styleId="640">
    <w:name w:val="xl22"/>
    <w:basedOn w:val="1"/>
    <w:qFormat/>
    <w:uiPriority w:val="0"/>
    <w:pPr>
      <w:widowControl/>
      <w:spacing w:before="100" w:after="100"/>
      <w:jc w:val="center"/>
    </w:pPr>
    <w:rPr>
      <w:rFonts w:ascii="Times New Roman" w:hAnsi="Times New Roman" w:eastAsia="宋体" w:cs="Times New Roman"/>
      <w:kern w:val="0"/>
      <w:sz w:val="24"/>
      <w:szCs w:val="24"/>
    </w:rPr>
  </w:style>
  <w:style w:type="paragraph" w:customStyle="1" w:styleId="641">
    <w:name w:val="Char Char Char2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642">
    <w:name w:val="假设列表"/>
    <w:semiHidden/>
    <w:qFormat/>
    <w:uiPriority w:val="0"/>
    <w:pPr>
      <w:tabs>
        <w:tab w:val="left" w:pos="1200"/>
      </w:tabs>
      <w:spacing w:before="156"/>
      <w:ind w:left="1200" w:hanging="720"/>
    </w:pPr>
    <w:rPr>
      <w:rFonts w:ascii="仿宋_GB2312" w:hAnsi="Times New Roman" w:eastAsia="仿宋_GB2312" w:cs="Times New Roman"/>
      <w:kern w:val="0"/>
      <w:sz w:val="24"/>
      <w:szCs w:val="20"/>
      <w:lang w:val="en-US" w:eastAsia="zh-CN" w:bidi="ar-SA"/>
    </w:rPr>
  </w:style>
  <w:style w:type="paragraph" w:customStyle="1" w:styleId="643">
    <w:name w:val="Char Char Char Char Char Char Char Char Char Char Char Char Char1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644">
    <w:name w:val="样式 4级标题 + 首行缩进:  2 字符"/>
    <w:basedOn w:val="1"/>
    <w:qFormat/>
    <w:uiPriority w:val="0"/>
    <w:pPr>
      <w:spacing w:before="60" w:line="460" w:lineRule="exact"/>
      <w:ind w:firstLine="480"/>
    </w:pPr>
    <w:rPr>
      <w:rFonts w:ascii="Arial" w:hAnsi="Arial" w:eastAsia="宋体" w:cs="宋体"/>
      <w:b/>
      <w:sz w:val="24"/>
      <w:szCs w:val="20"/>
    </w:rPr>
  </w:style>
  <w:style w:type="paragraph" w:customStyle="1" w:styleId="645">
    <w:name w:val="文字"/>
    <w:basedOn w:val="1"/>
    <w:qFormat/>
    <w:uiPriority w:val="0"/>
    <w:pPr>
      <w:widowControl/>
      <w:spacing w:after="156" w:afterLines="50" w:line="360" w:lineRule="auto"/>
      <w:ind w:firstLine="420"/>
    </w:pPr>
    <w:rPr>
      <w:rFonts w:ascii="Times New Roman" w:hAnsi="Times New Roman" w:eastAsia="宋体" w:cs="Times New Roman"/>
      <w:kern w:val="0"/>
      <w:sz w:val="24"/>
      <w:szCs w:val="24"/>
    </w:rPr>
  </w:style>
  <w:style w:type="paragraph" w:customStyle="1" w:styleId="646">
    <w:name w:val="小四表格"/>
    <w:basedOn w:val="1"/>
    <w:qFormat/>
    <w:uiPriority w:val="0"/>
    <w:pPr>
      <w:snapToGrid w:val="0"/>
      <w:jc w:val="center"/>
    </w:pPr>
    <w:rPr>
      <w:rFonts w:ascii="Times New Roman" w:hAnsi="Times New Roman" w:eastAsia="宋体" w:cs="Times New Roman"/>
      <w:kern w:val="0"/>
      <w:sz w:val="24"/>
      <w:szCs w:val="20"/>
    </w:rPr>
  </w:style>
  <w:style w:type="paragraph" w:customStyle="1" w:styleId="647">
    <w:name w:val="正文a"/>
    <w:basedOn w:val="578"/>
    <w:qFormat/>
    <w:uiPriority w:val="0"/>
    <w:pPr>
      <w:ind w:firstLine="0" w:firstLineChars="0"/>
    </w:pPr>
  </w:style>
  <w:style w:type="paragraph" w:customStyle="1" w:styleId="648">
    <w:name w:val="样式 题注 + 小四"/>
    <w:basedOn w:val="16"/>
    <w:qFormat/>
    <w:uiPriority w:val="0"/>
    <w:pPr>
      <w:keepNext/>
      <w:tabs>
        <w:tab w:val="left" w:pos="1727"/>
        <w:tab w:val="left" w:pos="1884"/>
      </w:tabs>
      <w:spacing w:line="360" w:lineRule="auto"/>
    </w:pPr>
    <w:rPr>
      <w:rFonts w:hint="eastAsia" w:ascii="Times New Roman" w:hAnsi="Times New Roman" w:cs="Times New Roman"/>
      <w:sz w:val="24"/>
    </w:rPr>
  </w:style>
  <w:style w:type="paragraph" w:customStyle="1" w:styleId="649">
    <w:name w:val="Char Char Char Char Char Char Char Char Char Char Char Char Char1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50">
    <w:name w:val="样式2"/>
    <w:basedOn w:val="34"/>
    <w:qFormat/>
    <w:uiPriority w:val="0"/>
    <w:pPr>
      <w:pBdr>
        <w:top w:val="single" w:color="auto" w:sz="4" w:space="0"/>
      </w:pBdr>
    </w:pPr>
    <w:rPr>
      <w:rFonts w:ascii="Times New Roman" w:hAnsi="Times New Roman" w:eastAsia="宋体" w:cs="Times New Roman"/>
      <w:lang w:val="zh-CN" w:eastAsia="zh-CN"/>
    </w:rPr>
  </w:style>
  <w:style w:type="paragraph" w:customStyle="1" w:styleId="651">
    <w:name w:val="font5"/>
    <w:basedOn w:val="1"/>
    <w:qFormat/>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652">
    <w:name w:val="Char Char Char Char Char Char Char Char Char Char Char Char Char Char Char Char Char Char Char Char Char Char Char Char Char1"/>
    <w:basedOn w:val="1"/>
    <w:next w:val="1"/>
    <w:qFormat/>
    <w:uiPriority w:val="0"/>
    <w:rPr>
      <w:rFonts w:ascii="Times New Roman" w:hAnsi="Times New Roman" w:eastAsia="宋体" w:cs="Times New Roman"/>
      <w:szCs w:val="24"/>
    </w:rPr>
  </w:style>
  <w:style w:type="paragraph" w:customStyle="1" w:styleId="653">
    <w:name w:val="Char Char Char Char Char Char Char Char Char Char Char Char Char1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54">
    <w:name w:val="基准页眉样式"/>
    <w:basedOn w:val="20"/>
    <w:qFormat/>
    <w:uiPriority w:val="0"/>
    <w:pPr>
      <w:spacing w:after="0" w:line="320" w:lineRule="exact"/>
      <w:jc w:val="center"/>
    </w:pPr>
    <w:rPr>
      <w:color w:val="000000"/>
      <w:szCs w:val="21"/>
    </w:rPr>
  </w:style>
  <w:style w:type="paragraph" w:customStyle="1" w:styleId="655">
    <w:name w:val="Char Char Char1 Char"/>
    <w:basedOn w:val="1"/>
    <w:qFormat/>
    <w:uiPriority w:val="0"/>
    <w:rPr>
      <w:rFonts w:ascii="Times New Roman" w:hAnsi="Times New Roman" w:eastAsia="宋体" w:cs="Times New Roman"/>
      <w:szCs w:val="24"/>
    </w:rPr>
  </w:style>
  <w:style w:type="paragraph" w:customStyle="1" w:styleId="656">
    <w:name w:val="正文001 Char Char Char"/>
    <w:basedOn w:val="1"/>
    <w:qFormat/>
    <w:uiPriority w:val="0"/>
    <w:pPr>
      <w:spacing w:line="500" w:lineRule="atLeast"/>
      <w:ind w:firstLine="200" w:firstLineChars="200"/>
    </w:pPr>
    <w:rPr>
      <w:rFonts w:ascii="Times New Roman" w:hAnsi="Times New Roman" w:eastAsia="宋体" w:cs="Times New Roman"/>
      <w:color w:val="000000"/>
      <w:sz w:val="24"/>
      <w:szCs w:val="24"/>
    </w:rPr>
  </w:style>
  <w:style w:type="paragraph" w:customStyle="1" w:styleId="657">
    <w:name w:val="In Table (II)"/>
    <w:basedOn w:val="543"/>
    <w:qFormat/>
    <w:uiPriority w:val="0"/>
    <w:pPr>
      <w:spacing w:before="60" w:after="60"/>
      <w:ind w:left="52" w:leftChars="20" w:right="-588"/>
      <w:jc w:val="both"/>
    </w:pPr>
    <w:rPr>
      <w:sz w:val="18"/>
    </w:rPr>
  </w:style>
  <w:style w:type="paragraph" w:customStyle="1" w:styleId="658">
    <w:name w:val="Char Char Char2 Char Char Char Char Char Char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659">
    <w:name w:val="框图"/>
    <w:basedOn w:val="1"/>
    <w:qFormat/>
    <w:uiPriority w:val="0"/>
    <w:pPr>
      <w:jc w:val="center"/>
    </w:pPr>
    <w:rPr>
      <w:rFonts w:ascii="Times New Roman" w:hAnsi="Times New Roman" w:eastAsia="宋体" w:cs="Times New Roman"/>
      <w:color w:val="000000"/>
      <w:sz w:val="20"/>
      <w:szCs w:val="21"/>
    </w:rPr>
  </w:style>
  <w:style w:type="paragraph" w:customStyle="1" w:styleId="660">
    <w:name w:val="表文左对齐"/>
    <w:basedOn w:val="468"/>
    <w:semiHidden/>
    <w:qFormat/>
    <w:uiPriority w:val="0"/>
    <w:pPr>
      <w:adjustRightInd w:val="0"/>
      <w:spacing w:after="0"/>
      <w:jc w:val="left"/>
    </w:pPr>
    <w:rPr>
      <w:rFonts w:ascii="Times" w:hAnsi="Times" w:eastAsia="仿宋_GB2312"/>
      <w:sz w:val="18"/>
    </w:rPr>
  </w:style>
  <w:style w:type="paragraph" w:customStyle="1" w:styleId="661">
    <w:name w:val="表格_表头"/>
    <w:next w:val="1"/>
    <w:qFormat/>
    <w:uiPriority w:val="0"/>
    <w:pPr>
      <w:widowControl w:val="0"/>
      <w:spacing w:line="258" w:lineRule="atLeast"/>
      <w:jc w:val="center"/>
    </w:pPr>
    <w:rPr>
      <w:rFonts w:ascii="Times New Roman" w:hAnsi="Times New Roman" w:eastAsia="宋体" w:cs="Times New Roman"/>
      <w:b/>
      <w:bCs/>
      <w:kern w:val="2"/>
      <w:sz w:val="21"/>
      <w:szCs w:val="16"/>
      <w:lang w:val="en-US" w:eastAsia="zh-CN" w:bidi="ar-SA"/>
    </w:rPr>
  </w:style>
  <w:style w:type="paragraph" w:customStyle="1" w:styleId="662">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663">
    <w:name w:val="表号"/>
    <w:basedOn w:val="635"/>
    <w:next w:val="635"/>
    <w:qFormat/>
    <w:uiPriority w:val="0"/>
    <w:pPr>
      <w:tabs>
        <w:tab w:val="left" w:pos="420"/>
        <w:tab w:val="clear" w:pos="360"/>
      </w:tabs>
      <w:spacing w:before="120" w:after="120" w:line="240" w:lineRule="atLeast"/>
      <w:ind w:left="420" w:hanging="420"/>
    </w:pPr>
    <w:rPr>
      <w:rFonts w:ascii="黑体" w:eastAsia="黑体"/>
      <w:b/>
      <w:color w:val="auto"/>
      <w:sz w:val="28"/>
    </w:rPr>
  </w:style>
  <w:style w:type="paragraph" w:customStyle="1" w:styleId="664">
    <w:name w:val="样式 (中文) 仿宋_GB2312 四号 黑色"/>
    <w:basedOn w:val="1"/>
    <w:qFormat/>
    <w:uiPriority w:val="0"/>
    <w:pPr>
      <w:spacing w:line="580" w:lineRule="exact"/>
      <w:ind w:left="178" w:leftChars="85" w:firstLine="496" w:firstLineChars="177"/>
    </w:pPr>
    <w:rPr>
      <w:rFonts w:ascii="Times New Roman" w:hAnsi="Times New Roman" w:eastAsia="仿宋_GB2312" w:cs="宋体"/>
      <w:color w:val="000000"/>
      <w:sz w:val="28"/>
      <w:szCs w:val="20"/>
    </w:rPr>
  </w:style>
  <w:style w:type="paragraph" w:customStyle="1" w:styleId="665">
    <w:name w:val="正文11"/>
    <w:basedOn w:val="1"/>
    <w:qFormat/>
    <w:uiPriority w:val="0"/>
    <w:pPr>
      <w:adjustRightInd w:val="0"/>
      <w:snapToGrid w:val="0"/>
      <w:spacing w:line="500" w:lineRule="atLeast"/>
      <w:ind w:firstLine="567"/>
    </w:pPr>
    <w:rPr>
      <w:rFonts w:ascii="Times New Roman" w:hAnsi="Times New Roman" w:eastAsia="宋体" w:cs="Times New Roman"/>
      <w:sz w:val="28"/>
      <w:szCs w:val="20"/>
    </w:rPr>
  </w:style>
  <w:style w:type="paragraph" w:customStyle="1" w:styleId="666">
    <w:name w:val="Char Char Char2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667">
    <w:name w:val="条题"/>
    <w:basedOn w:val="1"/>
    <w:qFormat/>
    <w:uiPriority w:val="0"/>
    <w:pPr>
      <w:tabs>
        <w:tab w:val="left" w:pos="420"/>
        <w:tab w:val="left" w:pos="1640"/>
      </w:tabs>
      <w:spacing w:line="460" w:lineRule="exact"/>
      <w:ind w:left="420" w:hanging="420"/>
    </w:pPr>
    <w:rPr>
      <w:rFonts w:ascii="Times New Roman" w:hAnsi="Times New Roman" w:eastAsia="幼圆" w:cs="Times New Roman"/>
      <w:sz w:val="28"/>
      <w:szCs w:val="24"/>
    </w:rPr>
  </w:style>
  <w:style w:type="paragraph" w:customStyle="1" w:styleId="668">
    <w:name w:val="Char Char Char Char Char Char Char Char Char Char Char Char Char2"/>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69">
    <w:name w:val="Report List 2"/>
    <w:basedOn w:val="1"/>
    <w:qFormat/>
    <w:uiPriority w:val="0"/>
    <w:pPr>
      <w:widowControl/>
      <w:tabs>
        <w:tab w:val="left" w:pos="360"/>
        <w:tab w:val="left" w:pos="900"/>
      </w:tabs>
      <w:ind w:left="900" w:hanging="420"/>
      <w:jc w:val="left"/>
    </w:pPr>
    <w:rPr>
      <w:rFonts w:ascii="Times New Roman" w:hAnsi="Times New Roman" w:eastAsia="Times New Roman" w:cs="Times New Roman"/>
      <w:kern w:val="0"/>
      <w:sz w:val="22"/>
      <w:szCs w:val="20"/>
      <w:lang w:val="en-GB" w:eastAsia="en-US"/>
    </w:rPr>
  </w:style>
  <w:style w:type="paragraph" w:customStyle="1" w:styleId="670">
    <w:name w:val="样式 正文1 + 段前: 0.1 行1"/>
    <w:basedOn w:val="1"/>
    <w:qFormat/>
    <w:uiPriority w:val="0"/>
    <w:pPr>
      <w:snapToGrid w:val="0"/>
      <w:spacing w:before="10" w:beforeLines="10" w:line="440" w:lineRule="atLeast"/>
      <w:ind w:firstLine="510"/>
    </w:pPr>
    <w:rPr>
      <w:rFonts w:ascii="Times New Roman" w:hAnsi="Times New Roman" w:eastAsia="宋体" w:cs="宋体"/>
      <w:sz w:val="24"/>
      <w:szCs w:val="20"/>
    </w:rPr>
  </w:style>
  <w:style w:type="paragraph" w:customStyle="1" w:styleId="671">
    <w:name w:val="二级无标题条"/>
    <w:basedOn w:val="1"/>
    <w:qFormat/>
    <w:uiPriority w:val="0"/>
    <w:rPr>
      <w:rFonts w:ascii="Times New Roman" w:hAnsi="Times New Roman" w:eastAsia="宋体" w:cs="Times New Roman"/>
      <w:szCs w:val="20"/>
    </w:rPr>
  </w:style>
  <w:style w:type="paragraph" w:customStyle="1" w:styleId="672">
    <w:name w:val="标题11"/>
    <w:basedOn w:val="1"/>
    <w:next w:val="3"/>
    <w:qFormat/>
    <w:uiPriority w:val="0"/>
    <w:pPr>
      <w:spacing w:before="240" w:after="240"/>
      <w:jc w:val="center"/>
    </w:pPr>
    <w:rPr>
      <w:rFonts w:ascii="Times New Roman" w:hAnsi="Times New Roman" w:eastAsia="宋体" w:cs="Times New Roman"/>
      <w:b/>
      <w:sz w:val="32"/>
      <w:szCs w:val="20"/>
    </w:rPr>
  </w:style>
  <w:style w:type="paragraph" w:customStyle="1" w:styleId="673">
    <w:name w:val="xl37"/>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674">
    <w:name w:val="Body Text 21"/>
    <w:basedOn w:val="1"/>
    <w:qFormat/>
    <w:uiPriority w:val="0"/>
    <w:pPr>
      <w:adjustRightInd w:val="0"/>
      <w:spacing w:line="312" w:lineRule="atLeast"/>
      <w:jc w:val="center"/>
    </w:pPr>
    <w:rPr>
      <w:rFonts w:ascii="Times New Roman" w:hAnsi="Times New Roman" w:eastAsia="楷体_GB2312" w:cs="Times New Roman"/>
      <w:kern w:val="0"/>
      <w:sz w:val="28"/>
      <w:szCs w:val="20"/>
    </w:rPr>
  </w:style>
  <w:style w:type="paragraph" w:customStyle="1" w:styleId="675">
    <w:name w:val="Char Char Char Char Char Char Char11"/>
    <w:basedOn w:val="1"/>
    <w:qFormat/>
    <w:uiPriority w:val="0"/>
    <w:pPr>
      <w:tabs>
        <w:tab w:val="left" w:pos="360"/>
      </w:tabs>
    </w:pPr>
    <w:rPr>
      <w:rFonts w:ascii="Times New Roman" w:hAnsi="Times New Roman" w:eastAsia="宋体" w:cs="Times New Roman"/>
      <w:szCs w:val="24"/>
    </w:rPr>
  </w:style>
  <w:style w:type="paragraph" w:customStyle="1" w:styleId="676">
    <w:name w:val="表格01"/>
    <w:basedOn w:val="1"/>
    <w:qFormat/>
    <w:uiPriority w:val="0"/>
    <w:pPr>
      <w:jc w:val="center"/>
    </w:pPr>
    <w:rPr>
      <w:rFonts w:ascii="Times New Roman" w:hAnsi="Times New Roman" w:eastAsia="宋体" w:cs="Times New Roman"/>
      <w:sz w:val="24"/>
      <w:szCs w:val="20"/>
    </w:rPr>
  </w:style>
  <w:style w:type="paragraph" w:customStyle="1" w:styleId="677">
    <w:name w:val="表文_M5"/>
    <w:qFormat/>
    <w:uiPriority w:val="0"/>
    <w:pPr>
      <w:widowControl w:val="0"/>
      <w:spacing w:line="360" w:lineRule="exact"/>
      <w:jc w:val="center"/>
    </w:pPr>
    <w:rPr>
      <w:rFonts w:ascii="Garamond" w:hAnsi="Garamond" w:eastAsia="楷体_GB2312" w:cs="Times New Roman"/>
      <w:bCs/>
      <w:color w:val="000000"/>
      <w:kern w:val="0"/>
      <w:sz w:val="21"/>
      <w:szCs w:val="21"/>
      <w:lang w:val="en-US" w:eastAsia="zh-CN" w:bidi="ar-SA"/>
    </w:rPr>
  </w:style>
  <w:style w:type="paragraph" w:customStyle="1" w:styleId="678">
    <w:name w:val="标题C"/>
    <w:basedOn w:val="1"/>
    <w:qFormat/>
    <w:uiPriority w:val="0"/>
    <w:pPr>
      <w:spacing w:line="360" w:lineRule="auto"/>
      <w:outlineLvl w:val="2"/>
    </w:pPr>
    <w:rPr>
      <w:rFonts w:ascii="Times New Roman" w:hAnsi="Times New Roman" w:eastAsia="宋体" w:cs="宋体"/>
      <w:b/>
      <w:bCs/>
      <w:sz w:val="24"/>
      <w:szCs w:val="20"/>
    </w:rPr>
  </w:style>
  <w:style w:type="paragraph" w:customStyle="1" w:styleId="679">
    <w:name w:val="reader-word-layer reader-word-s1-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0">
    <w:name w:val="Char Char Char Char Char Char Char Char Char Char Char Char Char1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81">
    <w:name w:val="Char Char Char Char1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682">
    <w:name w:val="表1"/>
    <w:basedOn w:val="1"/>
    <w:next w:val="1"/>
    <w:qFormat/>
    <w:uiPriority w:val="0"/>
    <w:pPr>
      <w:spacing w:line="300" w:lineRule="auto"/>
      <w:ind w:left="900" w:leftChars="200" w:hanging="480" w:hangingChars="200"/>
      <w:jc w:val="center"/>
    </w:pPr>
    <w:rPr>
      <w:rFonts w:ascii="Times New Roman" w:hAnsi="Times New Roman" w:eastAsia="宋体" w:cs="Times New Roman"/>
      <w:sz w:val="24"/>
      <w:szCs w:val="24"/>
    </w:rPr>
  </w:style>
  <w:style w:type="paragraph" w:customStyle="1" w:styleId="683">
    <w:name w:val="Table-I(S)"/>
    <w:basedOn w:val="1"/>
    <w:qFormat/>
    <w:uiPriority w:val="0"/>
    <w:pPr>
      <w:tabs>
        <w:tab w:val="left" w:pos="2160"/>
        <w:tab w:val="left" w:pos="3840"/>
        <w:tab w:val="left" w:pos="5280"/>
      </w:tabs>
      <w:spacing w:line="0" w:lineRule="atLeast"/>
      <w:jc w:val="center"/>
    </w:pPr>
    <w:rPr>
      <w:rFonts w:hint="eastAsia" w:ascii="Tahoma" w:hAnsi="Tahoma" w:eastAsia="华文中宋" w:cs="Times New Roman"/>
      <w:sz w:val="18"/>
      <w:szCs w:val="20"/>
    </w:rPr>
  </w:style>
  <w:style w:type="paragraph" w:customStyle="1" w:styleId="684">
    <w:name w:val="正文版本"/>
    <w:basedOn w:val="1"/>
    <w:qFormat/>
    <w:uiPriority w:val="0"/>
    <w:pPr>
      <w:autoSpaceDE w:val="0"/>
      <w:autoSpaceDN w:val="0"/>
      <w:adjustRightInd w:val="0"/>
      <w:spacing w:line="420" w:lineRule="auto"/>
      <w:jc w:val="center"/>
    </w:pPr>
    <w:rPr>
      <w:rFonts w:ascii="宋体" w:hAnsi="宋体" w:eastAsia="宋体" w:cs="Times New Roman"/>
      <w:sz w:val="24"/>
      <w:szCs w:val="20"/>
      <w:lang w:val="zh-CN"/>
    </w:rPr>
  </w:style>
  <w:style w:type="paragraph" w:customStyle="1" w:styleId="685">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686">
    <w:name w:val="6"/>
    <w:basedOn w:val="1"/>
    <w:next w:val="19"/>
    <w:qFormat/>
    <w:uiPriority w:val="0"/>
    <w:pPr>
      <w:jc w:val="center"/>
    </w:pPr>
    <w:rPr>
      <w:rFonts w:ascii="Times New Roman" w:hAnsi="Times New Roman" w:eastAsia="仿宋_GB2312" w:cs="Times New Roman"/>
      <w:sz w:val="24"/>
      <w:szCs w:val="24"/>
    </w:rPr>
  </w:style>
  <w:style w:type="paragraph" w:customStyle="1" w:styleId="687">
    <w:name w:val="表名"/>
    <w:basedOn w:val="1"/>
    <w:qFormat/>
    <w:uiPriority w:val="0"/>
    <w:pPr>
      <w:widowControl/>
      <w:overflowPunct w:val="0"/>
      <w:autoSpaceDE w:val="0"/>
      <w:autoSpaceDN w:val="0"/>
      <w:adjustRightInd w:val="0"/>
      <w:spacing w:line="480" w:lineRule="exact"/>
      <w:ind w:firstLine="360"/>
      <w:jc w:val="center"/>
      <w:textAlignment w:val="baseline"/>
    </w:pPr>
    <w:rPr>
      <w:rFonts w:ascii="黑体" w:hAnsi="Times New Roman" w:eastAsia="黑体" w:cs="Times New Roman"/>
      <w:b/>
      <w:color w:val="000000"/>
      <w:spacing w:val="20"/>
      <w:kern w:val="0"/>
      <w:sz w:val="28"/>
      <w:szCs w:val="20"/>
    </w:rPr>
  </w:style>
  <w:style w:type="paragraph" w:customStyle="1" w:styleId="688">
    <w:name w:val="样式 样式 标题2 + 首行缩进:  1 字符 段前: 0.5 行 + 段前: 0.5 行"/>
    <w:basedOn w:val="1"/>
    <w:qFormat/>
    <w:uiPriority w:val="0"/>
    <w:pPr>
      <w:spacing w:before="120" w:beforeLines="50" w:line="500" w:lineRule="atLeast"/>
      <w:ind w:firstLine="281" w:firstLineChars="100"/>
      <w:jc w:val="left"/>
      <w:outlineLvl w:val="1"/>
    </w:pPr>
    <w:rPr>
      <w:rFonts w:ascii="Times New Roman" w:hAnsi="Times New Roman" w:eastAsia="宋体" w:cs="宋体"/>
      <w:b/>
      <w:bCs/>
      <w:sz w:val="28"/>
      <w:szCs w:val="20"/>
    </w:rPr>
  </w:style>
  <w:style w:type="paragraph" w:customStyle="1" w:styleId="689">
    <w:name w:val="简单回函地址"/>
    <w:basedOn w:val="1"/>
    <w:qFormat/>
    <w:uiPriority w:val="0"/>
    <w:rPr>
      <w:rFonts w:ascii="Times New Roman" w:hAnsi="Times New Roman" w:eastAsia="宋体" w:cs="Times New Roman"/>
      <w:szCs w:val="24"/>
    </w:rPr>
  </w:style>
  <w:style w:type="paragraph" w:customStyle="1" w:styleId="690">
    <w:name w:val="标题003"/>
    <w:basedOn w:val="1"/>
    <w:qFormat/>
    <w:uiPriority w:val="0"/>
    <w:pPr>
      <w:spacing w:before="300" w:line="460" w:lineRule="exact"/>
      <w:outlineLvl w:val="2"/>
    </w:pPr>
    <w:rPr>
      <w:rFonts w:ascii="Times New Roman" w:hAnsi="Times New Roman" w:eastAsia="宋体" w:cs="Times New Roman"/>
      <w:b/>
      <w:sz w:val="24"/>
      <w:szCs w:val="20"/>
    </w:rPr>
  </w:style>
  <w:style w:type="paragraph" w:customStyle="1" w:styleId="691">
    <w:name w:val="gao"/>
    <w:basedOn w:val="1"/>
    <w:qFormat/>
    <w:uiPriority w:val="0"/>
    <w:pPr>
      <w:autoSpaceDE w:val="0"/>
      <w:autoSpaceDN w:val="0"/>
      <w:adjustRightInd w:val="0"/>
      <w:spacing w:line="360" w:lineRule="auto"/>
    </w:pPr>
    <w:rPr>
      <w:rFonts w:ascii="宋体" w:hAnsi="Times New Roman" w:eastAsia="宋体" w:cs="Times New Roman"/>
      <w:kern w:val="0"/>
      <w:sz w:val="28"/>
      <w:szCs w:val="20"/>
    </w:rPr>
  </w:style>
  <w:style w:type="paragraph" w:customStyle="1" w:styleId="692">
    <w:name w:val="Char Char Char2 Char Char Char Char Char Char Char Char Char Char Char Char Char Char Char"/>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styleId="693">
    <w:name w:val="No Spacing"/>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694">
    <w:name w:val="Main"/>
    <w:basedOn w:val="1"/>
    <w:qFormat/>
    <w:uiPriority w:val="0"/>
    <w:pPr>
      <w:spacing w:line="480" w:lineRule="atLeast"/>
      <w:ind w:left="400" w:leftChars="400" w:right="400" w:rightChars="400" w:firstLine="200" w:firstLineChars="200"/>
    </w:pPr>
    <w:rPr>
      <w:rFonts w:ascii="Tahoma" w:hAnsi="Tahoma" w:eastAsia="宋体" w:cs="Times New Roman"/>
      <w:sz w:val="28"/>
      <w:szCs w:val="28"/>
    </w:rPr>
  </w:style>
  <w:style w:type="paragraph" w:customStyle="1" w:styleId="695">
    <w:name w:val="Char Char Char Char Char Char1 Char Char Char Char"/>
    <w:basedOn w:val="1"/>
    <w:qFormat/>
    <w:uiPriority w:val="0"/>
    <w:rPr>
      <w:rFonts w:ascii="Times New Roman" w:hAnsi="Times New Roman" w:eastAsia="宋体" w:cs="Times New Roman"/>
      <w:sz w:val="24"/>
      <w:szCs w:val="24"/>
    </w:rPr>
  </w:style>
  <w:style w:type="paragraph" w:customStyle="1" w:styleId="696">
    <w:name w:val="Char Char Char Char Char Char Char Char Char Char Char Char Char1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697">
    <w:name w:val="样式8"/>
    <w:basedOn w:val="6"/>
    <w:qFormat/>
    <w:uiPriority w:val="0"/>
    <w:pPr>
      <w:tabs>
        <w:tab w:val="left" w:pos="5203"/>
      </w:tabs>
      <w:spacing w:line="264" w:lineRule="auto"/>
      <w:ind w:firstLine="476" w:firstLineChars="0"/>
    </w:pPr>
    <w:rPr>
      <w:rFonts w:ascii="Arial" w:hAnsi="Arial" w:eastAsia="宋体" w:cs="Arial"/>
      <w:spacing w:val="10"/>
      <w:sz w:val="24"/>
      <w:szCs w:val="20"/>
    </w:rPr>
  </w:style>
  <w:style w:type="paragraph" w:customStyle="1" w:styleId="698">
    <w:name w:val="表格题头"/>
    <w:basedOn w:val="1"/>
    <w:qFormat/>
    <w:uiPriority w:val="0"/>
    <w:pPr>
      <w:spacing w:before="100" w:after="60" w:line="480" w:lineRule="exact"/>
      <w:jc w:val="center"/>
    </w:pPr>
    <w:rPr>
      <w:rFonts w:ascii="Times New Roman" w:hAnsi="Times New Roman" w:eastAsia="宋体" w:cs="Times New Roman"/>
      <w:sz w:val="24"/>
      <w:szCs w:val="24"/>
    </w:rPr>
  </w:style>
  <w:style w:type="paragraph" w:customStyle="1" w:styleId="699">
    <w:name w:val="Char Char Char Char Char Char Char2"/>
    <w:basedOn w:val="1"/>
    <w:qFormat/>
    <w:uiPriority w:val="0"/>
    <w:rPr>
      <w:rFonts w:ascii="Times New Roman" w:hAnsi="Times New Roman" w:eastAsia="宋体" w:cs="Times New Roman"/>
      <w:szCs w:val="24"/>
    </w:rPr>
  </w:style>
  <w:style w:type="paragraph" w:customStyle="1" w:styleId="700">
    <w:name w:val="正文 小四 行距: 1.5 倍行距"/>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701">
    <w:name w:val="表格001"/>
    <w:basedOn w:val="1"/>
    <w:qFormat/>
    <w:uiPriority w:val="0"/>
    <w:pPr>
      <w:spacing w:line="360" w:lineRule="exact"/>
      <w:jc w:val="center"/>
    </w:pPr>
    <w:rPr>
      <w:rFonts w:ascii="Arial" w:hAnsi="Arial" w:eastAsia="宋体" w:cs="Times New Roman"/>
      <w:szCs w:val="24"/>
    </w:rPr>
  </w:style>
  <w:style w:type="paragraph" w:customStyle="1" w:styleId="702">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703">
    <w:name w:val="表"/>
    <w:basedOn w:val="1"/>
    <w:qFormat/>
    <w:uiPriority w:val="0"/>
    <w:pPr>
      <w:snapToGrid w:val="0"/>
      <w:jc w:val="center"/>
    </w:pPr>
    <w:rPr>
      <w:rFonts w:ascii="Times New Roman" w:hAnsi="Times New Roman" w:eastAsia="宋体" w:cs="Times New Roman"/>
      <w:spacing w:val="2"/>
      <w:szCs w:val="20"/>
    </w:rPr>
  </w:style>
  <w:style w:type="paragraph" w:customStyle="1" w:styleId="704">
    <w:name w:val="font1"/>
    <w:basedOn w:val="1"/>
    <w:qFormat/>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705">
    <w:name w:val="Char Char Char Char Char Char Char Char Char Char Char Char Char1 Char Char Char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706">
    <w:name w:val="Char Char1 Char Char 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707">
    <w:name w:val="Char Char Char Char Char Char Char Char Char Char Char Char Char1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708">
    <w:name w:val="Char Char Char2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709">
    <w:name w:val="样式 标题 3 + 首行缩进:  2 字符"/>
    <w:basedOn w:val="4"/>
    <w:qFormat/>
    <w:uiPriority w:val="0"/>
  </w:style>
  <w:style w:type="paragraph" w:customStyle="1" w:styleId="710">
    <w:name w:val="热电厂正文"/>
    <w:basedOn w:val="1"/>
    <w:qFormat/>
    <w:uiPriority w:val="0"/>
    <w:pPr>
      <w:spacing w:line="440" w:lineRule="exact"/>
      <w:ind w:firstLine="480" w:firstLineChars="200"/>
    </w:pPr>
    <w:rPr>
      <w:rFonts w:ascii="Times New Roman" w:hAnsi="Times New Roman" w:eastAsia="宋体" w:cs="Times New Roman"/>
      <w:sz w:val="24"/>
      <w:szCs w:val="24"/>
    </w:rPr>
  </w:style>
  <w:style w:type="paragraph" w:customStyle="1" w:styleId="711">
    <w:name w:val="图形标题"/>
    <w:basedOn w:val="6"/>
    <w:next w:val="1"/>
    <w:qFormat/>
    <w:uiPriority w:val="0"/>
    <w:pPr>
      <w:topLinePunct/>
      <w:spacing w:before="120" w:after="120"/>
      <w:ind w:firstLine="0"/>
      <w:jc w:val="center"/>
    </w:pPr>
    <w:rPr>
      <w:rFonts w:ascii="Times" w:hAnsi="Times" w:eastAsia="宋体" w:cs="Times New Roman"/>
      <w:b/>
      <w:szCs w:val="20"/>
    </w:rPr>
  </w:style>
  <w:style w:type="paragraph" w:customStyle="1" w:styleId="712">
    <w:name w:val="样式 标题 3 + 四号"/>
    <w:basedOn w:val="4"/>
    <w:qFormat/>
    <w:uiPriority w:val="0"/>
    <w:pPr>
      <w:spacing w:before="0" w:after="0" w:line="360" w:lineRule="auto"/>
      <w:ind w:left="720" w:hanging="720"/>
    </w:pPr>
    <w:rPr>
      <w:color w:val="000000"/>
      <w:sz w:val="30"/>
    </w:rPr>
  </w:style>
  <w:style w:type="paragraph" w:customStyle="1" w:styleId="713">
    <w:name w:val="Char3"/>
    <w:basedOn w:val="1"/>
    <w:qFormat/>
    <w:uiPriority w:val="0"/>
    <w:rPr>
      <w:rFonts w:ascii="Times New Roman" w:hAnsi="Times New Roman" w:eastAsia="宋体" w:cs="Times New Roman"/>
      <w:szCs w:val="24"/>
    </w:rPr>
  </w:style>
  <w:style w:type="paragraph" w:customStyle="1" w:styleId="714">
    <w:name w:val="样式 正文001 + Times New Roman Char Char Char"/>
    <w:basedOn w:val="656"/>
    <w:qFormat/>
    <w:uiPriority w:val="0"/>
    <w:pPr>
      <w:spacing w:before="60" w:line="460" w:lineRule="exact"/>
      <w:ind w:firstLine="482" w:firstLineChars="0"/>
    </w:pPr>
  </w:style>
  <w:style w:type="paragraph" w:customStyle="1" w:styleId="715">
    <w:name w:val="文本条款 Char Char"/>
    <w:basedOn w:val="92"/>
    <w:qFormat/>
    <w:uiPriority w:val="0"/>
    <w:pPr>
      <w:spacing w:before="40" w:after="60" w:line="420" w:lineRule="exact"/>
      <w:ind w:firstLine="0" w:firstLineChars="0"/>
      <w:jc w:val="center"/>
    </w:pPr>
    <w:rPr>
      <w:rFonts w:ascii="Times New Roman" w:hAnsi="Times New Roman" w:cs="Times New Roman"/>
      <w:color w:val="000000"/>
    </w:rPr>
  </w:style>
  <w:style w:type="paragraph" w:customStyle="1" w:styleId="716">
    <w:name w:val="燕山正文"/>
    <w:basedOn w:val="1"/>
    <w:qFormat/>
    <w:uiPriority w:val="0"/>
    <w:pPr>
      <w:tabs>
        <w:tab w:val="left" w:pos="4680"/>
      </w:tabs>
      <w:adjustRightInd w:val="0"/>
      <w:snapToGrid w:val="0"/>
      <w:spacing w:line="360" w:lineRule="auto"/>
      <w:ind w:firstLine="560" w:firstLineChars="200"/>
    </w:pPr>
    <w:rPr>
      <w:rFonts w:ascii="宋体" w:hAnsi="宋体" w:eastAsia="宋体" w:cs="Times New Roman"/>
      <w:color w:val="000000"/>
      <w:sz w:val="28"/>
      <w:szCs w:val="28"/>
    </w:rPr>
  </w:style>
  <w:style w:type="paragraph" w:customStyle="1" w:styleId="717">
    <w:name w:val="样式 表格内容 + 居中 首行缩进:  0.86 厘米"/>
    <w:basedOn w:val="1"/>
    <w:qFormat/>
    <w:uiPriority w:val="0"/>
    <w:pPr>
      <w:widowControl/>
      <w:overflowPunct w:val="0"/>
      <w:snapToGrid w:val="0"/>
      <w:jc w:val="center"/>
      <w:textAlignment w:val="baseline"/>
    </w:pPr>
    <w:rPr>
      <w:rFonts w:ascii="Arial" w:hAnsi="Arial" w:eastAsia="仿宋_GB2312" w:cs="宋体"/>
      <w:kern w:val="0"/>
      <w:sz w:val="22"/>
      <w:szCs w:val="20"/>
    </w:rPr>
  </w:style>
  <w:style w:type="paragraph" w:customStyle="1" w:styleId="718">
    <w:name w:val="默认段落字体 Para Char Char Char Char"/>
    <w:basedOn w:val="1"/>
    <w:qFormat/>
    <w:uiPriority w:val="0"/>
    <w:rPr>
      <w:rFonts w:ascii="Times New Roman" w:hAnsi="Times New Roman" w:eastAsia="宋体" w:cs="Times New Roman"/>
      <w:sz w:val="24"/>
      <w:szCs w:val="24"/>
    </w:rPr>
  </w:style>
  <w:style w:type="paragraph" w:customStyle="1" w:styleId="719">
    <w:name w:val="Report List 1"/>
    <w:basedOn w:val="15"/>
    <w:semiHidden/>
    <w:qFormat/>
    <w:uiPriority w:val="0"/>
    <w:pPr>
      <w:widowControl/>
      <w:tabs>
        <w:tab w:val="left" w:pos="1440"/>
      </w:tabs>
      <w:adjustRightInd/>
      <w:spacing w:before="138" w:line="360" w:lineRule="auto"/>
      <w:ind w:left="1440" w:hanging="360" w:firstLineChars="200"/>
      <w:jc w:val="left"/>
      <w:textAlignment w:val="auto"/>
    </w:pPr>
    <w:rPr>
      <w:rFonts w:eastAsia="PMingLiU"/>
      <w:kern w:val="0"/>
      <w:sz w:val="22"/>
      <w:szCs w:val="20"/>
      <w:lang w:val="en-GB" w:eastAsia="zh-TW"/>
    </w:rPr>
  </w:style>
  <w:style w:type="paragraph" w:customStyle="1" w:styleId="720">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721">
    <w:name w:val="xl31"/>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72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723">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4">
    <w:name w:val="bg"/>
    <w:basedOn w:val="1"/>
    <w:qFormat/>
    <w:uiPriority w:val="0"/>
    <w:pPr>
      <w:widowControl/>
      <w:jc w:val="center"/>
    </w:pPr>
    <w:rPr>
      <w:rFonts w:ascii="Dotum" w:hAnsi="Dotum" w:eastAsia="仿宋_GB2312" w:cs="Times New Roman"/>
      <w:kern w:val="0"/>
      <w:sz w:val="24"/>
      <w:szCs w:val="20"/>
    </w:rPr>
  </w:style>
  <w:style w:type="paragraph" w:customStyle="1" w:styleId="725">
    <w:name w:val="font7"/>
    <w:basedOn w:val="1"/>
    <w:qFormat/>
    <w:uiPriority w:val="0"/>
    <w:pPr>
      <w:widowControl/>
      <w:spacing w:before="100" w:beforeAutospacing="1" w:after="100" w:afterAutospacing="1"/>
      <w:jc w:val="left"/>
    </w:pPr>
    <w:rPr>
      <w:rFonts w:ascii="Times New Roman" w:hAnsi="Times New Roman" w:eastAsia="Arial Unicode MS" w:cs="Times New Roman"/>
      <w:kern w:val="0"/>
      <w:sz w:val="22"/>
    </w:rPr>
  </w:style>
  <w:style w:type="paragraph" w:customStyle="1" w:styleId="726">
    <w:name w:val="Char1 Char Char Char1"/>
    <w:basedOn w:val="1"/>
    <w:qFormat/>
    <w:uiPriority w:val="0"/>
    <w:rPr>
      <w:rFonts w:ascii="Times New Roman" w:hAnsi="Times New Roman" w:eastAsia="宋体" w:cs="Times New Roman"/>
      <w:sz w:val="24"/>
      <w:szCs w:val="24"/>
    </w:rPr>
  </w:style>
  <w:style w:type="paragraph" w:customStyle="1" w:styleId="7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2"/>
    </w:rPr>
  </w:style>
  <w:style w:type="paragraph" w:customStyle="1" w:styleId="728">
    <w:name w:val="影响评价正文"/>
    <w:basedOn w:val="1"/>
    <w:qFormat/>
    <w:uiPriority w:val="0"/>
    <w:pPr>
      <w:spacing w:line="400" w:lineRule="exact"/>
      <w:ind w:firstLine="567"/>
    </w:pPr>
    <w:rPr>
      <w:rFonts w:ascii="Times New Roman" w:hAnsi="Times New Roman" w:eastAsia="宋体" w:cs="Times New Roman"/>
      <w:snapToGrid w:val="0"/>
      <w:spacing w:val="4"/>
      <w:kern w:val="0"/>
      <w:sz w:val="24"/>
      <w:szCs w:val="20"/>
    </w:rPr>
  </w:style>
  <w:style w:type="paragraph" w:customStyle="1" w:styleId="729">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0">
    <w:name w:val="样式 段前: 0.5 行 段后: 0.5 行"/>
    <w:basedOn w:val="1"/>
    <w:semiHidden/>
    <w:qFormat/>
    <w:uiPriority w:val="0"/>
    <w:pPr>
      <w:adjustRightInd w:val="0"/>
      <w:snapToGrid w:val="0"/>
      <w:spacing w:before="25" w:beforeLines="25" w:after="25" w:afterLines="25" w:line="300" w:lineRule="auto"/>
      <w:ind w:firstLine="510" w:firstLineChars="200"/>
    </w:pPr>
    <w:rPr>
      <w:rFonts w:ascii="Times New Roman" w:hAnsi="Times New Roman" w:eastAsia="宋体" w:cs="宋体"/>
      <w:spacing w:val="10"/>
      <w:sz w:val="28"/>
      <w:szCs w:val="20"/>
    </w:rPr>
  </w:style>
  <w:style w:type="paragraph" w:customStyle="1" w:styleId="731">
    <w:name w:val="Char Char Char1 Char1"/>
    <w:basedOn w:val="1"/>
    <w:qFormat/>
    <w:uiPriority w:val="0"/>
    <w:rPr>
      <w:rFonts w:ascii="Times New Roman" w:hAnsi="Times New Roman" w:eastAsia="宋体" w:cs="Times New Roman"/>
      <w:szCs w:val="24"/>
    </w:rPr>
  </w:style>
  <w:style w:type="paragraph" w:customStyle="1" w:styleId="732">
    <w:name w:val="样式 标题 + 黑体 小三 两端对齐 左侧:  0 厘米 首行缩进:  0 厘米 段前: 0 磅 段后: 0 磅 ...1"/>
    <w:basedOn w:val="48"/>
    <w:qFormat/>
    <w:uiPriority w:val="0"/>
    <w:pPr>
      <w:pageBreakBefore/>
      <w:tabs>
        <w:tab w:val="left" w:pos="425"/>
      </w:tabs>
      <w:spacing w:before="100" w:beforeAutospacing="1" w:after="100" w:afterAutospacing="1" w:line="360" w:lineRule="auto"/>
      <w:ind w:left="425" w:hanging="425"/>
      <w:jc w:val="both"/>
    </w:pPr>
    <w:rPr>
      <w:rFonts w:ascii="黑体" w:hAnsi="Arial" w:eastAsia="黑体"/>
      <w:bCs/>
      <w:sz w:val="32"/>
    </w:rPr>
  </w:style>
  <w:style w:type="paragraph" w:customStyle="1" w:styleId="733">
    <w:name w:val="nr"/>
    <w:basedOn w:val="1"/>
    <w:qFormat/>
    <w:uiPriority w:val="0"/>
    <w:pPr>
      <w:widowControl/>
      <w:spacing w:before="100" w:beforeAutospacing="1" w:after="100" w:afterAutospacing="1" w:line="320" w:lineRule="atLeast"/>
      <w:jc w:val="left"/>
    </w:pPr>
    <w:rPr>
      <w:rFonts w:hint="eastAsia" w:ascii="宋体" w:hAnsi="宋体" w:eastAsia="宋体" w:cs="Times New Roman"/>
      <w:color w:val="000000"/>
      <w:kern w:val="0"/>
      <w:sz w:val="22"/>
    </w:rPr>
  </w:style>
  <w:style w:type="paragraph" w:customStyle="1" w:styleId="734">
    <w:name w:val="默认段落字体 Para Char Char Char Char Char Char Char Char Char Char"/>
    <w:basedOn w:val="4"/>
    <w:qFormat/>
    <w:uiPriority w:val="0"/>
    <w:pPr>
      <w:tabs>
        <w:tab w:val="left" w:pos="360"/>
        <w:tab w:val="left" w:pos="900"/>
      </w:tabs>
      <w:snapToGrid w:val="0"/>
      <w:spacing w:before="120" w:after="120" w:line="360" w:lineRule="auto"/>
      <w:ind w:left="542" w:leftChars="-12" w:firstLine="200" w:firstLineChars="200"/>
      <w:jc w:val="left"/>
    </w:pPr>
    <w:rPr>
      <w:rFonts w:eastAsia="黑体"/>
      <w:b w:val="0"/>
      <w:bCs w:val="0"/>
      <w:snapToGrid w:val="0"/>
      <w:sz w:val="24"/>
      <w:szCs w:val="24"/>
    </w:rPr>
  </w:style>
  <w:style w:type="paragraph" w:customStyle="1" w:styleId="735">
    <w:name w:val="正文缩近"/>
    <w:basedOn w:val="1"/>
    <w:qFormat/>
    <w:uiPriority w:val="0"/>
    <w:pPr>
      <w:spacing w:line="360" w:lineRule="auto"/>
      <w:ind w:firstLine="560" w:firstLineChars="200"/>
    </w:pPr>
    <w:rPr>
      <w:rFonts w:ascii="Times New Roman" w:hAnsi="Times New Roman" w:eastAsia="宋体" w:cs="Times New Roman"/>
      <w:sz w:val="28"/>
      <w:szCs w:val="20"/>
    </w:rPr>
  </w:style>
  <w:style w:type="paragraph" w:customStyle="1" w:styleId="736">
    <w:name w:val="表格后正文"/>
    <w:basedOn w:val="1"/>
    <w:qFormat/>
    <w:uiPriority w:val="0"/>
    <w:pPr>
      <w:widowControl/>
      <w:tabs>
        <w:tab w:val="left" w:pos="567"/>
      </w:tabs>
      <w:spacing w:before="200" w:line="360" w:lineRule="auto"/>
      <w:ind w:firstLine="200" w:firstLineChars="200"/>
      <w:jc w:val="left"/>
    </w:pPr>
    <w:rPr>
      <w:rFonts w:ascii="Times New Roman" w:hAnsi="Times New Roman" w:eastAsia="华文中宋" w:cs="Times New Roman"/>
      <w:spacing w:val="20"/>
      <w:kern w:val="0"/>
      <w:sz w:val="24"/>
      <w:szCs w:val="24"/>
    </w:rPr>
  </w:style>
  <w:style w:type="paragraph" w:customStyle="1" w:styleId="737">
    <w:name w:val="Char Char1 Char Char Char Char Char Char Char Char Char Char Char Char Char Char Char Char Char Char2"/>
    <w:basedOn w:val="1"/>
    <w:qFormat/>
    <w:uiPriority w:val="0"/>
    <w:pPr>
      <w:spacing w:line="360" w:lineRule="auto"/>
      <w:ind w:firstLine="200" w:firstLineChars="200"/>
    </w:pPr>
    <w:rPr>
      <w:rFonts w:ascii="宋体" w:hAnsi="宋体" w:eastAsia="宋体" w:cs="宋体"/>
      <w:sz w:val="24"/>
      <w:szCs w:val="24"/>
    </w:rPr>
  </w:style>
  <w:style w:type="paragraph" w:customStyle="1" w:styleId="738">
    <w:name w:val="表1表2"/>
    <w:basedOn w:val="1"/>
    <w:qFormat/>
    <w:uiPriority w:val="0"/>
    <w:pPr>
      <w:topLinePunct/>
      <w:autoSpaceDE w:val="0"/>
      <w:autoSpaceDN w:val="0"/>
      <w:adjustRightInd w:val="0"/>
      <w:spacing w:line="360" w:lineRule="auto"/>
      <w:ind w:firstLine="425"/>
      <w:jc w:val="center"/>
      <w:textAlignment w:val="center"/>
    </w:pPr>
    <w:rPr>
      <w:rFonts w:ascii="Times New Roman" w:hAnsi="Times New Roman" w:eastAsia="仿宋体" w:cs="Times New Roman"/>
      <w:kern w:val="0"/>
      <w:sz w:val="24"/>
      <w:szCs w:val="20"/>
    </w:rPr>
  </w:style>
  <w:style w:type="paragraph" w:customStyle="1" w:styleId="739">
    <w:name w:val="样式6"/>
    <w:basedOn w:val="1"/>
    <w:qFormat/>
    <w:uiPriority w:val="0"/>
    <w:pPr>
      <w:spacing w:line="360" w:lineRule="exact"/>
      <w:jc w:val="center"/>
    </w:pPr>
    <w:rPr>
      <w:rFonts w:ascii="Times New Roman" w:hAnsi="Times New Roman" w:eastAsia="宋体" w:cs="Times New Roman"/>
      <w:szCs w:val="24"/>
    </w:rPr>
  </w:style>
  <w:style w:type="paragraph" w:customStyle="1" w:styleId="740">
    <w:name w:val="新正文样式"/>
    <w:basedOn w:val="1"/>
    <w:qFormat/>
    <w:uiPriority w:val="0"/>
    <w:pPr>
      <w:widowControl/>
      <w:tabs>
        <w:tab w:val="left" w:pos="567"/>
      </w:tabs>
      <w:spacing w:line="360" w:lineRule="auto"/>
      <w:ind w:firstLine="560" w:firstLineChars="200"/>
      <w:jc w:val="left"/>
    </w:pPr>
    <w:rPr>
      <w:rFonts w:ascii="Times New Roman" w:hAnsi="Times New Roman" w:eastAsia="华文中宋" w:cs="Times New Roman"/>
      <w:spacing w:val="20"/>
      <w:kern w:val="0"/>
      <w:sz w:val="24"/>
      <w:szCs w:val="20"/>
    </w:rPr>
  </w:style>
  <w:style w:type="paragraph" w:customStyle="1" w:styleId="741">
    <w:name w:val="标题002"/>
    <w:basedOn w:val="1"/>
    <w:qFormat/>
    <w:uiPriority w:val="0"/>
    <w:pPr>
      <w:spacing w:before="60" w:line="460" w:lineRule="exact"/>
      <w:outlineLvl w:val="1"/>
    </w:pPr>
    <w:rPr>
      <w:rFonts w:ascii="Times New Roman" w:hAnsi="Times New Roman" w:eastAsia="宋体" w:cs="Times New Roman"/>
      <w:b/>
      <w:sz w:val="28"/>
      <w:szCs w:val="20"/>
    </w:rPr>
  </w:style>
  <w:style w:type="paragraph" w:customStyle="1" w:styleId="742">
    <w:name w:val="报告书表格"/>
    <w:basedOn w:val="1"/>
    <w:qFormat/>
    <w:uiPriority w:val="0"/>
    <w:pPr>
      <w:adjustRightInd w:val="0"/>
      <w:spacing w:before="60" w:after="60" w:line="240" w:lineRule="atLeast"/>
      <w:jc w:val="center"/>
      <w:textAlignment w:val="baseline"/>
    </w:pPr>
    <w:rPr>
      <w:rFonts w:ascii="Cambria" w:hAnsi="Cambria" w:eastAsia="方正宋三简体" w:cs="Cambria"/>
      <w:kern w:val="0"/>
      <w:szCs w:val="20"/>
    </w:rPr>
  </w:style>
  <w:style w:type="paragraph" w:customStyle="1" w:styleId="743">
    <w:name w:val="Char Char Char Char Char Char Char Char Char Char Char Char Char Char1"/>
    <w:basedOn w:val="1"/>
    <w:qFormat/>
    <w:uiPriority w:val="0"/>
    <w:rPr>
      <w:rFonts w:ascii="Times New Roman" w:hAnsi="Times New Roman" w:eastAsia="宋体" w:cs="Times New Roman"/>
      <w:sz w:val="24"/>
      <w:szCs w:val="24"/>
    </w:rPr>
  </w:style>
  <w:style w:type="paragraph" w:customStyle="1" w:styleId="744">
    <w:name w:val="Char Char Char2 Char Char Char Char Char Char Char Char Char Char Char Char Char Char Char Char Char Char Char Char1"/>
    <w:basedOn w:val="1"/>
    <w:qFormat/>
    <w:uiPriority w:val="0"/>
    <w:pPr>
      <w:spacing w:before="20" w:beforeLines="20" w:line="440" w:lineRule="atLeast"/>
      <w:ind w:firstLine="200" w:firstLineChars="200"/>
    </w:pPr>
    <w:rPr>
      <w:rFonts w:ascii="Times New Roman" w:hAnsi="Times New Roman" w:eastAsia="宋体" w:cs="Times New Roman"/>
      <w:sz w:val="24"/>
      <w:szCs w:val="24"/>
    </w:rPr>
  </w:style>
  <w:style w:type="paragraph" w:customStyle="1" w:styleId="745">
    <w:name w:val="表文字"/>
    <w:basedOn w:val="1"/>
    <w:qFormat/>
    <w:uiPriority w:val="0"/>
    <w:pPr>
      <w:topLinePunct/>
      <w:adjustRightInd w:val="0"/>
      <w:spacing w:line="240" w:lineRule="exact"/>
      <w:jc w:val="center"/>
      <w:textAlignment w:val="baseline"/>
    </w:pPr>
    <w:rPr>
      <w:rFonts w:ascii="Times New Roman" w:hAnsi="Times New Roman" w:eastAsia="宋体" w:cs="Times New Roman"/>
      <w:szCs w:val="21"/>
    </w:rPr>
  </w:style>
  <w:style w:type="paragraph" w:customStyle="1" w:styleId="74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kern w:val="0"/>
      <w:sz w:val="28"/>
      <w:szCs w:val="20"/>
      <w:lang w:val="en-US" w:eastAsia="zh-CN" w:bidi="ar-SA"/>
    </w:rPr>
  </w:style>
  <w:style w:type="paragraph" w:customStyle="1" w:styleId="747">
    <w:name w:val="样式 样式 正文首行缩进 + 首行缩进:  2 字符 + 首行缩进:  2 字符"/>
    <w:basedOn w:val="1"/>
    <w:qFormat/>
    <w:uiPriority w:val="0"/>
    <w:pPr>
      <w:topLinePunct/>
      <w:adjustRightInd w:val="0"/>
      <w:snapToGrid w:val="0"/>
      <w:spacing w:line="360" w:lineRule="auto"/>
      <w:ind w:firstLine="480"/>
      <w:textAlignment w:val="baseline"/>
    </w:pPr>
    <w:rPr>
      <w:rFonts w:ascii="Times New Roman" w:hAnsi="宋体" w:eastAsia="Times New Roman" w:cs="Times New Roman"/>
      <w:kern w:val="0"/>
      <w:sz w:val="24"/>
      <w:szCs w:val="20"/>
    </w:rPr>
  </w:style>
  <w:style w:type="paragraph" w:customStyle="1" w:styleId="748">
    <w:name w:val="表格正文正文"/>
    <w:basedOn w:val="1"/>
    <w:qFormat/>
    <w:uiPriority w:val="0"/>
    <w:pPr>
      <w:spacing w:line="0" w:lineRule="atLeast"/>
      <w:jc w:val="center"/>
    </w:pPr>
    <w:rPr>
      <w:rFonts w:ascii="Arial" w:hAnsi="Arial" w:eastAsia="宋体" w:cs="Arial"/>
      <w:szCs w:val="20"/>
    </w:rPr>
  </w:style>
  <w:style w:type="paragraph" w:customStyle="1" w:styleId="749">
    <w:name w:val="表格文字"/>
    <w:basedOn w:val="1"/>
    <w:qFormat/>
    <w:uiPriority w:val="0"/>
    <w:pPr>
      <w:autoSpaceDE w:val="0"/>
      <w:autoSpaceDN w:val="0"/>
      <w:adjustRightInd w:val="0"/>
      <w:snapToGrid w:val="0"/>
      <w:spacing w:line="300" w:lineRule="auto"/>
      <w:jc w:val="center"/>
    </w:pPr>
    <w:rPr>
      <w:rFonts w:ascii="宋体" w:hAnsi="宋体" w:eastAsia="宋体" w:cs="Times New Roman"/>
      <w:kern w:val="0"/>
      <w:szCs w:val="20"/>
    </w:rPr>
  </w:style>
  <w:style w:type="paragraph" w:customStyle="1" w:styleId="750">
    <w:name w:val="正文文本 32"/>
    <w:basedOn w:val="1"/>
    <w:semiHidden/>
    <w:qFormat/>
    <w:uiPriority w:val="0"/>
    <w:pPr>
      <w:adjustRightInd w:val="0"/>
      <w:spacing w:line="360" w:lineRule="atLeast"/>
      <w:jc w:val="center"/>
    </w:pPr>
    <w:rPr>
      <w:rFonts w:ascii="仿宋体" w:hAnsi="Times New Roman" w:eastAsia="仿宋体" w:cs="Times New Roman"/>
      <w:kern w:val="0"/>
      <w:sz w:val="24"/>
      <w:szCs w:val="20"/>
    </w:rPr>
  </w:style>
  <w:style w:type="paragraph" w:customStyle="1" w:styleId="751">
    <w:name w:val="Revision"/>
    <w:unhideWhenUsed/>
    <w:qFormat/>
    <w:uiPriority w:val="99"/>
    <w:rPr>
      <w:rFonts w:ascii="Times New Roman" w:hAnsi="Times New Roman" w:eastAsia="宋体" w:cs="Times New Roman"/>
      <w:kern w:val="2"/>
      <w:sz w:val="24"/>
      <w:szCs w:val="24"/>
      <w:lang w:val="en-US" w:eastAsia="zh-CN" w:bidi="ar-SA"/>
    </w:rPr>
  </w:style>
  <w:style w:type="paragraph" w:customStyle="1" w:styleId="752">
    <w:name w:val="Char Char Char Char Char Char Char Char Char Char Char Char Char Char Char Char Char Char Char Char Char Char Char Char Char Char Char Char Char Char Char1"/>
    <w:basedOn w:val="1"/>
    <w:qFormat/>
    <w:uiPriority w:val="0"/>
    <w:pPr>
      <w:spacing w:line="360" w:lineRule="auto"/>
      <w:ind w:firstLine="200" w:firstLineChars="200"/>
    </w:pPr>
    <w:rPr>
      <w:rFonts w:ascii="宋体" w:hAnsi="宋体" w:eastAsia="宋体" w:cs="宋体"/>
      <w:sz w:val="24"/>
      <w:szCs w:val="24"/>
    </w:rPr>
  </w:style>
  <w:style w:type="paragraph" w:customStyle="1" w:styleId="753">
    <w:name w:val="正文_1"/>
    <w:basedOn w:val="1"/>
    <w:qFormat/>
    <w:uiPriority w:val="0"/>
    <w:pPr>
      <w:spacing w:before="60" w:after="60" w:line="360" w:lineRule="auto"/>
      <w:ind w:firstLine="560" w:firstLineChars="200"/>
      <w:jc w:val="left"/>
    </w:pPr>
    <w:rPr>
      <w:rFonts w:ascii="Times New Roman" w:hAnsi="Times New Roman" w:eastAsia="宋体" w:cs="Times New Roman"/>
      <w:sz w:val="24"/>
      <w:szCs w:val="24"/>
    </w:rPr>
  </w:style>
  <w:style w:type="paragraph" w:customStyle="1" w:styleId="754">
    <w:name w:val="列表段落1"/>
    <w:basedOn w:val="1"/>
    <w:qFormat/>
    <w:uiPriority w:val="0"/>
    <w:pPr>
      <w:spacing w:before="60" w:after="60" w:line="360" w:lineRule="auto"/>
      <w:ind w:firstLine="420" w:firstLineChars="200"/>
    </w:pPr>
    <w:rPr>
      <w:rFonts w:ascii="Times New Roman" w:hAnsi="Times New Roman" w:eastAsia="宋体" w:cs="Times New Roman"/>
      <w:sz w:val="28"/>
      <w:szCs w:val="24"/>
    </w:rPr>
  </w:style>
  <w:style w:type="paragraph" w:customStyle="1" w:styleId="755">
    <w:name w:val="样式 样式 标题 3 + Times New Roman + 段前: 1 行 段后: 0.5 行"/>
    <w:basedOn w:val="1"/>
    <w:qFormat/>
    <w:uiPriority w:val="0"/>
    <w:pPr>
      <w:keepNext/>
      <w:keepLines/>
      <w:tabs>
        <w:tab w:val="left" w:pos="724"/>
        <w:tab w:val="left" w:pos="804"/>
      </w:tabs>
      <w:spacing w:before="100" w:beforeLines="100" w:after="50" w:afterLines="50"/>
      <w:outlineLvl w:val="2"/>
    </w:pPr>
    <w:rPr>
      <w:rFonts w:ascii="Times New Roman" w:hAnsi="Times New Roman" w:eastAsia="宋体" w:cs="宋体"/>
      <w:b/>
      <w:bCs/>
      <w:sz w:val="28"/>
      <w:szCs w:val="20"/>
    </w:rPr>
  </w:style>
  <w:style w:type="paragraph" w:customStyle="1" w:styleId="756">
    <w:name w:val="Char Char Char1 Char Char Char Char"/>
    <w:basedOn w:val="1"/>
    <w:qFormat/>
    <w:uiPriority w:val="0"/>
    <w:pPr>
      <w:spacing w:line="360" w:lineRule="auto"/>
      <w:ind w:firstLine="200" w:firstLineChars="200"/>
    </w:pPr>
    <w:rPr>
      <w:rFonts w:ascii="Times New Roman" w:hAnsi="Times New Roman" w:eastAsia="仿宋_GB2312" w:cs="宋体"/>
      <w:sz w:val="24"/>
      <w:szCs w:val="24"/>
    </w:rPr>
  </w:style>
  <w:style w:type="paragraph" w:customStyle="1" w:styleId="757">
    <w:name w:val="样式 正文文本正文文字 Char正文文字Body Text 1正文文字1表标body textBody Text ..."/>
    <w:basedOn w:val="20"/>
    <w:qFormat/>
    <w:uiPriority w:val="0"/>
    <w:pPr>
      <w:spacing w:after="0" w:line="360" w:lineRule="auto"/>
      <w:ind w:firstLine="420" w:firstLineChars="200"/>
      <w:jc w:val="left"/>
    </w:pPr>
    <w:rPr>
      <w:rFonts w:hAnsi="宋体"/>
      <w:szCs w:val="21"/>
    </w:rPr>
  </w:style>
  <w:style w:type="paragraph" w:customStyle="1" w:styleId="758">
    <w:name w:val="倪 表头"/>
    <w:basedOn w:val="7"/>
    <w:qFormat/>
    <w:uiPriority w:val="0"/>
    <w:pPr>
      <w:keepNext/>
      <w:tabs>
        <w:tab w:val="clear" w:pos="1008"/>
      </w:tabs>
      <w:adjustRightInd/>
      <w:spacing w:before="0" w:after="0" w:line="360" w:lineRule="auto"/>
      <w:ind w:left="568" w:firstLine="0"/>
      <w:textAlignment w:val="auto"/>
    </w:pPr>
    <w:rPr>
      <w:rFonts w:ascii="Times New Roman" w:hAnsi="Times New Roman" w:eastAsia="仿宋_GB2312"/>
      <w:bCs/>
      <w:kern w:val="2"/>
      <w:szCs w:val="28"/>
    </w:rPr>
  </w:style>
  <w:style w:type="paragraph" w:customStyle="1" w:styleId="759">
    <w:name w:val="LNG－正文"/>
    <w:basedOn w:val="1"/>
    <w:qFormat/>
    <w:uiPriority w:val="0"/>
    <w:pPr>
      <w:spacing w:line="360" w:lineRule="auto"/>
    </w:pPr>
    <w:rPr>
      <w:rFonts w:ascii="Times New Roman" w:hAnsi="Times New Roman" w:eastAsia="宋体" w:cs="Times New Roman"/>
      <w:sz w:val="24"/>
      <w:szCs w:val="24"/>
    </w:rPr>
  </w:style>
  <w:style w:type="paragraph" w:customStyle="1" w:styleId="760">
    <w:name w:val="Table Paragraph"/>
    <w:basedOn w:val="1"/>
    <w:qFormat/>
    <w:uiPriority w:val="0"/>
    <w:pPr>
      <w:autoSpaceDE w:val="0"/>
      <w:autoSpaceDN w:val="0"/>
      <w:adjustRightInd w:val="0"/>
      <w:jc w:val="left"/>
    </w:pPr>
    <w:rPr>
      <w:rFonts w:ascii="Times New Roman" w:hAnsi="Times New Roman" w:eastAsia="宋体" w:cs="Times New Roman"/>
      <w:kern w:val="0"/>
      <w:sz w:val="24"/>
      <w:szCs w:val="24"/>
    </w:rPr>
  </w:style>
  <w:style w:type="paragraph" w:customStyle="1" w:styleId="761">
    <w:name w:val="列出段落1"/>
    <w:basedOn w:val="1"/>
    <w:qFormat/>
    <w:uiPriority w:val="0"/>
    <w:pPr>
      <w:ind w:firstLine="420" w:firstLineChars="200"/>
    </w:pPr>
    <w:rPr>
      <w:rFonts w:ascii="Calibri" w:hAnsi="Calibri" w:eastAsia="宋体" w:cs="Times New Roman"/>
    </w:rPr>
  </w:style>
  <w:style w:type="paragraph" w:customStyle="1" w:styleId="762">
    <w:name w:val="zl正文"/>
    <w:basedOn w:val="1"/>
    <w:qFormat/>
    <w:uiPriority w:val="0"/>
    <w:pPr>
      <w:spacing w:line="360" w:lineRule="auto"/>
      <w:ind w:firstLine="480" w:firstLineChars="200"/>
    </w:pPr>
    <w:rPr>
      <w:rFonts w:ascii="Times New Roman" w:hAnsi="Times New Roman" w:eastAsia="Times New Roman" w:cs="Times New Roman"/>
      <w:kern w:val="0"/>
      <w:sz w:val="24"/>
      <w:szCs w:val="24"/>
    </w:rPr>
  </w:style>
  <w:style w:type="paragraph" w:customStyle="1" w:styleId="763">
    <w:name w:val="样式 样式 样式 标题 2 + 首行缩进:  0 字符 + (西文) Times New Roman + 首行缩进:  1 字符"/>
    <w:basedOn w:val="1"/>
    <w:qFormat/>
    <w:uiPriority w:val="0"/>
    <w:pPr>
      <w:keepNext/>
      <w:keepLines/>
      <w:tabs>
        <w:tab w:val="left" w:pos="2925"/>
      </w:tabs>
      <w:autoSpaceDN w:val="0"/>
      <w:spacing w:line="360" w:lineRule="auto"/>
      <w:outlineLvl w:val="1"/>
    </w:pPr>
    <w:rPr>
      <w:rFonts w:ascii="Times New Roman" w:hAnsi="Times New Roman" w:eastAsia="宋体" w:cs="宋体"/>
      <w:b/>
      <w:bCs/>
      <w:sz w:val="28"/>
      <w:szCs w:val="20"/>
    </w:rPr>
  </w:style>
  <w:style w:type="paragraph" w:customStyle="1" w:styleId="764">
    <w:name w:val="Char Char Char Char Char Char Char Char Char Char Char Char Char Char Char Char"/>
    <w:basedOn w:val="1"/>
    <w:qFormat/>
    <w:uiPriority w:val="0"/>
    <w:pPr>
      <w:spacing w:line="360" w:lineRule="auto"/>
      <w:ind w:firstLine="200" w:firstLineChars="200"/>
    </w:pPr>
    <w:rPr>
      <w:rFonts w:ascii="宋体" w:hAnsi="宋体" w:eastAsia="宋体" w:cs="宋体"/>
      <w:sz w:val="24"/>
      <w:szCs w:val="24"/>
    </w:rPr>
  </w:style>
  <w:style w:type="paragraph" w:customStyle="1" w:styleId="765">
    <w:name w:val="Char Char Char Char1 Char Char"/>
    <w:basedOn w:val="5"/>
    <w:qFormat/>
    <w:uiPriority w:val="0"/>
    <w:pPr>
      <w:tabs>
        <w:tab w:val="left" w:pos="0"/>
        <w:tab w:val="clear" w:pos="864"/>
      </w:tabs>
      <w:adjustRightInd w:val="0"/>
      <w:snapToGrid w:val="0"/>
      <w:spacing w:line="360" w:lineRule="auto"/>
      <w:ind w:left="0" w:firstLine="0"/>
      <w:jc w:val="center"/>
    </w:pPr>
    <w:rPr>
      <w:rFonts w:ascii="仿宋_GB2312" w:hAnsi="Arial" w:eastAsia="仿宋_GB2312" w:cs="Arial"/>
    </w:rPr>
  </w:style>
  <w:style w:type="paragraph" w:customStyle="1" w:styleId="766">
    <w:name w:val="Char Char Char Char4"/>
    <w:basedOn w:val="1"/>
    <w:qFormat/>
    <w:uiPriority w:val="0"/>
    <w:pPr>
      <w:spacing w:before="62" w:beforeLines="20" w:line="440" w:lineRule="atLeast"/>
      <w:ind w:firstLine="200" w:firstLineChars="200"/>
    </w:pPr>
    <w:rPr>
      <w:rFonts w:ascii="Times New Roman" w:hAnsi="Times New Roman" w:eastAsia="宋体" w:cs="Times New Roman"/>
      <w:szCs w:val="20"/>
    </w:rPr>
  </w:style>
  <w:style w:type="paragraph" w:customStyle="1" w:styleId="767">
    <w:name w:val="样式 居中 行距: 固定值 20 磅"/>
    <w:basedOn w:val="1"/>
    <w:qFormat/>
    <w:uiPriority w:val="0"/>
    <w:pPr>
      <w:spacing w:line="400" w:lineRule="exact"/>
      <w:jc w:val="center"/>
    </w:pPr>
    <w:rPr>
      <w:rFonts w:ascii="Times New Roman" w:hAnsi="Times New Roman" w:eastAsia="宋体" w:cs="Times New Roman"/>
      <w:sz w:val="24"/>
      <w:szCs w:val="24"/>
    </w:rPr>
  </w:style>
  <w:style w:type="paragraph" w:customStyle="1" w:styleId="768">
    <w:name w:val="正文2"/>
    <w:basedOn w:val="1"/>
    <w:qFormat/>
    <w:uiPriority w:val="0"/>
    <w:pPr>
      <w:adjustRightInd w:val="0"/>
      <w:snapToGrid w:val="0"/>
      <w:spacing w:line="440" w:lineRule="atLeast"/>
      <w:ind w:firstLine="510"/>
    </w:pPr>
    <w:rPr>
      <w:rFonts w:ascii="Times New Roman" w:hAnsi="Times New Roman" w:eastAsia="宋体" w:cs="Times New Roman"/>
      <w:szCs w:val="20"/>
    </w:rPr>
  </w:style>
  <w:style w:type="paragraph" w:customStyle="1" w:styleId="769">
    <w:name w:val="标题2"/>
    <w:basedOn w:val="1"/>
    <w:next w:val="1"/>
    <w:qFormat/>
    <w:uiPriority w:val="0"/>
    <w:rPr>
      <w:rFonts w:ascii="Times New Roman" w:hAnsi="Times New Roman" w:eastAsia="宋体" w:cs="Times New Roman"/>
      <w:szCs w:val="24"/>
    </w:rPr>
  </w:style>
  <w:style w:type="paragraph" w:customStyle="1" w:styleId="770">
    <w:name w:val="样式 样式 标题 2 + Times New Roman + 段前: 0.5 行 段后: 0.5 行1"/>
    <w:basedOn w:val="1"/>
    <w:qFormat/>
    <w:uiPriority w:val="0"/>
    <w:pPr>
      <w:keepNext/>
      <w:keepLines/>
      <w:spacing w:line="360" w:lineRule="auto"/>
      <w:outlineLvl w:val="1"/>
    </w:pPr>
    <w:rPr>
      <w:rFonts w:ascii="Times New Roman" w:hAnsi="Times New Roman" w:eastAsia="宋体" w:cs="宋体"/>
      <w:b/>
      <w:bCs/>
      <w:sz w:val="28"/>
      <w:szCs w:val="20"/>
    </w:rPr>
  </w:style>
  <w:style w:type="paragraph" w:customStyle="1" w:styleId="771">
    <w:name w:val="样式 日期 + 五号 行距: 固定值 20 磅"/>
    <w:basedOn w:val="30"/>
    <w:qFormat/>
    <w:uiPriority w:val="0"/>
    <w:pPr>
      <w:adjustRightInd w:val="0"/>
      <w:spacing w:line="400" w:lineRule="exact"/>
      <w:ind w:left="0" w:leftChars="0"/>
      <w:textAlignment w:val="baseline"/>
    </w:pPr>
    <w:rPr>
      <w:rFonts w:ascii="Times New Roman" w:hAnsi="Times New Roman" w:eastAsia="宋体" w:cs="宋体"/>
      <w:szCs w:val="20"/>
    </w:rPr>
  </w:style>
  <w:style w:type="paragraph" w:customStyle="1" w:styleId="772">
    <w:name w:val="标题3.5"/>
    <w:basedOn w:val="1"/>
    <w:qFormat/>
    <w:uiPriority w:val="0"/>
    <w:rPr>
      <w:rFonts w:ascii="Times New Roman" w:hAnsi="Times New Roman" w:eastAsia="仿宋_GB2312" w:cs="Times New Roman"/>
      <w:sz w:val="24"/>
      <w:szCs w:val="24"/>
    </w:rPr>
  </w:style>
  <w:style w:type="paragraph" w:customStyle="1" w:styleId="773">
    <w:name w:val="reader-word-layer reader-word-s1-28"/>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774">
    <w:name w:val="康利维格式"/>
    <w:basedOn w:val="52"/>
    <w:qFormat/>
    <w:uiPriority w:val="0"/>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character" w:customStyle="1" w:styleId="775">
    <w:name w:val="未处理的提及1"/>
    <w:semiHidden/>
    <w:unhideWhenUsed/>
    <w:qFormat/>
    <w:uiPriority w:val="99"/>
    <w:rPr>
      <w:color w:val="605E5C"/>
      <w:shd w:val="clear" w:color="auto" w:fill="E1DFDD"/>
    </w:rPr>
  </w:style>
  <w:style w:type="character" w:customStyle="1" w:styleId="776">
    <w:name w:val="正文缩进 Char"/>
    <w:qFormat/>
    <w:uiPriority w:val="0"/>
    <w:rPr>
      <w:rFonts w:eastAsia="宋体"/>
      <w:b/>
      <w:sz w:val="24"/>
      <w:lang w:val="en-US" w:eastAsia="zh-CN" w:bidi="ar-SA"/>
    </w:rPr>
  </w:style>
  <w:style w:type="paragraph" w:customStyle="1" w:styleId="777">
    <w:name w:val="样式 表格001 + Arial 五号 行距: 最小值 0 磅"/>
    <w:basedOn w:val="1"/>
    <w:qFormat/>
    <w:uiPriority w:val="0"/>
    <w:pPr>
      <w:spacing w:line="0" w:lineRule="atLeast"/>
      <w:jc w:val="center"/>
    </w:pPr>
    <w:rPr>
      <w:rFonts w:ascii="Arial" w:hAnsi="Arial" w:eastAsia="宋体" w:cs="宋体"/>
      <w:spacing w:val="10"/>
      <w:szCs w:val="20"/>
    </w:rPr>
  </w:style>
  <w:style w:type="character" w:customStyle="1" w:styleId="778">
    <w:name w:val="倪 表格内 Char"/>
    <w:link w:val="779"/>
    <w:qFormat/>
    <w:locked/>
    <w:uiPriority w:val="0"/>
    <w:rPr>
      <w:szCs w:val="21"/>
      <w:lang w:val="zh-CN" w:eastAsia="zh-CN"/>
    </w:rPr>
  </w:style>
  <w:style w:type="paragraph" w:customStyle="1" w:styleId="779">
    <w:name w:val="倪 表格内"/>
    <w:basedOn w:val="1"/>
    <w:link w:val="778"/>
    <w:qFormat/>
    <w:uiPriority w:val="0"/>
    <w:pPr>
      <w:widowControl/>
      <w:jc w:val="center"/>
    </w:pPr>
    <w:rPr>
      <w:szCs w:val="21"/>
      <w:lang w:val="zh-CN" w:eastAsia="zh-CN"/>
    </w:rPr>
  </w:style>
  <w:style w:type="paragraph" w:customStyle="1" w:styleId="780">
    <w:name w:val="生态表格正文"/>
    <w:basedOn w:val="1"/>
    <w:qFormat/>
    <w:uiPriority w:val="0"/>
    <w:pPr>
      <w:widowControl/>
      <w:spacing w:line="400" w:lineRule="exact"/>
      <w:ind w:firstLine="200" w:firstLineChars="200"/>
      <w:jc w:val="center"/>
    </w:pPr>
    <w:rPr>
      <w:rFonts w:ascii="Times New Roman" w:hAnsi="Times New Roman" w:eastAsia="仿宋_GB2312" w:cs="Times New Roman"/>
      <w:kern w:val="0"/>
      <w:sz w:val="24"/>
      <w:szCs w:val="21"/>
    </w:rPr>
  </w:style>
  <w:style w:type="character" w:customStyle="1" w:styleId="781">
    <w:name w:val="fontstyle01"/>
    <w:qFormat/>
    <w:uiPriority w:val="0"/>
    <w:rPr>
      <w:rFonts w:hint="eastAsia" w:ascii="宋体" w:hAnsi="宋体" w:eastAsia="宋体"/>
      <w:color w:val="000000"/>
      <w:sz w:val="24"/>
      <w:szCs w:val="24"/>
    </w:rPr>
  </w:style>
  <w:style w:type="character" w:customStyle="1" w:styleId="782">
    <w:name w:val="fontstyle21"/>
    <w:qFormat/>
    <w:uiPriority w:val="0"/>
    <w:rPr>
      <w:rFonts w:hint="default" w:ascii="TimesNewRoman" w:hAnsi="TimesNewRoman"/>
      <w:color w:val="000000"/>
      <w:sz w:val="24"/>
      <w:szCs w:val="24"/>
    </w:rPr>
  </w:style>
  <w:style w:type="paragraph" w:customStyle="1" w:styleId="783">
    <w:name w:val="样式19"/>
    <w:basedOn w:val="6"/>
    <w:qFormat/>
    <w:uiPriority w:val="0"/>
    <w:pPr>
      <w:spacing w:line="264" w:lineRule="auto"/>
      <w:ind w:firstLine="476" w:firstLineChars="0"/>
    </w:pPr>
    <w:rPr>
      <w:rFonts w:ascii="Arial" w:hAnsi="Arial" w:eastAsia="宋体" w:cs="Arial"/>
      <w:spacing w:val="10"/>
      <w:sz w:val="24"/>
      <w:szCs w:val="20"/>
    </w:rPr>
  </w:style>
  <w:style w:type="character" w:customStyle="1" w:styleId="784">
    <w:name w:val="公式解释 Char"/>
    <w:link w:val="785"/>
    <w:qFormat/>
    <w:locked/>
    <w:uiPriority w:val="0"/>
    <w:rPr>
      <w:szCs w:val="24"/>
      <w:lang w:val="zh-CN" w:eastAsia="zh-CN"/>
    </w:rPr>
  </w:style>
  <w:style w:type="paragraph" w:customStyle="1" w:styleId="785">
    <w:name w:val="公式解释"/>
    <w:basedOn w:val="1"/>
    <w:link w:val="784"/>
    <w:qFormat/>
    <w:uiPriority w:val="0"/>
    <w:pPr>
      <w:widowControl/>
      <w:spacing w:line="500" w:lineRule="exact"/>
    </w:pPr>
    <w:rPr>
      <w:szCs w:val="24"/>
      <w:lang w:val="zh-CN" w:eastAsia="zh-CN"/>
    </w:rPr>
  </w:style>
  <w:style w:type="character" w:customStyle="1" w:styleId="786">
    <w:name w:val="公式行格式 Char"/>
    <w:link w:val="787"/>
    <w:qFormat/>
    <w:locked/>
    <w:uiPriority w:val="0"/>
    <w:rPr>
      <w:rFonts w:ascii="Arial" w:hAnsi="Arial" w:cs="Arial"/>
      <w:szCs w:val="21"/>
      <w:lang w:val="zh-CN" w:eastAsia="zh-CN"/>
    </w:rPr>
  </w:style>
  <w:style w:type="paragraph" w:customStyle="1" w:styleId="787">
    <w:name w:val="公式行格式"/>
    <w:basedOn w:val="16"/>
    <w:link w:val="786"/>
    <w:qFormat/>
    <w:uiPriority w:val="0"/>
    <w:pPr>
      <w:widowControl/>
      <w:tabs>
        <w:tab w:val="center" w:pos="4620"/>
        <w:tab w:val="right" w:pos="9450"/>
      </w:tabs>
      <w:spacing w:beforeLines="50" w:afterLines="50"/>
      <w:jc w:val="center"/>
    </w:pPr>
    <w:rPr>
      <w:rFonts w:eastAsiaTheme="minorEastAsia"/>
      <w:szCs w:val="21"/>
      <w:lang w:val="zh-CN" w:eastAsia="zh-CN"/>
    </w:rPr>
  </w:style>
  <w:style w:type="character" w:customStyle="1" w:styleId="788">
    <w:name w:val="font01"/>
    <w:qFormat/>
    <w:uiPriority w:val="0"/>
    <w:rPr>
      <w:rFonts w:hint="eastAsia" w:ascii="宋体" w:hAnsi="宋体" w:eastAsia="宋体" w:cs="宋体"/>
      <w:color w:val="000000"/>
      <w:sz w:val="22"/>
      <w:szCs w:val="22"/>
      <w:u w:val="none"/>
    </w:rPr>
  </w:style>
  <w:style w:type="paragraph" w:customStyle="1" w:styleId="789">
    <w:name w:val="Body Text 22"/>
    <w:basedOn w:val="1"/>
    <w:qFormat/>
    <w:uiPriority w:val="0"/>
    <w:pPr>
      <w:adjustRightInd w:val="0"/>
      <w:spacing w:line="440" w:lineRule="atLeast"/>
      <w:ind w:firstLine="480"/>
    </w:pPr>
    <w:rPr>
      <w:rFonts w:ascii="Times New Roman" w:hAnsi="Times New Roman" w:eastAsia="仿宋_GB2312" w:cs="Times New Roman"/>
      <w:sz w:val="24"/>
      <w:szCs w:val="20"/>
    </w:rPr>
  </w:style>
  <w:style w:type="character" w:customStyle="1" w:styleId="790">
    <w:name w:val="样式7 Char"/>
    <w:link w:val="100"/>
    <w:qFormat/>
    <w:locked/>
    <w:uiPriority w:val="0"/>
    <w:rPr>
      <w:rFonts w:ascii="仿宋_GB2312" w:hAnsi="Arial" w:eastAsia="仿宋_GB2312" w:cs="Times New Roman"/>
      <w:b/>
      <w:sz w:val="24"/>
      <w:szCs w:val="20"/>
    </w:rPr>
  </w:style>
  <w:style w:type="character" w:customStyle="1" w:styleId="791">
    <w:name w:val="正文-1 Char"/>
    <w:link w:val="792"/>
    <w:qFormat/>
    <w:locked/>
    <w:uiPriority w:val="0"/>
    <w:rPr>
      <w:rFonts w:ascii="仿宋_GB2312" w:eastAsia="仿宋_GB2312"/>
      <w:sz w:val="32"/>
      <w:szCs w:val="24"/>
    </w:rPr>
  </w:style>
  <w:style w:type="paragraph" w:customStyle="1" w:styleId="792">
    <w:name w:val="正文-1"/>
    <w:basedOn w:val="1"/>
    <w:link w:val="791"/>
    <w:qFormat/>
    <w:uiPriority w:val="0"/>
    <w:pPr>
      <w:spacing w:line="560" w:lineRule="exact"/>
      <w:ind w:firstLine="200" w:firstLineChars="200"/>
    </w:pPr>
    <w:rPr>
      <w:rFonts w:ascii="仿宋_GB2312" w:eastAsia="仿宋_GB2312"/>
      <w:sz w:val="32"/>
      <w:szCs w:val="24"/>
    </w:rPr>
  </w:style>
  <w:style w:type="character" w:customStyle="1" w:styleId="793">
    <w:name w:val="td21"/>
    <w:qFormat/>
    <w:uiPriority w:val="0"/>
    <w:rPr>
      <w:sz w:val="21"/>
    </w:rPr>
  </w:style>
  <w:style w:type="character" w:customStyle="1" w:styleId="794">
    <w:name w:val="blacktt1"/>
    <w:qFormat/>
    <w:uiPriority w:val="0"/>
    <w:rPr>
      <w:rFonts w:hint="default"/>
      <w:color w:val="000000"/>
      <w:sz w:val="18"/>
      <w:u w:val="none"/>
    </w:rPr>
  </w:style>
  <w:style w:type="paragraph" w:customStyle="1" w:styleId="795">
    <w:name w:val="表内的表头"/>
    <w:basedOn w:val="1"/>
    <w:link w:val="796"/>
    <w:qFormat/>
    <w:uiPriority w:val="0"/>
    <w:pPr>
      <w:spacing w:line="440" w:lineRule="exact"/>
      <w:jc w:val="center"/>
    </w:pPr>
    <w:rPr>
      <w:rFonts w:ascii="Times New Roman" w:hAnsi="Times New Roman" w:eastAsia="黑体" w:cs="Times New Roman"/>
      <w:b/>
      <w:kern w:val="0"/>
      <w:szCs w:val="20"/>
    </w:rPr>
  </w:style>
  <w:style w:type="character" w:customStyle="1" w:styleId="796">
    <w:name w:val="表内的表头 Char"/>
    <w:link w:val="795"/>
    <w:qFormat/>
    <w:uiPriority w:val="0"/>
    <w:rPr>
      <w:rFonts w:ascii="Times New Roman" w:hAnsi="Times New Roman" w:eastAsia="黑体" w:cs="Times New Roman"/>
      <w:b/>
      <w:kern w:val="0"/>
      <w:szCs w:val="20"/>
    </w:rPr>
  </w:style>
  <w:style w:type="paragraph" w:customStyle="1" w:styleId="797">
    <w:name w:val="Char4"/>
    <w:basedOn w:val="1"/>
    <w:qFormat/>
    <w:uiPriority w:val="0"/>
    <w:pPr>
      <w:spacing w:line="360" w:lineRule="auto"/>
      <w:ind w:firstLine="200" w:firstLineChars="200"/>
    </w:pPr>
    <w:rPr>
      <w:rFonts w:ascii="宋体" w:hAnsi="宋体" w:eastAsia="宋体" w:cs="Times New Roman"/>
      <w:sz w:val="24"/>
      <w:szCs w:val="20"/>
    </w:rPr>
  </w:style>
  <w:style w:type="paragraph" w:customStyle="1" w:styleId="798">
    <w:name w:val="正文 缩进"/>
    <w:basedOn w:val="1"/>
    <w:link w:val="902"/>
    <w:qFormat/>
    <w:uiPriority w:val="0"/>
    <w:pPr>
      <w:spacing w:line="440" w:lineRule="exact"/>
      <w:ind w:firstLine="480" w:firstLineChars="200"/>
    </w:pPr>
    <w:rPr>
      <w:rFonts w:ascii="Times New Roman" w:hAnsi="Times New Roman" w:eastAsia="仿宋_GB2312" w:cs="Times New Roman"/>
      <w:kern w:val="0"/>
      <w:sz w:val="24"/>
      <w:szCs w:val="20"/>
    </w:rPr>
  </w:style>
  <w:style w:type="paragraph" w:customStyle="1" w:styleId="799">
    <w:name w:val="（表格说明"/>
    <w:basedOn w:val="1"/>
    <w:qFormat/>
    <w:uiPriority w:val="0"/>
    <w:pPr>
      <w:jc w:val="center"/>
    </w:pPr>
    <w:rPr>
      <w:rFonts w:ascii="仿宋_GB2312" w:hAnsi="Times New Roman" w:eastAsia="黑体" w:cs="Times New Roman"/>
      <w:b/>
      <w:color w:val="FF0000"/>
      <w:szCs w:val="20"/>
    </w:rPr>
  </w:style>
  <w:style w:type="paragraph" w:customStyle="1" w:styleId="800">
    <w:name w:val="(表格"/>
    <w:basedOn w:val="1"/>
    <w:qFormat/>
    <w:uiPriority w:val="0"/>
    <w:pPr>
      <w:jc w:val="center"/>
    </w:pPr>
    <w:rPr>
      <w:rFonts w:ascii="Times New Roman" w:hAnsi="Times New Roman" w:eastAsia="仿宋_GB2312" w:cs="Times New Roman"/>
      <w:color w:val="FF0000"/>
      <w:szCs w:val="20"/>
    </w:rPr>
  </w:style>
  <w:style w:type="paragraph" w:customStyle="1" w:styleId="801">
    <w:name w:val="样式9"/>
    <w:basedOn w:val="5"/>
    <w:link w:val="802"/>
    <w:qFormat/>
    <w:uiPriority w:val="0"/>
    <w:pPr>
      <w:tabs>
        <w:tab w:val="left" w:pos="851"/>
        <w:tab w:val="clear" w:pos="864"/>
      </w:tabs>
      <w:ind w:left="851" w:hanging="563"/>
      <w:jc w:val="center"/>
    </w:pPr>
    <w:rPr>
      <w:rFonts w:ascii="Arial" w:hAnsi="Arial" w:eastAsia="仿宋_GB2312"/>
      <w:kern w:val="0"/>
    </w:rPr>
  </w:style>
  <w:style w:type="character" w:customStyle="1" w:styleId="802">
    <w:name w:val="样式9 Char"/>
    <w:link w:val="801"/>
    <w:qFormat/>
    <w:uiPriority w:val="0"/>
    <w:rPr>
      <w:rFonts w:ascii="Arial" w:hAnsi="Arial" w:eastAsia="仿宋_GB2312" w:cs="Times New Roman"/>
      <w:b/>
      <w:kern w:val="0"/>
      <w:sz w:val="24"/>
      <w:szCs w:val="20"/>
    </w:rPr>
  </w:style>
  <w:style w:type="paragraph" w:customStyle="1" w:styleId="803">
    <w:name w:val="Char Char11"/>
    <w:basedOn w:val="1"/>
    <w:link w:val="804"/>
    <w:qFormat/>
    <w:uiPriority w:val="0"/>
    <w:rPr>
      <w:rFonts w:ascii="Times New Roman" w:hAnsi="Times New Roman" w:eastAsia="宋体" w:cs="Times New Roman"/>
      <w:sz w:val="24"/>
      <w:szCs w:val="24"/>
    </w:rPr>
  </w:style>
  <w:style w:type="character" w:customStyle="1" w:styleId="804">
    <w:name w:val="Char Char1 Char Char1"/>
    <w:link w:val="803"/>
    <w:qFormat/>
    <w:uiPriority w:val="0"/>
    <w:rPr>
      <w:rFonts w:ascii="Times New Roman" w:hAnsi="Times New Roman" w:eastAsia="宋体" w:cs="Times New Roman"/>
      <w:sz w:val="24"/>
      <w:szCs w:val="24"/>
    </w:rPr>
  </w:style>
  <w:style w:type="paragraph" w:customStyle="1" w:styleId="805">
    <w:name w:val="平湖02"/>
    <w:basedOn w:val="26"/>
    <w:autoRedefine/>
    <w:qFormat/>
    <w:uiPriority w:val="0"/>
    <w:pPr>
      <w:spacing w:line="264" w:lineRule="auto"/>
      <w:ind w:firstLine="509" w:firstLineChars="200"/>
    </w:pPr>
    <w:rPr>
      <w:rFonts w:ascii="微软雅黑" w:hAnsi="微软雅黑" w:eastAsia="微软雅黑" w:cs="宋体"/>
      <w:kern w:val="0"/>
      <w:sz w:val="24"/>
      <w:lang w:val="zh-CN" w:eastAsia="zh-CN"/>
    </w:rPr>
  </w:style>
  <w:style w:type="paragraph" w:customStyle="1" w:styleId="806">
    <w:name w:val="普通(网站)1"/>
    <w:basedOn w:val="1"/>
    <w:qFormat/>
    <w:uiPriority w:val="0"/>
    <w:pPr>
      <w:widowControl/>
      <w:spacing w:before="100" w:beforeAutospacing="1" w:after="100" w:afterAutospacing="1"/>
      <w:jc w:val="left"/>
    </w:pPr>
    <w:rPr>
      <w:rFonts w:hint="eastAsia" w:ascii="宋体" w:hAnsi="宋体" w:eastAsia="宋体" w:cs="Times New Roman"/>
      <w:sz w:val="24"/>
      <w:szCs w:val="20"/>
    </w:rPr>
  </w:style>
  <w:style w:type="character" w:customStyle="1" w:styleId="807">
    <w:name w:val="text1"/>
    <w:qFormat/>
    <w:uiPriority w:val="0"/>
    <w:rPr>
      <w:rFonts w:hint="eastAsia" w:ascii="宋体" w:hAnsi="宋体" w:eastAsia="宋体"/>
      <w:color w:val="999999"/>
      <w:sz w:val="18"/>
      <w:szCs w:val="18"/>
      <w:u w:val="none"/>
    </w:rPr>
  </w:style>
  <w:style w:type="paragraph" w:customStyle="1" w:styleId="808">
    <w:name w:val="正文文本的样式"/>
    <w:basedOn w:val="1"/>
    <w:link w:val="809"/>
    <w:qFormat/>
    <w:uiPriority w:val="0"/>
    <w:pPr>
      <w:widowControl/>
      <w:ind w:firstLine="200" w:firstLineChars="200"/>
      <w:jc w:val="left"/>
    </w:pPr>
    <w:rPr>
      <w:rFonts w:ascii="Arial" w:hAnsi="Arial" w:eastAsia="宋体" w:cs="Arial"/>
      <w:kern w:val="0"/>
      <w:sz w:val="24"/>
      <w:lang w:bidi="en-US"/>
    </w:rPr>
  </w:style>
  <w:style w:type="character" w:customStyle="1" w:styleId="809">
    <w:name w:val="正文文本的样式 Char"/>
    <w:link w:val="808"/>
    <w:qFormat/>
    <w:uiPriority w:val="0"/>
    <w:rPr>
      <w:rFonts w:ascii="Arial" w:hAnsi="Arial" w:eastAsia="宋体" w:cs="Arial"/>
      <w:kern w:val="0"/>
      <w:sz w:val="24"/>
      <w:lang w:bidi="en-US"/>
    </w:rPr>
  </w:style>
  <w:style w:type="paragraph" w:customStyle="1" w:styleId="810">
    <w:name w:val="样式 Times New Roman 行距: 1.5 倍行距"/>
    <w:basedOn w:val="1"/>
    <w:link w:val="811"/>
    <w:qFormat/>
    <w:uiPriority w:val="0"/>
    <w:pPr>
      <w:spacing w:line="360" w:lineRule="auto"/>
      <w:ind w:firstLine="480" w:firstLineChars="200"/>
    </w:pPr>
    <w:rPr>
      <w:rFonts w:ascii="Arial" w:hAnsi="Arial" w:eastAsia="宋体" w:cs="宋体"/>
      <w:kern w:val="0"/>
      <w:sz w:val="24"/>
      <w:szCs w:val="20"/>
    </w:rPr>
  </w:style>
  <w:style w:type="character" w:customStyle="1" w:styleId="811">
    <w:name w:val="样式 Times New Roman 行距: 1.5 倍行距 Char"/>
    <w:link w:val="810"/>
    <w:qFormat/>
    <w:uiPriority w:val="0"/>
    <w:rPr>
      <w:rFonts w:ascii="Arial" w:hAnsi="Arial" w:eastAsia="宋体" w:cs="宋体"/>
      <w:kern w:val="0"/>
      <w:sz w:val="24"/>
      <w:szCs w:val="20"/>
    </w:rPr>
  </w:style>
  <w:style w:type="paragraph" w:customStyle="1" w:styleId="812">
    <w:name w:val="Char Char Char Char2"/>
    <w:basedOn w:val="1"/>
    <w:qFormat/>
    <w:uiPriority w:val="0"/>
    <w:pPr>
      <w:spacing w:line="360" w:lineRule="auto"/>
      <w:ind w:firstLine="200" w:firstLineChars="200"/>
    </w:pPr>
    <w:rPr>
      <w:rFonts w:ascii="宋体" w:hAnsi="宋体" w:eastAsia="宋体" w:cs="Times New Roman"/>
      <w:sz w:val="24"/>
      <w:szCs w:val="20"/>
    </w:rPr>
  </w:style>
  <w:style w:type="paragraph" w:customStyle="1" w:styleId="813">
    <w:name w:val="普通(网站)2"/>
    <w:basedOn w:val="1"/>
    <w:qFormat/>
    <w:uiPriority w:val="0"/>
    <w:pPr>
      <w:widowControl/>
      <w:spacing w:before="100" w:beforeAutospacing="1" w:after="100" w:afterAutospacing="1"/>
      <w:jc w:val="left"/>
    </w:pPr>
    <w:rPr>
      <w:rFonts w:hint="eastAsia" w:ascii="宋体" w:hAnsi="宋体" w:eastAsia="宋体" w:cs="Times New Roman"/>
      <w:sz w:val="24"/>
      <w:szCs w:val="20"/>
    </w:rPr>
  </w:style>
  <w:style w:type="character" w:customStyle="1" w:styleId="814">
    <w:name w:val="五号表格表格 Char"/>
    <w:link w:val="815"/>
    <w:qFormat/>
    <w:uiPriority w:val="0"/>
    <w:rPr>
      <w:color w:val="000000"/>
      <w:kern w:val="18"/>
      <w:szCs w:val="21"/>
    </w:rPr>
  </w:style>
  <w:style w:type="paragraph" w:customStyle="1" w:styleId="815">
    <w:name w:val="五号表格表格"/>
    <w:basedOn w:val="1"/>
    <w:link w:val="814"/>
    <w:qFormat/>
    <w:uiPriority w:val="0"/>
    <w:pPr>
      <w:adjustRightInd w:val="0"/>
      <w:snapToGrid w:val="0"/>
      <w:jc w:val="center"/>
    </w:pPr>
    <w:rPr>
      <w:color w:val="000000"/>
      <w:kern w:val="18"/>
      <w:szCs w:val="21"/>
    </w:rPr>
  </w:style>
  <w:style w:type="paragraph" w:customStyle="1" w:styleId="816">
    <w:name w:val="Char31"/>
    <w:basedOn w:val="1"/>
    <w:qFormat/>
    <w:uiPriority w:val="0"/>
    <w:pPr>
      <w:spacing w:line="360" w:lineRule="auto"/>
      <w:ind w:firstLine="200" w:firstLineChars="200"/>
    </w:pPr>
    <w:rPr>
      <w:rFonts w:ascii="宋体" w:hAnsi="宋体" w:eastAsia="宋体" w:cs="Times New Roman"/>
      <w:sz w:val="24"/>
      <w:szCs w:val="20"/>
    </w:rPr>
  </w:style>
  <w:style w:type="paragraph" w:customStyle="1" w:styleId="817">
    <w:name w:val="Char Char Char Char3"/>
    <w:basedOn w:val="1"/>
    <w:qFormat/>
    <w:uiPriority w:val="0"/>
    <w:pPr>
      <w:spacing w:line="360" w:lineRule="auto"/>
      <w:ind w:firstLine="200" w:firstLineChars="200"/>
    </w:pPr>
    <w:rPr>
      <w:rFonts w:ascii="宋体" w:hAnsi="宋体" w:eastAsia="宋体" w:cs="Times New Roman"/>
      <w:sz w:val="24"/>
      <w:szCs w:val="20"/>
    </w:rPr>
  </w:style>
  <w:style w:type="paragraph" w:customStyle="1" w:styleId="818">
    <w:name w:val="Char Char1 Char Char Char Char Char Char Char Char Char Char Char Char Char Char Char Char Char Char1"/>
    <w:basedOn w:val="1"/>
    <w:qFormat/>
    <w:uiPriority w:val="0"/>
    <w:pPr>
      <w:spacing w:line="360" w:lineRule="auto"/>
      <w:ind w:firstLine="200" w:firstLineChars="200"/>
    </w:pPr>
    <w:rPr>
      <w:rFonts w:ascii="宋体" w:hAnsi="宋体" w:eastAsia="宋体" w:cs="Times New Roman"/>
      <w:sz w:val="24"/>
      <w:szCs w:val="20"/>
    </w:rPr>
  </w:style>
  <w:style w:type="paragraph" w:customStyle="1" w:styleId="819">
    <w:name w:val="Char Char31"/>
    <w:basedOn w:val="1"/>
    <w:qFormat/>
    <w:uiPriority w:val="0"/>
    <w:pPr>
      <w:ind w:firstLine="200" w:firstLineChars="200"/>
    </w:pPr>
    <w:rPr>
      <w:rFonts w:ascii="Times New Roman" w:hAnsi="Times New Roman" w:eastAsia="仿宋_GB2312" w:cs="Times New Roman"/>
      <w:sz w:val="34"/>
      <w:szCs w:val="24"/>
    </w:rPr>
  </w:style>
  <w:style w:type="paragraph" w:customStyle="1" w:styleId="820">
    <w:name w:val="普通(网站)3"/>
    <w:basedOn w:val="1"/>
    <w:qFormat/>
    <w:uiPriority w:val="0"/>
    <w:pPr>
      <w:widowControl/>
      <w:spacing w:before="100" w:beforeAutospacing="1" w:after="100" w:afterAutospacing="1"/>
      <w:jc w:val="left"/>
    </w:pPr>
    <w:rPr>
      <w:rFonts w:hint="eastAsia" w:ascii="宋体" w:hAnsi="宋体" w:eastAsia="宋体" w:cs="Times New Roman"/>
      <w:sz w:val="24"/>
      <w:szCs w:val="20"/>
    </w:rPr>
  </w:style>
  <w:style w:type="paragraph" w:customStyle="1" w:styleId="821">
    <w:name w:val="(1表格"/>
    <w:basedOn w:val="3"/>
    <w:qFormat/>
    <w:uiPriority w:val="0"/>
    <w:pPr>
      <w:keepNext w:val="0"/>
      <w:keepLines w:val="0"/>
      <w:tabs>
        <w:tab w:val="clear" w:pos="576"/>
      </w:tabs>
      <w:spacing w:before="0" w:after="0" w:line="240" w:lineRule="auto"/>
      <w:ind w:left="0" w:firstLine="0"/>
      <w:jc w:val="center"/>
    </w:pPr>
    <w:rPr>
      <w:rFonts w:ascii="Times New Roman" w:hAnsi="Times New Roman" w:eastAsia="仿宋_GB2312"/>
      <w:b w:val="0"/>
      <w:bCs w:val="0"/>
      <w:color w:val="000000"/>
      <w:sz w:val="21"/>
      <w:szCs w:val="30"/>
    </w:rPr>
  </w:style>
  <w:style w:type="paragraph" w:customStyle="1" w:styleId="822">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rFonts w:ascii="Times New Roman" w:hAnsi="Times New Roman" w:eastAsia="宋体" w:cs="Times New Roman"/>
      <w:b/>
      <w:bCs/>
      <w:sz w:val="24"/>
      <w:szCs w:val="20"/>
      <w:lang w:val="zh-CN"/>
    </w:rPr>
  </w:style>
  <w:style w:type="character" w:customStyle="1" w:styleId="823">
    <w:name w:val="表格标题 Char2"/>
    <w:qFormat/>
    <w:uiPriority w:val="0"/>
    <w:rPr>
      <w:rFonts w:ascii="Times New Roman" w:hAnsi="Times New Roman" w:eastAsia="宋体" w:cs="Times New Roman"/>
      <w:color w:val="000000"/>
      <w:kern w:val="0"/>
      <w:szCs w:val="21"/>
    </w:rPr>
  </w:style>
  <w:style w:type="character" w:customStyle="1" w:styleId="824">
    <w:name w:val="2缩进正文 Char"/>
    <w:link w:val="825"/>
    <w:qFormat/>
    <w:uiPriority w:val="0"/>
    <w:rPr>
      <w:sz w:val="24"/>
      <w:szCs w:val="24"/>
    </w:rPr>
  </w:style>
  <w:style w:type="paragraph" w:customStyle="1" w:styleId="825">
    <w:name w:val="2缩进正文"/>
    <w:basedOn w:val="1"/>
    <w:link w:val="824"/>
    <w:qFormat/>
    <w:uiPriority w:val="0"/>
    <w:pPr>
      <w:spacing w:line="360" w:lineRule="auto"/>
      <w:ind w:firstLine="200" w:firstLineChars="200"/>
    </w:pPr>
    <w:rPr>
      <w:sz w:val="24"/>
      <w:szCs w:val="24"/>
    </w:rPr>
  </w:style>
  <w:style w:type="paragraph" w:customStyle="1" w:styleId="826">
    <w:name w:val="正文（ZJGYU）"/>
    <w:basedOn w:val="1"/>
    <w:link w:val="827"/>
    <w:qFormat/>
    <w:uiPriority w:val="0"/>
    <w:pPr>
      <w:spacing w:line="440" w:lineRule="exact"/>
      <w:ind w:firstLine="200" w:firstLineChars="200"/>
    </w:pPr>
    <w:rPr>
      <w:rFonts w:ascii="Times New Roman" w:hAnsi="Times New Roman" w:eastAsia="宋体" w:cs="Times New Roman"/>
      <w:sz w:val="24"/>
      <w:szCs w:val="24"/>
    </w:rPr>
  </w:style>
  <w:style w:type="character" w:customStyle="1" w:styleId="827">
    <w:name w:val="正文（ZJGYU） Char"/>
    <w:link w:val="826"/>
    <w:qFormat/>
    <w:uiPriority w:val="0"/>
    <w:rPr>
      <w:rFonts w:ascii="Times New Roman" w:hAnsi="Times New Roman" w:eastAsia="宋体" w:cs="Times New Roman"/>
      <w:sz w:val="24"/>
      <w:szCs w:val="24"/>
    </w:rPr>
  </w:style>
  <w:style w:type="paragraph" w:customStyle="1" w:styleId="828">
    <w:name w:val="魏秀珍   正文"/>
    <w:basedOn w:val="6"/>
    <w:link w:val="829"/>
    <w:qFormat/>
    <w:uiPriority w:val="0"/>
    <w:pPr>
      <w:adjustRightInd w:val="0"/>
      <w:snapToGrid w:val="0"/>
      <w:spacing w:line="360" w:lineRule="auto"/>
      <w:ind w:firstLine="200"/>
      <w:jc w:val="left"/>
    </w:pPr>
    <w:rPr>
      <w:rFonts w:ascii="Calibri" w:hAnsi="Calibri" w:eastAsia="宋体" w:cs="Times New Roman"/>
      <w:sz w:val="24"/>
      <w:szCs w:val="20"/>
      <w:lang w:val="en-GB"/>
    </w:rPr>
  </w:style>
  <w:style w:type="character" w:customStyle="1" w:styleId="829">
    <w:name w:val="魏秀珍   正文 Char"/>
    <w:link w:val="828"/>
    <w:qFormat/>
    <w:locked/>
    <w:uiPriority w:val="0"/>
    <w:rPr>
      <w:rFonts w:ascii="Calibri" w:hAnsi="Calibri" w:eastAsia="宋体" w:cs="Times New Roman"/>
      <w:sz w:val="24"/>
      <w:szCs w:val="20"/>
      <w:lang w:val="en-GB"/>
    </w:rPr>
  </w:style>
  <w:style w:type="paragraph" w:customStyle="1" w:styleId="830">
    <w:name w:val="表格文字1"/>
    <w:basedOn w:val="1"/>
    <w:link w:val="831"/>
    <w:autoRedefine/>
    <w:qFormat/>
    <w:uiPriority w:val="0"/>
    <w:pPr>
      <w:widowControl/>
      <w:tabs>
        <w:tab w:val="left" w:pos="0"/>
      </w:tabs>
      <w:autoSpaceDE w:val="0"/>
      <w:autoSpaceDN w:val="0"/>
      <w:adjustRightInd w:val="0"/>
      <w:spacing w:line="0" w:lineRule="atLeast"/>
      <w:jc w:val="center"/>
      <w:textAlignment w:val="baseline"/>
    </w:pPr>
    <w:rPr>
      <w:rFonts w:ascii="Arial" w:hAnsi="宋体" w:eastAsia="宋体" w:cs="Times New Roman"/>
      <w:color w:val="00B0F0"/>
      <w:szCs w:val="21"/>
      <w:lang w:val="zh-CN" w:eastAsia="zh-CN"/>
    </w:rPr>
  </w:style>
  <w:style w:type="character" w:customStyle="1" w:styleId="831">
    <w:name w:val="表格文字1 Char"/>
    <w:link w:val="830"/>
    <w:qFormat/>
    <w:uiPriority w:val="0"/>
    <w:rPr>
      <w:rFonts w:ascii="Arial" w:hAnsi="宋体" w:eastAsia="宋体" w:cs="Times New Roman"/>
      <w:color w:val="00B0F0"/>
      <w:szCs w:val="21"/>
      <w:lang w:val="zh-CN" w:eastAsia="zh-CN"/>
    </w:rPr>
  </w:style>
  <w:style w:type="paragraph" w:customStyle="1" w:styleId="832">
    <w:name w:val="正文wwwww"/>
    <w:basedOn w:val="1"/>
    <w:next w:val="1"/>
    <w:link w:val="833"/>
    <w:qFormat/>
    <w:uiPriority w:val="0"/>
    <w:pPr>
      <w:widowControl/>
      <w:snapToGrid w:val="0"/>
      <w:spacing w:line="360" w:lineRule="auto"/>
      <w:ind w:firstLine="482"/>
      <w:jc w:val="left"/>
    </w:pPr>
    <w:rPr>
      <w:rFonts w:ascii="Arial" w:hAnsi="Arial" w:eastAsia="宋体" w:cs="Times New Roman"/>
      <w:kern w:val="0"/>
      <w:sz w:val="24"/>
      <w:szCs w:val="24"/>
      <w:lang w:val="zh-CN" w:eastAsia="zh-CN"/>
    </w:rPr>
  </w:style>
  <w:style w:type="character" w:customStyle="1" w:styleId="833">
    <w:name w:val="正文wwwww Char"/>
    <w:link w:val="832"/>
    <w:qFormat/>
    <w:uiPriority w:val="0"/>
    <w:rPr>
      <w:rFonts w:ascii="Arial" w:hAnsi="Arial" w:eastAsia="宋体" w:cs="Times New Roman"/>
      <w:kern w:val="0"/>
      <w:sz w:val="24"/>
      <w:szCs w:val="24"/>
      <w:lang w:val="zh-CN" w:eastAsia="zh-CN"/>
    </w:rPr>
  </w:style>
  <w:style w:type="paragraph" w:customStyle="1" w:styleId="834">
    <w:name w:val="样式 表格样式1 + (西文) Arial (中文) 宋体 自动设置 两端对齐 行距: 单倍行距"/>
    <w:basedOn w:val="1"/>
    <w:qFormat/>
    <w:uiPriority w:val="0"/>
    <w:rPr>
      <w:rFonts w:ascii="Arial" w:hAnsi="Arial" w:eastAsia="宋体" w:cs="宋体"/>
      <w:sz w:val="24"/>
      <w:szCs w:val="24"/>
    </w:rPr>
  </w:style>
  <w:style w:type="paragraph" w:customStyle="1" w:styleId="835">
    <w:name w:val="！！表格编号"/>
    <w:basedOn w:val="1"/>
    <w:qFormat/>
    <w:uiPriority w:val="0"/>
    <w:pPr>
      <w:widowControl/>
      <w:numPr>
        <w:ilvl w:val="0"/>
        <w:numId w:val="2"/>
      </w:numPr>
      <w:spacing w:line="240" w:lineRule="exact"/>
      <w:ind w:left="0"/>
      <w:jc w:val="center"/>
    </w:pPr>
    <w:rPr>
      <w:rFonts w:ascii="Times New Roman" w:hAnsi="Times New Roman" w:eastAsia="宋体" w:cs="Times New Roman"/>
      <w:szCs w:val="24"/>
    </w:rPr>
  </w:style>
  <w:style w:type="paragraph" w:customStyle="1" w:styleId="836">
    <w:name w:val="！！表格文本"/>
    <w:basedOn w:val="1"/>
    <w:link w:val="837"/>
    <w:qFormat/>
    <w:uiPriority w:val="0"/>
    <w:pPr>
      <w:widowControl/>
      <w:spacing w:line="288" w:lineRule="auto"/>
      <w:jc w:val="left"/>
    </w:pPr>
    <w:rPr>
      <w:rFonts w:ascii="Times New Roman" w:hAnsi="Times New Roman" w:eastAsia="宋体" w:cs="Times New Roman"/>
      <w:szCs w:val="20"/>
    </w:rPr>
  </w:style>
  <w:style w:type="character" w:customStyle="1" w:styleId="837">
    <w:name w:val="！！表格文本 Char Char"/>
    <w:link w:val="836"/>
    <w:qFormat/>
    <w:uiPriority w:val="0"/>
    <w:rPr>
      <w:rFonts w:ascii="Times New Roman" w:hAnsi="Times New Roman" w:eastAsia="宋体" w:cs="Times New Roman"/>
      <w:szCs w:val="20"/>
    </w:rPr>
  </w:style>
  <w:style w:type="paragraph" w:customStyle="1" w:styleId="838">
    <w:name w:val="！！二级标题"/>
    <w:basedOn w:val="3"/>
    <w:next w:val="839"/>
    <w:qFormat/>
    <w:uiPriority w:val="0"/>
    <w:pPr>
      <w:numPr>
        <w:ilvl w:val="1"/>
        <w:numId w:val="3"/>
      </w:numPr>
      <w:tabs>
        <w:tab w:val="clear" w:pos="576"/>
      </w:tabs>
      <w:spacing w:before="0" w:beforeLines="20" w:after="0" w:afterLines="20" w:line="240" w:lineRule="auto"/>
    </w:pPr>
    <w:rPr>
      <w:rFonts w:ascii="Times New Roman" w:hAnsi="Times New Roman"/>
      <w:b w:val="0"/>
      <w:bCs w:val="0"/>
      <w:sz w:val="28"/>
      <w:lang w:val="en-GB"/>
    </w:rPr>
  </w:style>
  <w:style w:type="paragraph" w:customStyle="1" w:styleId="839">
    <w:name w:val="！！文本正文"/>
    <w:basedOn w:val="1"/>
    <w:link w:val="840"/>
    <w:qFormat/>
    <w:uiPriority w:val="0"/>
    <w:pPr>
      <w:tabs>
        <w:tab w:val="left" w:pos="0"/>
        <w:tab w:val="left" w:pos="1740"/>
      </w:tabs>
      <w:spacing w:line="360" w:lineRule="auto"/>
      <w:ind w:firstLine="200" w:firstLineChars="200"/>
      <w:jc w:val="left"/>
    </w:pPr>
    <w:rPr>
      <w:rFonts w:ascii="Times New Roman" w:hAnsi="Times New Roman" w:eastAsia="宋体" w:cs="Times New Roman"/>
      <w:kern w:val="0"/>
      <w:sz w:val="24"/>
      <w:szCs w:val="30"/>
    </w:rPr>
  </w:style>
  <w:style w:type="character" w:customStyle="1" w:styleId="840">
    <w:name w:val="！！文本正文 Char"/>
    <w:link w:val="839"/>
    <w:qFormat/>
    <w:uiPriority w:val="0"/>
    <w:rPr>
      <w:rFonts w:ascii="Times New Roman" w:hAnsi="Times New Roman" w:eastAsia="宋体" w:cs="Times New Roman"/>
      <w:kern w:val="0"/>
      <w:sz w:val="24"/>
      <w:szCs w:val="30"/>
    </w:rPr>
  </w:style>
  <w:style w:type="paragraph" w:customStyle="1" w:styleId="841">
    <w:name w:val="！！三级标题"/>
    <w:basedOn w:val="1"/>
    <w:next w:val="839"/>
    <w:link w:val="842"/>
    <w:qFormat/>
    <w:uiPriority w:val="0"/>
    <w:pPr>
      <w:numPr>
        <w:ilvl w:val="2"/>
        <w:numId w:val="3"/>
      </w:numPr>
      <w:adjustRightInd w:val="0"/>
      <w:snapToGrid w:val="0"/>
      <w:spacing w:beforeLines="20" w:afterLines="20"/>
      <w:jc w:val="left"/>
      <w:outlineLvl w:val="2"/>
    </w:pPr>
    <w:rPr>
      <w:rFonts w:ascii="Times New Roman" w:hAnsi="Times New Roman" w:eastAsia="宋体" w:cs="Times New Roman"/>
      <w:b/>
      <w:kern w:val="10"/>
      <w:sz w:val="24"/>
      <w:szCs w:val="24"/>
    </w:rPr>
  </w:style>
  <w:style w:type="character" w:customStyle="1" w:styleId="842">
    <w:name w:val="！！三级标题 Char"/>
    <w:link w:val="841"/>
    <w:qFormat/>
    <w:uiPriority w:val="0"/>
    <w:rPr>
      <w:rFonts w:ascii="Times New Roman" w:hAnsi="Times New Roman" w:eastAsia="宋体" w:cs="Times New Roman"/>
      <w:b/>
      <w:kern w:val="10"/>
      <w:sz w:val="24"/>
      <w:szCs w:val="24"/>
    </w:rPr>
  </w:style>
  <w:style w:type="paragraph" w:customStyle="1" w:styleId="843">
    <w:name w:val="！！一级标题"/>
    <w:basedOn w:val="2"/>
    <w:next w:val="839"/>
    <w:qFormat/>
    <w:uiPriority w:val="0"/>
    <w:pPr>
      <w:keepLines w:val="0"/>
      <w:numPr>
        <w:ilvl w:val="0"/>
        <w:numId w:val="3"/>
      </w:numPr>
      <w:tabs>
        <w:tab w:val="clear" w:pos="432"/>
      </w:tabs>
      <w:spacing w:before="100" w:beforeLines="20" w:after="0" w:afterLines="20" w:line="240" w:lineRule="auto"/>
      <w:jc w:val="left"/>
    </w:pPr>
    <w:rPr>
      <w:rFonts w:eastAsia="黑体"/>
      <w:b w:val="0"/>
      <w:color w:val="000000"/>
      <w:kern w:val="2"/>
      <w:sz w:val="32"/>
      <w:szCs w:val="32"/>
    </w:rPr>
  </w:style>
  <w:style w:type="paragraph" w:customStyle="1" w:styleId="844">
    <w:name w:val="表格 标题"/>
    <w:link w:val="845"/>
    <w:qFormat/>
    <w:uiPriority w:val="0"/>
    <w:pPr>
      <w:snapToGrid w:val="0"/>
      <w:spacing w:before="60" w:after="60"/>
      <w:jc w:val="center"/>
    </w:pPr>
    <w:rPr>
      <w:rFonts w:ascii="Times New Roman" w:hAnsi="Times New Roman" w:eastAsia="仿宋_GB2312" w:cs="Times New Roman"/>
      <w:b/>
      <w:kern w:val="2"/>
      <w:sz w:val="24"/>
      <w:szCs w:val="24"/>
      <w:lang w:val="en-US" w:eastAsia="zh-CN" w:bidi="ar-SA"/>
    </w:rPr>
  </w:style>
  <w:style w:type="character" w:customStyle="1" w:styleId="845">
    <w:name w:val="表格 标题 Char"/>
    <w:link w:val="844"/>
    <w:qFormat/>
    <w:uiPriority w:val="0"/>
    <w:rPr>
      <w:rFonts w:ascii="Times New Roman" w:hAnsi="Times New Roman" w:eastAsia="仿宋_GB2312" w:cs="Times New Roman"/>
      <w:b/>
      <w:sz w:val="24"/>
      <w:szCs w:val="24"/>
    </w:rPr>
  </w:style>
  <w:style w:type="paragraph" w:customStyle="1" w:styleId="846">
    <w:name w:val="报告书 正文"/>
    <w:link w:val="847"/>
    <w:qFormat/>
    <w:uiPriority w:val="0"/>
    <w:pPr>
      <w:widowControl w:val="0"/>
      <w:adjustRightInd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character" w:customStyle="1" w:styleId="847">
    <w:name w:val="报告书 正文 Char"/>
    <w:link w:val="846"/>
    <w:qFormat/>
    <w:uiPriority w:val="0"/>
    <w:rPr>
      <w:rFonts w:ascii="Times New Roman" w:hAnsi="Times New Roman" w:eastAsia="仿宋_GB2312" w:cs="Times New Roman"/>
      <w:sz w:val="28"/>
      <w:szCs w:val="24"/>
    </w:rPr>
  </w:style>
  <w:style w:type="paragraph" w:customStyle="1" w:styleId="848">
    <w:name w:val="表格 标注"/>
    <w:link w:val="849"/>
    <w:qFormat/>
    <w:uiPriority w:val="0"/>
    <w:pPr>
      <w:widowControl w:val="0"/>
      <w:snapToGrid w:val="0"/>
    </w:pPr>
    <w:rPr>
      <w:rFonts w:ascii="Times New Roman" w:hAnsi="Times New Roman" w:eastAsia="仿宋_GB2312" w:cs="Times New Roman"/>
      <w:kern w:val="2"/>
      <w:sz w:val="21"/>
      <w:szCs w:val="18"/>
      <w:lang w:val="en-US" w:eastAsia="zh-CN" w:bidi="ar-SA"/>
    </w:rPr>
  </w:style>
  <w:style w:type="character" w:customStyle="1" w:styleId="849">
    <w:name w:val="表格 标注 Char"/>
    <w:link w:val="848"/>
    <w:qFormat/>
    <w:uiPriority w:val="0"/>
    <w:rPr>
      <w:rFonts w:ascii="Times New Roman" w:hAnsi="Times New Roman" w:eastAsia="仿宋_GB2312" w:cs="Times New Roman"/>
      <w:szCs w:val="18"/>
    </w:rPr>
  </w:style>
  <w:style w:type="paragraph" w:customStyle="1" w:styleId="850">
    <w:name w:val="表标题"/>
    <w:basedOn w:val="1"/>
    <w:link w:val="851"/>
    <w:qFormat/>
    <w:uiPriority w:val="0"/>
    <w:pPr>
      <w:adjustRightInd w:val="0"/>
      <w:snapToGrid w:val="0"/>
      <w:spacing w:before="60" w:after="60"/>
      <w:jc w:val="center"/>
    </w:pPr>
    <w:rPr>
      <w:rFonts w:ascii="Times New Roman" w:hAnsi="Times New Roman" w:eastAsia="仿宋_GB2312" w:cs="Times New Roman"/>
      <w:b/>
      <w:bCs/>
      <w:kern w:val="0"/>
      <w:sz w:val="24"/>
      <w:lang w:val="zh-CN" w:eastAsia="zh-CN"/>
    </w:rPr>
  </w:style>
  <w:style w:type="character" w:customStyle="1" w:styleId="851">
    <w:name w:val="表标题 Char"/>
    <w:link w:val="850"/>
    <w:qFormat/>
    <w:uiPriority w:val="0"/>
    <w:rPr>
      <w:rFonts w:ascii="Times New Roman" w:hAnsi="Times New Roman" w:eastAsia="仿宋_GB2312" w:cs="Times New Roman"/>
      <w:b/>
      <w:bCs/>
      <w:kern w:val="0"/>
      <w:sz w:val="24"/>
      <w:lang w:val="zh-CN" w:eastAsia="zh-CN"/>
    </w:rPr>
  </w:style>
  <w:style w:type="paragraph" w:customStyle="1" w:styleId="852">
    <w:name w:val="！！题注"/>
    <w:basedOn w:val="1"/>
    <w:next w:val="1"/>
    <w:link w:val="853"/>
    <w:autoRedefine/>
    <w:qFormat/>
    <w:uiPriority w:val="0"/>
    <w:pPr>
      <w:tabs>
        <w:tab w:val="left" w:pos="0"/>
      </w:tabs>
      <w:jc w:val="center"/>
      <w:outlineLvl w:val="3"/>
    </w:pPr>
    <w:rPr>
      <w:rFonts w:ascii="Arial" w:hAnsi="Arial" w:eastAsia="宋体" w:cs="Arial"/>
      <w:b/>
      <w:sz w:val="24"/>
      <w:szCs w:val="24"/>
    </w:rPr>
  </w:style>
  <w:style w:type="character" w:customStyle="1" w:styleId="853">
    <w:name w:val="！！题注 Char"/>
    <w:link w:val="852"/>
    <w:qFormat/>
    <w:uiPriority w:val="0"/>
    <w:rPr>
      <w:rFonts w:ascii="Arial" w:hAnsi="Arial" w:eastAsia="宋体" w:cs="Arial"/>
      <w:b/>
      <w:sz w:val="24"/>
      <w:szCs w:val="24"/>
    </w:rPr>
  </w:style>
  <w:style w:type="character" w:customStyle="1" w:styleId="854">
    <w:name w:val="description"/>
    <w:qFormat/>
    <w:uiPriority w:val="0"/>
  </w:style>
  <w:style w:type="character" w:customStyle="1" w:styleId="855">
    <w:name w:val="表格抬头 字符"/>
    <w:link w:val="856"/>
    <w:qFormat/>
    <w:locked/>
    <w:uiPriority w:val="0"/>
    <w:rPr>
      <w:b/>
      <w:szCs w:val="21"/>
    </w:rPr>
  </w:style>
  <w:style w:type="paragraph" w:customStyle="1" w:styleId="856">
    <w:name w:val="表格抬头"/>
    <w:basedOn w:val="1"/>
    <w:link w:val="855"/>
    <w:qFormat/>
    <w:uiPriority w:val="0"/>
    <w:pPr>
      <w:adjustRightInd w:val="0"/>
      <w:snapToGrid w:val="0"/>
      <w:ind w:left="420" w:hanging="420"/>
      <w:jc w:val="center"/>
    </w:pPr>
    <w:rPr>
      <w:b/>
      <w:szCs w:val="21"/>
    </w:rPr>
  </w:style>
  <w:style w:type="character" w:customStyle="1" w:styleId="857">
    <w:name w:val="黑体字提示 Char"/>
    <w:link w:val="858"/>
    <w:qFormat/>
    <w:locked/>
    <w:uiPriority w:val="0"/>
    <w:rPr>
      <w:rFonts w:ascii="黑体" w:hAnsi="黑体" w:eastAsia="黑体"/>
      <w:sz w:val="24"/>
    </w:rPr>
  </w:style>
  <w:style w:type="paragraph" w:customStyle="1" w:styleId="858">
    <w:name w:val="黑体字提示"/>
    <w:basedOn w:val="1"/>
    <w:link w:val="857"/>
    <w:qFormat/>
    <w:uiPriority w:val="0"/>
    <w:pPr>
      <w:adjustRightInd w:val="0"/>
      <w:snapToGrid w:val="0"/>
      <w:spacing w:beforeLines="50" w:line="360" w:lineRule="auto"/>
      <w:ind w:firstLine="480" w:firstLineChars="200"/>
    </w:pPr>
    <w:rPr>
      <w:rFonts w:ascii="黑体" w:hAnsi="黑体" w:eastAsia="黑体"/>
      <w:sz w:val="24"/>
    </w:rPr>
  </w:style>
  <w:style w:type="character" w:customStyle="1" w:styleId="859">
    <w:name w:val="Char Char151"/>
    <w:qFormat/>
    <w:uiPriority w:val="0"/>
    <w:rPr>
      <w:rFonts w:ascii="Arial" w:hAnsi="Arial" w:eastAsia="宋体"/>
      <w:kern w:val="2"/>
      <w:sz w:val="24"/>
      <w:lang w:val="en-US" w:eastAsia="zh-CN"/>
    </w:rPr>
  </w:style>
  <w:style w:type="character" w:customStyle="1" w:styleId="860">
    <w:name w:val="tabs"/>
    <w:qFormat/>
    <w:uiPriority w:val="0"/>
  </w:style>
  <w:style w:type="character" w:customStyle="1" w:styleId="861">
    <w:name w:val="Char Char141"/>
    <w:qFormat/>
    <w:uiPriority w:val="0"/>
    <w:rPr>
      <w:rFonts w:ascii="宋体" w:hAnsi="Courier New" w:eastAsia="宋体" w:cs="Courier New"/>
      <w:kern w:val="2"/>
      <w:sz w:val="21"/>
      <w:szCs w:val="21"/>
      <w:lang w:val="en-US" w:eastAsia="zh-CN" w:bidi="ar-SA"/>
    </w:rPr>
  </w:style>
  <w:style w:type="character" w:customStyle="1" w:styleId="862">
    <w:name w:val="number"/>
    <w:qFormat/>
    <w:uiPriority w:val="0"/>
  </w:style>
  <w:style w:type="character" w:customStyle="1" w:styleId="863">
    <w:name w:val="color:#000000 font-family:宋体 font-size:12pt"/>
    <w:qFormat/>
    <w:uiPriority w:val="0"/>
  </w:style>
  <w:style w:type="character" w:customStyle="1" w:styleId="864">
    <w:name w:val="color:#000000 font-family:arial font-size:12pt"/>
    <w:qFormat/>
    <w:uiPriority w:val="0"/>
  </w:style>
  <w:style w:type="character" w:customStyle="1" w:styleId="865">
    <w:name w:val="zw1"/>
    <w:qFormat/>
    <w:uiPriority w:val="0"/>
    <w:rPr>
      <w:rFonts w:hint="eastAsia" w:ascii="宋体" w:hAnsi="宋体" w:eastAsia="宋体"/>
      <w:sz w:val="22"/>
      <w:szCs w:val="22"/>
    </w:rPr>
  </w:style>
  <w:style w:type="character" w:customStyle="1" w:styleId="866">
    <w:name w:val="表格中 Char"/>
    <w:link w:val="867"/>
    <w:qFormat/>
    <w:uiPriority w:val="0"/>
    <w:rPr>
      <w:rFonts w:ascii="Arial" w:hAnsi="Arial" w:cs="Arial"/>
      <w:szCs w:val="21"/>
    </w:rPr>
  </w:style>
  <w:style w:type="paragraph" w:customStyle="1" w:styleId="867">
    <w:name w:val="表格中"/>
    <w:basedOn w:val="1"/>
    <w:next w:val="1"/>
    <w:link w:val="866"/>
    <w:qFormat/>
    <w:uiPriority w:val="0"/>
    <w:pPr>
      <w:widowControl/>
      <w:spacing w:line="360" w:lineRule="exact"/>
      <w:ind w:firstLine="200" w:firstLineChars="200"/>
      <w:jc w:val="center"/>
    </w:pPr>
    <w:rPr>
      <w:rFonts w:ascii="Arial" w:hAnsi="Arial" w:cs="Arial"/>
      <w:szCs w:val="21"/>
    </w:rPr>
  </w:style>
  <w:style w:type="character" w:customStyle="1" w:styleId="868">
    <w:name w:val="content_caption1"/>
    <w:qFormat/>
    <w:uiPriority w:val="0"/>
    <w:rPr>
      <w:rFonts w:hint="default"/>
      <w:b/>
      <w:bCs/>
      <w:color w:val="FF0000"/>
      <w:sz w:val="21"/>
      <w:szCs w:val="21"/>
    </w:rPr>
  </w:style>
  <w:style w:type="character" w:customStyle="1" w:styleId="869">
    <w:name w:val="5文章(治) Char Char"/>
    <w:link w:val="870"/>
    <w:qFormat/>
    <w:uiPriority w:val="0"/>
    <w:rPr>
      <w:sz w:val="24"/>
    </w:rPr>
  </w:style>
  <w:style w:type="paragraph" w:customStyle="1" w:styleId="870">
    <w:name w:val="5文章(治)"/>
    <w:basedOn w:val="1"/>
    <w:link w:val="869"/>
    <w:qFormat/>
    <w:uiPriority w:val="0"/>
    <w:pPr>
      <w:spacing w:line="360" w:lineRule="auto"/>
      <w:ind w:firstLine="480" w:firstLineChars="200"/>
    </w:pPr>
    <w:rPr>
      <w:sz w:val="24"/>
    </w:rPr>
  </w:style>
  <w:style w:type="character" w:customStyle="1" w:styleId="871">
    <w:name w:val="Char Char39"/>
    <w:qFormat/>
    <w:uiPriority w:val="0"/>
    <w:rPr>
      <w:rFonts w:ascii="Arial" w:hAnsi="Arial"/>
      <w:kern w:val="2"/>
      <w:sz w:val="24"/>
      <w:szCs w:val="22"/>
    </w:rPr>
  </w:style>
  <w:style w:type="character" w:customStyle="1" w:styleId="872">
    <w:name w:val="表格内标 Char"/>
    <w:link w:val="873"/>
    <w:qFormat/>
    <w:uiPriority w:val="0"/>
    <w:rPr>
      <w:rFonts w:eastAsia="黑体"/>
    </w:rPr>
  </w:style>
  <w:style w:type="paragraph" w:customStyle="1" w:styleId="873">
    <w:name w:val="表格内标"/>
    <w:basedOn w:val="1"/>
    <w:next w:val="1"/>
    <w:link w:val="872"/>
    <w:qFormat/>
    <w:uiPriority w:val="0"/>
    <w:pPr>
      <w:adjustRightInd w:val="0"/>
      <w:snapToGrid w:val="0"/>
      <w:jc w:val="center"/>
    </w:pPr>
    <w:rPr>
      <w:rFonts w:eastAsia="黑体"/>
    </w:rPr>
  </w:style>
  <w:style w:type="character" w:customStyle="1" w:styleId="874">
    <w:name w:val="倪 正文 Char"/>
    <w:link w:val="875"/>
    <w:qFormat/>
    <w:uiPriority w:val="0"/>
    <w:rPr>
      <w:sz w:val="24"/>
    </w:rPr>
  </w:style>
  <w:style w:type="paragraph" w:customStyle="1" w:styleId="875">
    <w:name w:val="倪 正文"/>
    <w:basedOn w:val="1"/>
    <w:link w:val="874"/>
    <w:qFormat/>
    <w:uiPriority w:val="0"/>
    <w:pPr>
      <w:spacing w:line="360" w:lineRule="auto"/>
      <w:ind w:firstLine="200" w:firstLineChars="200"/>
    </w:pPr>
    <w:rPr>
      <w:sz w:val="24"/>
    </w:rPr>
  </w:style>
  <w:style w:type="character" w:customStyle="1" w:styleId="876">
    <w:name w:val="Char Char5"/>
    <w:qFormat/>
    <w:uiPriority w:val="0"/>
    <w:rPr>
      <w:rFonts w:ascii="Arial" w:hAnsi="Arial" w:eastAsia="宋体"/>
      <w:kern w:val="2"/>
      <w:sz w:val="24"/>
      <w:lang w:val="en-US" w:eastAsia="zh-CN"/>
    </w:rPr>
  </w:style>
  <w:style w:type="character" w:customStyle="1" w:styleId="877">
    <w:name w:val="石化产业工业区正文 Char Char"/>
    <w:link w:val="878"/>
    <w:qFormat/>
    <w:uiPriority w:val="0"/>
    <w:rPr>
      <w:rFonts w:ascii="宋体" w:hAnsi="宋体"/>
      <w:sz w:val="24"/>
    </w:rPr>
  </w:style>
  <w:style w:type="paragraph" w:customStyle="1" w:styleId="878">
    <w:name w:val="石化产业工业区正文"/>
    <w:basedOn w:val="1"/>
    <w:link w:val="877"/>
    <w:qFormat/>
    <w:uiPriority w:val="0"/>
    <w:pPr>
      <w:spacing w:line="324" w:lineRule="auto"/>
      <w:ind w:firstLine="480" w:firstLineChars="200"/>
    </w:pPr>
    <w:rPr>
      <w:rFonts w:ascii="宋体" w:hAnsi="宋体"/>
      <w:sz w:val="24"/>
    </w:rPr>
  </w:style>
  <w:style w:type="paragraph" w:customStyle="1" w:styleId="879">
    <w:name w:val="修订1"/>
    <w:unhideWhenUsed/>
    <w:qFormat/>
    <w:uiPriority w:val="99"/>
    <w:rPr>
      <w:rFonts w:ascii="Times New Roman" w:hAnsi="Times New Roman" w:eastAsia="宋体" w:cs="Times New Roman"/>
      <w:kern w:val="2"/>
      <w:sz w:val="21"/>
      <w:szCs w:val="20"/>
      <w:lang w:val="en-US" w:eastAsia="zh-CN" w:bidi="ar-SA"/>
    </w:rPr>
  </w:style>
  <w:style w:type="paragraph" w:customStyle="1" w:styleId="880">
    <w:name w:val="Header Base"/>
    <w:basedOn w:val="20"/>
    <w:qFormat/>
    <w:uiPriority w:val="0"/>
    <w:pPr>
      <w:keepLines/>
      <w:tabs>
        <w:tab w:val="center" w:pos="4320"/>
        <w:tab w:val="right" w:pos="8640"/>
      </w:tabs>
      <w:spacing w:after="0" w:line="180" w:lineRule="atLeast"/>
    </w:pPr>
    <w:rPr>
      <w:rFonts w:eastAsia="仿宋_GB2312"/>
      <w:sz w:val="24"/>
      <w:lang w:val="zh-CN" w:eastAsia="zh-CN"/>
    </w:rPr>
  </w:style>
  <w:style w:type="paragraph" w:customStyle="1" w:styleId="881">
    <w:name w:val="样式 标题 4款标题1.1.1.1标题 4 Char Char标题 4 Char四表格1目H4H41L4Mi..."/>
    <w:basedOn w:val="5"/>
    <w:qFormat/>
    <w:uiPriority w:val="0"/>
    <w:pPr>
      <w:tabs>
        <w:tab w:val="left" w:pos="1643"/>
        <w:tab w:val="clear" w:pos="864"/>
      </w:tabs>
      <w:ind w:left="1643" w:hanging="563"/>
      <w:jc w:val="center"/>
    </w:pPr>
    <w:rPr>
      <w:rFonts w:ascii="Arial" w:hAnsi="Arial" w:eastAsia="仿宋_GB2312" w:cs="宋体"/>
      <w:bCs/>
    </w:rPr>
  </w:style>
  <w:style w:type="paragraph" w:customStyle="1" w:styleId="882">
    <w:name w:val="p15"/>
    <w:basedOn w:val="1"/>
    <w:qFormat/>
    <w:uiPriority w:val="0"/>
    <w:pPr>
      <w:widowControl/>
      <w:spacing w:line="5280" w:lineRule="auto"/>
      <w:ind w:firstLine="482"/>
    </w:pPr>
    <w:rPr>
      <w:rFonts w:ascii="Times New Roman" w:hAnsi="Times New Roman" w:eastAsia="宋体" w:cs="Times New Roman"/>
      <w:kern w:val="0"/>
      <w:sz w:val="24"/>
      <w:szCs w:val="20"/>
    </w:rPr>
  </w:style>
  <w:style w:type="paragraph" w:customStyle="1" w:styleId="883">
    <w:name w:val="样式 标题 3标题 3 Char小节标题标题 一头条标题1.1.1小标题3h33rd levelH3l3...2"/>
    <w:basedOn w:val="4"/>
    <w:qFormat/>
    <w:uiPriority w:val="0"/>
    <w:pPr>
      <w:tabs>
        <w:tab w:val="left" w:pos="20"/>
        <w:tab w:val="clear" w:pos="720"/>
      </w:tabs>
      <w:adjustRightInd w:val="0"/>
      <w:snapToGrid w:val="0"/>
      <w:spacing w:before="0" w:after="0" w:line="360" w:lineRule="auto"/>
      <w:ind w:left="-351" w:hanging="709"/>
    </w:pPr>
    <w:rPr>
      <w:rFonts w:ascii="仿宋_GB2312" w:eastAsia="仿宋_GB2312"/>
      <w:color w:val="000000"/>
      <w:sz w:val="24"/>
      <w:szCs w:val="20"/>
    </w:rPr>
  </w:style>
  <w:style w:type="paragraph" w:customStyle="1" w:styleId="884">
    <w:name w:val="章节标题"/>
    <w:basedOn w:val="1"/>
    <w:qFormat/>
    <w:uiPriority w:val="0"/>
    <w:rPr>
      <w:rFonts w:ascii="Times New Roman" w:hAnsi="Times New Roman" w:eastAsia="宋体" w:cs="Times New Roman"/>
      <w:b/>
      <w:sz w:val="32"/>
      <w:szCs w:val="20"/>
    </w:rPr>
  </w:style>
  <w:style w:type="paragraph" w:customStyle="1" w:styleId="885">
    <w:name w:val="正式海油文字"/>
    <w:basedOn w:val="1"/>
    <w:qFormat/>
    <w:uiPriority w:val="0"/>
    <w:pPr>
      <w:adjustRightInd w:val="0"/>
      <w:snapToGrid w:val="0"/>
      <w:spacing w:line="500" w:lineRule="exact"/>
      <w:ind w:firstLine="200" w:firstLineChars="200"/>
      <w:jc w:val="left"/>
    </w:pPr>
    <w:rPr>
      <w:rFonts w:ascii="Times New Roman" w:hAnsi="Times New Roman" w:eastAsia="宋体" w:cs="Times New Roman"/>
      <w:color w:val="000000"/>
      <w:sz w:val="24"/>
      <w:szCs w:val="28"/>
    </w:rPr>
  </w:style>
  <w:style w:type="paragraph" w:customStyle="1" w:styleId="886">
    <w:name w:val="WPSOffice手动目录 1"/>
    <w:qFormat/>
    <w:uiPriority w:val="0"/>
    <w:rPr>
      <w:rFonts w:ascii="Calibri" w:hAnsi="Calibri" w:eastAsia="宋体" w:cs="Times New Roman"/>
      <w:kern w:val="0"/>
      <w:sz w:val="20"/>
      <w:szCs w:val="20"/>
      <w:lang w:val="en-US" w:eastAsia="zh-CN" w:bidi="ar-SA"/>
    </w:rPr>
  </w:style>
  <w:style w:type="paragraph" w:customStyle="1" w:styleId="887">
    <w:name w:val="修订2"/>
    <w:unhideWhenUsed/>
    <w:qFormat/>
    <w:uiPriority w:val="99"/>
    <w:rPr>
      <w:rFonts w:ascii="Times New Roman" w:hAnsi="Times New Roman" w:eastAsia="宋体" w:cs="Times New Roman"/>
      <w:kern w:val="2"/>
      <w:sz w:val="21"/>
      <w:szCs w:val="20"/>
      <w:lang w:val="en-US" w:eastAsia="zh-CN" w:bidi="ar-SA"/>
    </w:rPr>
  </w:style>
  <w:style w:type="paragraph" w:customStyle="1" w:styleId="888">
    <w:name w:val="reader-word-layer reader-word-s3-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89">
    <w:name w:val="CYP样式"/>
    <w:basedOn w:val="1"/>
    <w:qFormat/>
    <w:uiPriority w:val="0"/>
    <w:rPr>
      <w:rFonts w:ascii="Times New Roman" w:hAnsi="Times New Roman" w:eastAsia="宋体" w:cs="Times New Roman"/>
      <w:sz w:val="24"/>
      <w:szCs w:val="20"/>
      <w:lang w:eastAsia="en-US"/>
    </w:rPr>
  </w:style>
  <w:style w:type="paragraph" w:customStyle="1" w:styleId="890">
    <w:name w:val="标准文本 首行缩进: 2 字符 行距: 单倍"/>
    <w:basedOn w:val="1"/>
    <w:qFormat/>
    <w:uiPriority w:val="0"/>
    <w:pPr>
      <w:widowControl/>
      <w:jc w:val="left"/>
    </w:pPr>
    <w:rPr>
      <w:rFonts w:ascii="Arial" w:hAnsi="Arial" w:eastAsia="宋体" w:cs="Arial"/>
      <w:kern w:val="0"/>
      <w:szCs w:val="21"/>
    </w:rPr>
  </w:style>
  <w:style w:type="paragraph" w:customStyle="1" w:styleId="891">
    <w:name w:val="reader-word-layer reader-word-s2-3"/>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2">
    <w:name w:val="样式 首行缩进:  2 字符"/>
    <w:basedOn w:val="1"/>
    <w:qFormat/>
    <w:uiPriority w:val="0"/>
    <w:pPr>
      <w:spacing w:line="360" w:lineRule="auto"/>
      <w:ind w:firstLine="480" w:firstLineChars="200"/>
    </w:pPr>
    <w:rPr>
      <w:rFonts w:ascii="Arial" w:hAnsi="Arial" w:eastAsia="宋体" w:cs="Times New Roman"/>
      <w:sz w:val="24"/>
      <w:szCs w:val="20"/>
    </w:rPr>
  </w:style>
  <w:style w:type="paragraph" w:customStyle="1" w:styleId="893">
    <w:name w:val="样式 标题 2标题 2 Char标题节标题节 Char Char标题 2 Char Char Char标题 2 Cha..."/>
    <w:basedOn w:val="3"/>
    <w:qFormat/>
    <w:uiPriority w:val="0"/>
    <w:pPr>
      <w:tabs>
        <w:tab w:val="left" w:pos="567"/>
        <w:tab w:val="clear" w:pos="576"/>
      </w:tabs>
      <w:spacing w:before="120" w:after="60" w:line="240" w:lineRule="auto"/>
      <w:ind w:left="0" w:firstLine="0"/>
    </w:pPr>
    <w:rPr>
      <w:rFonts w:ascii="黑体"/>
      <w:b w:val="0"/>
      <w:bCs w:val="0"/>
      <w:color w:val="000000"/>
      <w:sz w:val="28"/>
      <w:szCs w:val="20"/>
      <w:lang w:eastAsia="zh-CN"/>
    </w:rPr>
  </w:style>
  <w:style w:type="paragraph" w:customStyle="1" w:styleId="894">
    <w:name w:val="表格统一样式"/>
    <w:basedOn w:val="1"/>
    <w:qFormat/>
    <w:uiPriority w:val="0"/>
    <w:pPr>
      <w:widowControl/>
      <w:autoSpaceDE w:val="0"/>
      <w:autoSpaceDN w:val="0"/>
      <w:adjustRightInd w:val="0"/>
      <w:snapToGrid w:val="0"/>
      <w:jc w:val="center"/>
    </w:pPr>
    <w:rPr>
      <w:rFonts w:ascii="Arial" w:hAnsi="Arial" w:eastAsia="宋体" w:cs="Arial"/>
      <w:kern w:val="0"/>
      <w:szCs w:val="21"/>
    </w:rPr>
  </w:style>
  <w:style w:type="paragraph" w:customStyle="1" w:styleId="895">
    <w:name w:val="reader-word-layer reader-word-s1-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6">
    <w:name w:val="reader-word-layer reader-word-s1-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7">
    <w:name w:val="五号正文"/>
    <w:basedOn w:val="1"/>
    <w:qFormat/>
    <w:uiPriority w:val="0"/>
    <w:pPr>
      <w:spacing w:line="420" w:lineRule="exact"/>
      <w:ind w:firstLine="420" w:firstLineChars="200"/>
    </w:pPr>
    <w:rPr>
      <w:rFonts w:ascii="Times New Roman" w:hAnsi="Times New Roman" w:eastAsia="宋体" w:cs="Times New Roman"/>
      <w:color w:val="000000"/>
      <w:kern w:val="0"/>
      <w:szCs w:val="21"/>
    </w:rPr>
  </w:style>
  <w:style w:type="paragraph" w:customStyle="1" w:styleId="898">
    <w:name w:val="reader-word-layer reader-word-s3-2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99">
    <w:name w:val="reader-word-layer reader-word-s5-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0">
    <w:name w:val="修订3"/>
    <w:unhideWhenUsed/>
    <w:qFormat/>
    <w:uiPriority w:val="99"/>
    <w:rPr>
      <w:rFonts w:ascii="Times New Roman" w:hAnsi="Times New Roman" w:eastAsia="宋体" w:cs="Times New Roman"/>
      <w:kern w:val="2"/>
      <w:sz w:val="21"/>
      <w:szCs w:val="20"/>
      <w:lang w:val="en-US" w:eastAsia="zh-CN" w:bidi="ar-SA"/>
    </w:rPr>
  </w:style>
  <w:style w:type="paragraph" w:customStyle="1" w:styleId="901">
    <w:name w:val="修订5"/>
    <w:unhideWhenUsed/>
    <w:qFormat/>
    <w:uiPriority w:val="99"/>
    <w:rPr>
      <w:rFonts w:ascii="Times New Roman" w:hAnsi="Times New Roman" w:eastAsia="宋体" w:cs="Times New Roman"/>
      <w:kern w:val="2"/>
      <w:sz w:val="21"/>
      <w:szCs w:val="20"/>
      <w:lang w:val="en-US" w:eastAsia="zh-CN" w:bidi="ar-SA"/>
    </w:rPr>
  </w:style>
  <w:style w:type="character" w:customStyle="1" w:styleId="902">
    <w:name w:val="正文 缩进 Char"/>
    <w:link w:val="798"/>
    <w:qFormat/>
    <w:locked/>
    <w:uiPriority w:val="0"/>
    <w:rPr>
      <w:rFonts w:ascii="Times New Roman" w:hAnsi="Times New Roman" w:eastAsia="仿宋_GB2312" w:cs="Times New Roman"/>
      <w:kern w:val="0"/>
      <w:sz w:val="24"/>
      <w:szCs w:val="20"/>
    </w:rPr>
  </w:style>
  <w:style w:type="paragraph" w:customStyle="1" w:styleId="903">
    <w:name w:val="1.5号表格"/>
    <w:basedOn w:val="1"/>
    <w:qFormat/>
    <w:uiPriority w:val="0"/>
    <w:pPr>
      <w:jc w:val="center"/>
    </w:pPr>
    <w:rPr>
      <w:rFonts w:ascii="Times New Roman" w:hAnsi="Times New Roman" w:eastAsia="仿宋" w:cs="Times New Roman"/>
      <w:szCs w:val="21"/>
    </w:rPr>
  </w:style>
  <w:style w:type="character" w:customStyle="1" w:styleId="904">
    <w:name w:val="纯文本 Char1"/>
    <w:qFormat/>
    <w:uiPriority w:val="0"/>
    <w:rPr>
      <w:rFonts w:ascii="宋体" w:hAnsi="Courier New" w:eastAsia="宋体"/>
      <w:kern w:val="2"/>
      <w:sz w:val="21"/>
      <w:lang w:val="en-US" w:eastAsia="zh-CN"/>
    </w:rPr>
  </w:style>
  <w:style w:type="character" w:customStyle="1" w:styleId="905">
    <w:name w:val="正文文本缩进 Char"/>
    <w:qFormat/>
    <w:uiPriority w:val="0"/>
    <w:rPr>
      <w:rFonts w:eastAsia="宋体"/>
      <w:kern w:val="2"/>
      <w:sz w:val="28"/>
      <w:lang w:val="en-US" w:eastAsia="zh-CN" w:bidi="ar-SA"/>
    </w:rPr>
  </w:style>
  <w:style w:type="paragraph" w:customStyle="1" w:styleId="906">
    <w:name w:val="TOC Heading"/>
    <w:basedOn w:val="2"/>
    <w:next w:val="1"/>
    <w:semiHidden/>
    <w:unhideWhenUsed/>
    <w:qFormat/>
    <w:uiPriority w:val="39"/>
    <w:pPr>
      <w:widowControl/>
      <w:tabs>
        <w:tab w:val="clear" w:pos="432"/>
      </w:tabs>
      <w:spacing w:before="480" w:after="0" w:line="276" w:lineRule="auto"/>
      <w:ind w:left="0" w:firstLine="0"/>
      <w:jc w:val="left"/>
      <w:outlineLvl w:val="9"/>
    </w:pPr>
    <w:rPr>
      <w:rFonts w:ascii="Cambria" w:hAnsi="Cambria"/>
      <w:color w:val="365F91"/>
      <w:kern w:val="0"/>
      <w:sz w:val="28"/>
      <w:szCs w:val="28"/>
    </w:rPr>
  </w:style>
  <w:style w:type="character" w:customStyle="1" w:styleId="907">
    <w:name w:val="首行缩进两字 Char2"/>
    <w:qFormat/>
    <w:uiPriority w:val="0"/>
    <w:rPr>
      <w:rFonts w:eastAsia="宋体"/>
      <w:b/>
      <w:sz w:val="24"/>
      <w:lang w:val="en-US" w:eastAsia="zh-CN" w:bidi="ar-SA"/>
    </w:rPr>
  </w:style>
  <w:style w:type="character" w:customStyle="1" w:styleId="908">
    <w:name w:val="尾注文本 字符"/>
    <w:basedOn w:val="58"/>
    <w:semiHidden/>
    <w:qFormat/>
    <w:uiPriority w:val="99"/>
  </w:style>
  <w:style w:type="character" w:customStyle="1" w:styleId="909">
    <w:name w:val="尾注文本 Char"/>
    <w:link w:val="32"/>
    <w:qFormat/>
    <w:uiPriority w:val="0"/>
    <w:rPr>
      <w:rFonts w:ascii="Times New Roman" w:hAnsi="Times New Roman" w:eastAsia="宋体" w:cs="Times New Roman"/>
      <w:szCs w:val="20"/>
    </w:rPr>
  </w:style>
  <w:style w:type="paragraph" w:customStyle="1" w:styleId="910">
    <w:name w:val="环评表格样式"/>
    <w:basedOn w:val="1"/>
    <w:link w:val="911"/>
    <w:qFormat/>
    <w:uiPriority w:val="0"/>
    <w:pPr>
      <w:adjustRightInd w:val="0"/>
      <w:snapToGrid w:val="0"/>
      <w:ind w:left="420" w:right="210" w:rightChars="100" w:hanging="420"/>
      <w:jc w:val="center"/>
    </w:pPr>
    <w:rPr>
      <w:rFonts w:ascii="Times New Roman" w:hAnsi="Times New Roman" w:eastAsia="宋体" w:cs="Times New Roman"/>
      <w:b/>
      <w:bCs/>
      <w:kern w:val="0"/>
      <w:sz w:val="24"/>
      <w:szCs w:val="21"/>
    </w:rPr>
  </w:style>
  <w:style w:type="character" w:customStyle="1" w:styleId="911">
    <w:name w:val="环评表格样式 字符"/>
    <w:link w:val="910"/>
    <w:qFormat/>
    <w:uiPriority w:val="0"/>
    <w:rPr>
      <w:rFonts w:ascii="Times New Roman" w:hAnsi="Times New Roman" w:eastAsia="宋体" w:cs="Times New Roman"/>
      <w:b/>
      <w:bCs/>
      <w:kern w:val="0"/>
      <w:sz w:val="24"/>
      <w:szCs w:val="21"/>
    </w:rPr>
  </w:style>
  <w:style w:type="character" w:customStyle="1" w:styleId="912">
    <w:name w:val="未处理的提及2"/>
    <w:basedOn w:val="58"/>
    <w:semiHidden/>
    <w:unhideWhenUsed/>
    <w:qFormat/>
    <w:uiPriority w:val="99"/>
    <w:rPr>
      <w:color w:val="605E5C"/>
      <w:shd w:val="clear" w:color="auto" w:fill="E1DFDD"/>
    </w:rPr>
  </w:style>
  <w:style w:type="paragraph" w:customStyle="1" w:styleId="913">
    <w:name w:val="样式 样式 样式 纯文本 Char普通文字 Char普通文字 Char CharChar普通文字 Char Char Char ..."/>
    <w:basedOn w:val="1"/>
    <w:qFormat/>
    <w:uiPriority w:val="0"/>
    <w:pPr>
      <w:spacing w:line="360" w:lineRule="auto"/>
      <w:ind w:firstLine="480" w:firstLineChars="200"/>
    </w:pPr>
    <w:rPr>
      <w:rFonts w:ascii="Arial" w:hAnsi="Arial" w:eastAsia="宋体" w:cs="宋体"/>
      <w:sz w:val="24"/>
      <w:szCs w:val="20"/>
    </w:rPr>
  </w:style>
  <w:style w:type="character" w:customStyle="1" w:styleId="914">
    <w:name w:val="未处理的提及3"/>
    <w:basedOn w:val="58"/>
    <w:semiHidden/>
    <w:unhideWhenUsed/>
    <w:qFormat/>
    <w:uiPriority w:val="99"/>
    <w:rPr>
      <w:color w:val="605E5C"/>
      <w:shd w:val="clear" w:color="auto" w:fill="E1DFDD"/>
    </w:rPr>
  </w:style>
  <w:style w:type="paragraph" w:customStyle="1" w:styleId="915">
    <w:name w:val="Other|1"/>
    <w:basedOn w:val="1"/>
    <w:qFormat/>
    <w:uiPriority w:val="0"/>
    <w:pPr>
      <w:spacing w:line="437" w:lineRule="auto"/>
      <w:ind w:firstLine="340"/>
      <w:jc w:val="left"/>
    </w:pPr>
    <w:rPr>
      <w:rFonts w:ascii="宋体" w:hAnsi="宋体" w:eastAsia="宋体" w:cs="宋体"/>
      <w:color w:val="000000"/>
      <w:kern w:val="0"/>
      <w:sz w:val="30"/>
      <w:szCs w:val="30"/>
      <w:lang w:val="zh-TW" w:eastAsia="zh-TW" w:bidi="zh-TW"/>
    </w:rPr>
  </w:style>
  <w:style w:type="table" w:customStyle="1" w:styleId="916">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917">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2.xml"/><Relationship Id="rId9" Type="http://schemas.openxmlformats.org/officeDocument/2006/relationships/header" Target="header5.xml"/><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31.png"/><Relationship Id="rId86" Type="http://schemas.openxmlformats.org/officeDocument/2006/relationships/image" Target="media/image30.wmf"/><Relationship Id="rId85" Type="http://schemas.openxmlformats.org/officeDocument/2006/relationships/oleObject" Target="embeddings/oleObject25.bin"/><Relationship Id="rId84" Type="http://schemas.openxmlformats.org/officeDocument/2006/relationships/image" Target="media/image29.wmf"/><Relationship Id="rId83" Type="http://schemas.openxmlformats.org/officeDocument/2006/relationships/oleObject" Target="embeddings/oleObject24.bin"/><Relationship Id="rId82" Type="http://schemas.openxmlformats.org/officeDocument/2006/relationships/image" Target="media/image28.wmf"/><Relationship Id="rId81" Type="http://schemas.openxmlformats.org/officeDocument/2006/relationships/oleObject" Target="embeddings/oleObject23.bin"/><Relationship Id="rId80" Type="http://schemas.openxmlformats.org/officeDocument/2006/relationships/image" Target="media/image27.wmf"/><Relationship Id="rId8" Type="http://schemas.openxmlformats.org/officeDocument/2006/relationships/header" Target="header4.xml"/><Relationship Id="rId79" Type="http://schemas.openxmlformats.org/officeDocument/2006/relationships/oleObject" Target="embeddings/oleObject22.bin"/><Relationship Id="rId78" Type="http://schemas.openxmlformats.org/officeDocument/2006/relationships/image" Target="media/image26.wmf"/><Relationship Id="rId77" Type="http://schemas.openxmlformats.org/officeDocument/2006/relationships/oleObject" Target="embeddings/oleObject21.bin"/><Relationship Id="rId76" Type="http://schemas.openxmlformats.org/officeDocument/2006/relationships/image" Target="media/image25.wmf"/><Relationship Id="rId75" Type="http://schemas.openxmlformats.org/officeDocument/2006/relationships/oleObject" Target="embeddings/oleObject20.bin"/><Relationship Id="rId74" Type="http://schemas.openxmlformats.org/officeDocument/2006/relationships/image" Target="media/image24.wmf"/><Relationship Id="rId73" Type="http://schemas.openxmlformats.org/officeDocument/2006/relationships/oleObject" Target="embeddings/oleObject19.bin"/><Relationship Id="rId72" Type="http://schemas.openxmlformats.org/officeDocument/2006/relationships/image" Target="media/image23.wmf"/><Relationship Id="rId71" Type="http://schemas.openxmlformats.org/officeDocument/2006/relationships/oleObject" Target="embeddings/oleObject18.bin"/><Relationship Id="rId70" Type="http://schemas.openxmlformats.org/officeDocument/2006/relationships/image" Target="media/image22.wmf"/><Relationship Id="rId7" Type="http://schemas.openxmlformats.org/officeDocument/2006/relationships/footer" Target="footer2.xml"/><Relationship Id="rId69" Type="http://schemas.openxmlformats.org/officeDocument/2006/relationships/oleObject" Target="embeddings/oleObject17.bin"/><Relationship Id="rId68" Type="http://schemas.openxmlformats.org/officeDocument/2006/relationships/image" Target="media/image21.wmf"/><Relationship Id="rId67" Type="http://schemas.openxmlformats.org/officeDocument/2006/relationships/oleObject" Target="embeddings/oleObject16.bin"/><Relationship Id="rId66" Type="http://schemas.openxmlformats.org/officeDocument/2006/relationships/image" Target="media/image20.wmf"/><Relationship Id="rId65" Type="http://schemas.openxmlformats.org/officeDocument/2006/relationships/oleObject" Target="embeddings/oleObject15.bin"/><Relationship Id="rId64" Type="http://schemas.openxmlformats.org/officeDocument/2006/relationships/image" Target="media/image19.wmf"/><Relationship Id="rId63" Type="http://schemas.openxmlformats.org/officeDocument/2006/relationships/oleObject" Target="embeddings/oleObject14.bin"/><Relationship Id="rId62" Type="http://schemas.openxmlformats.org/officeDocument/2006/relationships/image" Target="media/image18.wmf"/><Relationship Id="rId61" Type="http://schemas.openxmlformats.org/officeDocument/2006/relationships/oleObject" Target="embeddings/oleObject13.bin"/><Relationship Id="rId60" Type="http://schemas.openxmlformats.org/officeDocument/2006/relationships/image" Target="media/image17.wmf"/><Relationship Id="rId6" Type="http://schemas.openxmlformats.org/officeDocument/2006/relationships/header" Target="header3.xml"/><Relationship Id="rId59" Type="http://schemas.openxmlformats.org/officeDocument/2006/relationships/oleObject" Target="embeddings/oleObject12.bin"/><Relationship Id="rId58" Type="http://schemas.openxmlformats.org/officeDocument/2006/relationships/image" Target="media/image16.wmf"/><Relationship Id="rId57" Type="http://schemas.openxmlformats.org/officeDocument/2006/relationships/oleObject" Target="embeddings/oleObject11.bin"/><Relationship Id="rId56" Type="http://schemas.openxmlformats.org/officeDocument/2006/relationships/image" Target="media/image15.wmf"/><Relationship Id="rId55" Type="http://schemas.openxmlformats.org/officeDocument/2006/relationships/oleObject" Target="embeddings/oleObject10.bin"/><Relationship Id="rId54" Type="http://schemas.openxmlformats.org/officeDocument/2006/relationships/image" Target="media/image14.wmf"/><Relationship Id="rId53" Type="http://schemas.openxmlformats.org/officeDocument/2006/relationships/oleObject" Target="embeddings/oleObject9.bin"/><Relationship Id="rId52" Type="http://schemas.openxmlformats.org/officeDocument/2006/relationships/image" Target="media/image13.wmf"/><Relationship Id="rId51" Type="http://schemas.openxmlformats.org/officeDocument/2006/relationships/oleObject" Target="embeddings/oleObject8.bin"/><Relationship Id="rId50" Type="http://schemas.openxmlformats.org/officeDocument/2006/relationships/image" Target="media/image12.wmf"/><Relationship Id="rId5" Type="http://schemas.openxmlformats.org/officeDocument/2006/relationships/footer" Target="footer1.xml"/><Relationship Id="rId49" Type="http://schemas.openxmlformats.org/officeDocument/2006/relationships/oleObject" Target="embeddings/oleObject7.bin"/><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emf"/><Relationship Id="rId44" Type="http://schemas.openxmlformats.org/officeDocument/2006/relationships/oleObject" Target="embeddings/oleObject6.bin"/><Relationship Id="rId43" Type="http://schemas.openxmlformats.org/officeDocument/2006/relationships/image" Target="media/image7.emf"/><Relationship Id="rId42" Type="http://schemas.openxmlformats.org/officeDocument/2006/relationships/oleObject" Target="embeddings/oleObject5.bin"/><Relationship Id="rId41" Type="http://schemas.openxmlformats.org/officeDocument/2006/relationships/image" Target="media/image6.emf"/><Relationship Id="rId40" Type="http://schemas.openxmlformats.org/officeDocument/2006/relationships/oleObject" Target="embeddings/oleObject4.bin"/><Relationship Id="rId4" Type="http://schemas.openxmlformats.org/officeDocument/2006/relationships/header" Target="header2.xml"/><Relationship Id="rId39" Type="http://schemas.openxmlformats.org/officeDocument/2006/relationships/image" Target="media/image5.emf"/><Relationship Id="rId38" Type="http://schemas.openxmlformats.org/officeDocument/2006/relationships/oleObject" Target="embeddings/oleObject3.bin"/><Relationship Id="rId37" Type="http://schemas.openxmlformats.org/officeDocument/2006/relationships/image" Target="media/image4.emf"/><Relationship Id="rId36" Type="http://schemas.openxmlformats.org/officeDocument/2006/relationships/oleObject" Target="embeddings/oleObject2.bin"/><Relationship Id="rId35" Type="http://schemas.openxmlformats.org/officeDocument/2006/relationships/image" Target="media/image3.emf"/><Relationship Id="rId34" Type="http://schemas.openxmlformats.org/officeDocument/2006/relationships/oleObject" Target="embeddings/oleObject1.bin"/><Relationship Id="rId33" Type="http://schemas.openxmlformats.org/officeDocument/2006/relationships/image" Target="media/image2.jpe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header" Target="header24.xml"/><Relationship Id="rId3" Type="http://schemas.openxmlformats.org/officeDocument/2006/relationships/header" Target="header1.xml"/><Relationship Id="rId29" Type="http://schemas.openxmlformats.org/officeDocument/2006/relationships/header" Target="header23.xml"/><Relationship Id="rId28" Type="http://schemas.openxmlformats.org/officeDocument/2006/relationships/header" Target="header22.xml"/><Relationship Id="rId27" Type="http://schemas.openxmlformats.org/officeDocument/2006/relationships/header" Target="header21.xml"/><Relationship Id="rId26" Type="http://schemas.openxmlformats.org/officeDocument/2006/relationships/header" Target="header20.xml"/><Relationship Id="rId25" Type="http://schemas.openxmlformats.org/officeDocument/2006/relationships/header" Target="header19.xml"/><Relationship Id="rId24" Type="http://schemas.openxmlformats.org/officeDocument/2006/relationships/header" Target="header18.xml"/><Relationship Id="rId23" Type="http://schemas.openxmlformats.org/officeDocument/2006/relationships/header" Target="header17.xml"/><Relationship Id="rId22" Type="http://schemas.openxmlformats.org/officeDocument/2006/relationships/footer" Target="footer4.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A01A8F-F3FD-4988-AFAC-AE599166732F}">
  <ds:schemaRefs/>
</ds:datastoreItem>
</file>

<file path=docProps/app.xml><?xml version="1.0" encoding="utf-8"?>
<Properties xmlns="http://schemas.openxmlformats.org/officeDocument/2006/extended-properties" xmlns:vt="http://schemas.openxmlformats.org/officeDocument/2006/docPropsVTypes">
  <Template>Normal</Template>
  <Pages>74</Pages>
  <Words>428</Words>
  <Characters>577</Characters>
  <Lines>1</Lines>
  <Paragraphs>1</Paragraphs>
  <TotalTime>68</TotalTime>
  <ScaleCrop>false</ScaleCrop>
  <LinksUpToDate>false</LinksUpToDate>
  <CharactersWithSpaces>591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2023-05-05T02:44:00Z</dcterms:created>
  <dc:creator>孙临</dc:creator>
  <cp:lastModifiedBy>啊王点点啊</cp:lastModifiedBy>
  <cp:lastPrinted>2023-08-23T06:01:00Z</cp:lastPrinted>
  <dcterms:modified xsi:type="dcterms:W3CDTF">2025-07-24T07:43:15Z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eyJoZGlkIjoiMGU3OTdmMmNhMmU2YmM3OWM1ZjRkNDllNDcxZDg5YzYiLCJ1c2VySWQiOiIzOTk5NjI4MDMifQ==</vt:lpwstr>
  </property>
  <property fmtid="{D5CDD505-2E9C-101B-9397-08002B2CF9AE}" pid="3" name="KSOProductBuildVer">
    <vt:lpwstr>2052-12.1.0.21915</vt:lpwstr>
  </property>
  <property fmtid="{D5CDD505-2E9C-101B-9397-08002B2CF9AE}" pid="4" name="ICV">
    <vt:lpwstr>F5EEE1AB9FF44341A373E2D55998FA04_13</vt:lpwstr>
  </property>
</Properties>
</file>